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附件6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1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pacing w:val="1"/>
          <w:sz w:val="36"/>
          <w:szCs w:val="36"/>
        </w:rPr>
        <w:t>沐川县</w:t>
      </w:r>
      <w:r>
        <w:rPr>
          <w:rFonts w:hint="eastAsia" w:ascii="Times New Roman" w:hAnsi="Times New Roman" w:eastAsia="方正小标宋简体" w:cs="Times New Roman"/>
          <w:spacing w:val="1"/>
          <w:sz w:val="36"/>
          <w:szCs w:val="36"/>
          <w:lang w:eastAsia="zh-CN"/>
        </w:rPr>
        <w:t>融媒体中心</w:t>
      </w:r>
      <w:r>
        <w:rPr>
          <w:rFonts w:hint="default" w:ascii="Times New Roman" w:hAnsi="Times New Roman" w:eastAsia="方正小标宋简体" w:cs="Times New Roman"/>
          <w:spacing w:val="1"/>
          <w:sz w:val="36"/>
          <w:szCs w:val="36"/>
        </w:rPr>
        <w:t>部门（单位）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1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pacing w:val="1"/>
          <w:sz w:val="36"/>
          <w:szCs w:val="36"/>
        </w:rPr>
        <w:t>2022年度项目（政策）支出绩效自评报告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楷体_GB2312" w:cs="Times New Roman"/>
          <w:spacing w:val="1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Cs w:val="32"/>
        </w:rPr>
      </w:pPr>
      <w:r>
        <w:rPr>
          <w:rFonts w:hint="default" w:ascii="Times New Roman" w:hAnsi="Times New Roman" w:eastAsia="黑体" w:cs="Times New Roman"/>
          <w:bCs/>
          <w:szCs w:val="32"/>
        </w:rPr>
        <w:t>一、项目基本情况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（一）绩效目标情况。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eastAsia" w:ascii="Times New Roman" w:hAnsi="Times New Roman" w:eastAsia="楷体_GB2312" w:cs="Times New Roman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Cs w:val="32"/>
          <w:lang w:eastAsia="zh-CN"/>
        </w:rPr>
        <w:t>融媒体中心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2022年</w:t>
      </w:r>
      <w:r>
        <w:rPr>
          <w:rFonts w:hint="eastAsia" w:ascii="Times New Roman" w:hAnsi="Times New Roman" w:eastAsia="楷体_GB2312" w:cs="Times New Roman"/>
          <w:szCs w:val="32"/>
          <w:lang w:eastAsia="zh-CN"/>
        </w:rPr>
        <w:t>主要有乐山日报宣传合作经费、网络视听采编设备维修维护费、乐山新闻网网络建设费等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11个项目，资金总额147.5万元。项目的实施，保障了融媒体中心及平台的正常运转，对对外宣传沐川、提升沐川形象起到了积极作用。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Chars="200"/>
        <w:textAlignment w:val="auto"/>
        <w:outlineLvl w:val="0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eastAsia" w:ascii="Times New Roman" w:hAnsi="Times New Roman" w:eastAsia="楷体_GB2312" w:cs="Times New Roman"/>
          <w:szCs w:val="32"/>
          <w:lang w:eastAsia="zh-CN"/>
        </w:rPr>
        <w:t>（二）</w:t>
      </w:r>
      <w:r>
        <w:rPr>
          <w:rFonts w:hint="default" w:ascii="Times New Roman" w:hAnsi="Times New Roman" w:eastAsia="楷体_GB2312" w:cs="Times New Roman"/>
          <w:szCs w:val="32"/>
        </w:rPr>
        <w:t>资金安排情况。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Chars="200"/>
        <w:textAlignment w:val="auto"/>
        <w:outlineLvl w:val="0"/>
        <w:rPr>
          <w:rFonts w:hint="eastAsia" w:ascii="Times New Roman" w:hAnsi="Times New Roman" w:eastAsia="楷体_GB2312" w:cs="Times New Roman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Cs w:val="32"/>
          <w:lang w:eastAsia="zh-CN"/>
        </w:rPr>
        <w:t>融媒体中心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11个项目于2022年12月31日前全部实施完成，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outlineLvl w:val="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资金全部安排到位；所有资金按照财政分解下达计划支付到各服务对象</w:t>
      </w:r>
      <w:r>
        <w:rPr>
          <w:rFonts w:hint="default" w:ascii="Times New Roman" w:hAnsi="Times New Roman" w:eastAsia="仿宋_GB2312" w:cs="Times New Roman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Cs w:val="32"/>
        </w:rPr>
      </w:pPr>
      <w:r>
        <w:rPr>
          <w:rFonts w:hint="default" w:ascii="Times New Roman" w:hAnsi="Times New Roman" w:eastAsia="黑体" w:cs="Times New Roman"/>
          <w:bCs/>
          <w:szCs w:val="32"/>
        </w:rPr>
        <w:t>二、绩效目标完成情况分析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（一）预算执行进度情况分析。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eastAsia" w:ascii="Times New Roman" w:hAnsi="Times New Roman" w:eastAsia="楷体_GB2312" w:cs="Times New Roman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Cs w:val="32"/>
          <w:lang w:eastAsia="zh-CN"/>
        </w:rPr>
        <w:t>融媒体中心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11个项目资金于2022年12月31日前全部支付完成；所有项目严格按照财政预算管理执行。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（二）总体绩效目标完成情况分析。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720"/>
        <w:textAlignment w:val="auto"/>
        <w:rPr>
          <w:rFonts w:hint="eastAsia" w:ascii="Times New Roman" w:hAnsi="Times New Roman" w:eastAsia="楷体_GB2312" w:cs="Times New Roman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2022年12月31日前全部完成。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720"/>
        <w:textAlignment w:val="auto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绩效指标完成情况分析。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960" w:firstLineChars="300"/>
        <w:textAlignment w:val="auto"/>
        <w:outlineLvl w:val="0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2022年12月31日前全部完成。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720" w:firstLineChars="0"/>
        <w:textAlignment w:val="auto"/>
        <w:outlineLvl w:val="0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项目效益分析。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960" w:firstLineChars="300"/>
        <w:textAlignment w:val="auto"/>
        <w:outlineLvl w:val="0"/>
        <w:rPr>
          <w:rFonts w:hint="default" w:ascii="Times New Roman" w:hAnsi="Times New Roman" w:eastAsia="黑体" w:cs="Times New Roman"/>
          <w:bCs/>
          <w:szCs w:val="32"/>
        </w:rPr>
      </w:pP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2022年12月31日前全部完成。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eastAsia="黑体" w:cs="Times New Roman"/>
          <w:bCs/>
          <w:szCs w:val="32"/>
        </w:rPr>
        <w:t>三、偏离绩效目标的原因和下一步改进措施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Cs w:val="32"/>
          <w:lang w:val="en-US" w:eastAsia="zh-CN"/>
        </w:rPr>
        <w:t>在工作中，仍存在细节上的问题，工作不仔细，资金使用申报不及时，资料装档不完善规范、不及时。一年来，中心高度重视绩效工作，力求全面客观评价融媒体中心工作绩效情况，将继续加大工作力度，在探索中总结提升，在实践中规范完善，加强绩效管理，不断提升工作绩效，进一步发挥工作职能作用，为我县对外宣传工作作出更大贡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Cs w:val="32"/>
        </w:rPr>
      </w:pPr>
      <w:r>
        <w:rPr>
          <w:rFonts w:hint="default" w:ascii="Times New Roman" w:hAnsi="Times New Roman" w:eastAsia="黑体" w:cs="Times New Roman"/>
          <w:bCs/>
          <w:szCs w:val="32"/>
        </w:rPr>
        <w:t>四、绩效自评结果拟应用和公开情况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绩效自评结果严格按财政要求执行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Cs w:val="32"/>
        </w:rPr>
      </w:pPr>
      <w:r>
        <w:rPr>
          <w:rFonts w:hint="default" w:ascii="Times New Roman" w:hAnsi="Times New Roman" w:eastAsia="黑体" w:cs="Times New Roman"/>
          <w:bCs/>
          <w:szCs w:val="32"/>
        </w:rPr>
        <w:t>五、其他需要说明的问题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hint="eastAsia" w:ascii="Times New Roman" w:hAnsi="Times New Roman" w:eastAsia="仿宋_GB2312" w:cs="Times New Roman"/>
          <w:szCs w:val="32"/>
          <w:lang w:eastAsia="zh-CN"/>
        </w:rPr>
      </w:pP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无。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BFC168"/>
    <w:multiLevelType w:val="singleLevel"/>
    <w:tmpl w:val="5DBFC168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3OGMyZjVkMTA1N2VmODhlZTk4OWVhNGU3NDZlYTEifQ=="/>
  </w:docVars>
  <w:rsids>
    <w:rsidRoot w:val="00000000"/>
    <w:rsid w:val="3B76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2023-07-10T01:58:18Z</dcterms:created>
  <dc:creator>Administrator</dc:creator>
  <cp:lastModifiedBy>Administrator</cp:lastModifiedBy>
  <dcterms:modified xsi:type="dcterms:W3CDTF">2023-07-10T01:58:23Z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2E77445B333E4FD8BB1BDF0A2C7D9CB9_12</vt:lpwstr>
  </property>
</Properties>
</file>