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56"/>
          <w:szCs w:val="56"/>
          <w:highlight w:val="none"/>
          <w:lang w:val="en-US" w:eastAsia="zh-CN"/>
        </w:rPr>
      </w:pPr>
      <w:bookmarkStart w:id="0" w:name="_Toc15378441"/>
      <w:bookmarkStart w:id="1" w:name="_Toc15377425"/>
      <w:bookmarkStart w:id="2" w:name="_Toc15396475"/>
      <w:bookmarkStart w:id="3" w:name="_Toc15377193"/>
      <w:bookmarkStart w:id="4" w:name="_Toc15396597"/>
      <w:r>
        <w:rPr>
          <w:rFonts w:hint="eastAsia" w:ascii="方正小标宋简体" w:hAnsi="方正小标宋简体" w:eastAsia="方正小标宋简体" w:cs="方正小标宋简体"/>
          <w:color w:val="auto"/>
          <w:sz w:val="56"/>
          <w:szCs w:val="56"/>
          <w:highlight w:val="none"/>
          <w:lang w:val="en-US" w:eastAsia="zh-CN"/>
        </w:rPr>
        <w:t>2022年度</w:t>
      </w:r>
      <w:bookmarkEnd w:id="0"/>
      <w:bookmarkEnd w:id="1"/>
      <w:bookmarkEnd w:id="2"/>
      <w:bookmarkEnd w:id="3"/>
      <w:bookmarkEnd w:id="4"/>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56"/>
          <w:szCs w:val="56"/>
          <w:highlight w:val="none"/>
          <w:lang w:val="en-US" w:eastAsia="zh-CN"/>
        </w:rPr>
      </w:pPr>
      <w:bookmarkStart w:id="5" w:name="_Toc15306268"/>
      <w:bookmarkStart w:id="6" w:name="_Toc15378442"/>
      <w:bookmarkStart w:id="7" w:name="_Toc15377426"/>
      <w:bookmarkStart w:id="8" w:name="_Toc15377194"/>
      <w:bookmarkStart w:id="9" w:name="_Toc15396598"/>
      <w:bookmarkStart w:id="10" w:name="_Toc15396476"/>
      <w:r>
        <w:rPr>
          <w:rFonts w:hint="eastAsia" w:ascii="方正小标宋简体" w:hAnsi="方正小标宋简体" w:eastAsia="方正小标宋简体" w:cs="方正小标宋简体"/>
          <w:color w:val="auto"/>
          <w:sz w:val="56"/>
          <w:szCs w:val="56"/>
          <w:highlight w:val="none"/>
          <w:lang w:val="en-US" w:eastAsia="zh-CN"/>
        </w:rPr>
        <w:t>沐川县公共资源交易服务中心</w:t>
      </w: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56"/>
          <w:szCs w:val="56"/>
          <w:highlight w:val="none"/>
          <w:lang w:val="en-US" w:eastAsia="zh-CN"/>
        </w:rPr>
      </w:pPr>
      <w:r>
        <w:rPr>
          <w:rFonts w:hint="eastAsia" w:ascii="方正小标宋简体" w:hAnsi="方正小标宋简体" w:eastAsia="方正小标宋简体" w:cs="方正小标宋简体"/>
          <w:color w:val="auto"/>
          <w:sz w:val="56"/>
          <w:szCs w:val="56"/>
          <w:highlight w:val="none"/>
          <w:lang w:val="en-US" w:eastAsia="zh-CN"/>
        </w:rPr>
        <w:t>部门决算</w:t>
      </w:r>
      <w:bookmarkEnd w:id="5"/>
      <w:bookmarkEnd w:id="6"/>
      <w:bookmarkEnd w:id="7"/>
      <w:bookmarkEnd w:id="8"/>
      <w:bookmarkEnd w:id="9"/>
      <w:bookmarkEnd w:id="10"/>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公开时间：202</w:t>
      </w:r>
      <w:r>
        <w:rPr>
          <w:rFonts w:hint="eastAsia"/>
          <w:lang w:val="en-US" w:eastAsia="zh-CN"/>
        </w:rPr>
        <w:t>3</w:t>
      </w:r>
      <w:r>
        <w:rPr>
          <w:rFonts w:hint="eastAsia"/>
        </w:rPr>
        <w:t>年</w:t>
      </w:r>
      <w:r>
        <w:rPr>
          <w:rFonts w:hint="eastAsia"/>
          <w:lang w:val="en-US" w:eastAsia="zh-CN"/>
        </w:rPr>
        <w:t>10</w:t>
      </w:r>
      <w:r>
        <w:rPr>
          <w:rFonts w:hint="eastAsia"/>
        </w:rPr>
        <w:t>月</w:t>
      </w:r>
      <w:r>
        <w:rPr>
          <w:rFonts w:hint="eastAsia"/>
          <w:lang w:val="en-US" w:eastAsia="zh-CN"/>
        </w:rPr>
        <w:t>9</w:t>
      </w:r>
      <w:r>
        <w:rPr>
          <w:rFonts w:hint="eastAsia"/>
        </w:rPr>
        <w:t>日</w:t>
      </w:r>
    </w:p>
    <w:p/>
    <w:p>
      <w:pPr>
        <w:pStyle w:val="10"/>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rPr>
          <w:rFonts w:hint="eastAsia"/>
        </w:rPr>
        <w:t>4</w:t>
      </w:r>
      <w:r>
        <w:rPr>
          <w:rFonts w:hint="eastAsia"/>
        </w:rPr>
        <w:fldChar w:fldCharType="end"/>
      </w:r>
    </w:p>
    <w:p>
      <w:pPr>
        <w:pStyle w:val="11"/>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5</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w:t>
      </w:r>
      <w:r>
        <w:rPr>
          <w:rStyle w:val="16"/>
          <w:rFonts w:hint="eastAsia"/>
        </w:rPr>
        <w:t>2</w:t>
      </w:r>
      <w:r>
        <w:rPr>
          <w:rStyle w:val="16"/>
          <w:rFonts w:hint="eastAsia"/>
          <w:lang w:val="en-US" w:eastAsia="zh-CN"/>
        </w:rPr>
        <w:t>1</w:t>
      </w:r>
      <w:r>
        <w:rPr>
          <w:rStyle w:val="16"/>
          <w:rFonts w:hint="eastAsia"/>
        </w:rPr>
        <w:t>年度部门决算情况说明</w:t>
      </w:r>
      <w:r>
        <w:tab/>
      </w:r>
      <w:r>
        <w:rPr>
          <w:rFonts w:hint="eastAsia"/>
          <w:lang w:val="en-US" w:eastAsia="zh-CN"/>
        </w:rPr>
        <w:t>6</w:t>
      </w:r>
      <w:r>
        <w:fldChar w:fldCharType="end"/>
      </w:r>
    </w:p>
    <w:p>
      <w:pPr>
        <w:pStyle w:val="11"/>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bCs/>
          <w:sz w:val="28"/>
          <w:szCs w:val="28"/>
        </w:rPr>
        <w:t>一、</w:t>
      </w:r>
      <w:r>
        <w:rPr>
          <w:rStyle w:val="16"/>
          <w:rFonts w:hint="eastAsia" w:ascii="仿宋" w:hAnsi="仿宋" w:eastAsia="仿宋"/>
          <w:sz w:val="28"/>
          <w:szCs w:val="28"/>
        </w:rPr>
        <w:t>收</w:t>
      </w:r>
      <w:r>
        <w:rPr>
          <w:rStyle w:val="16"/>
          <w:rFonts w:hint="eastAsia" w:ascii="仿宋" w:hAnsi="仿宋" w:eastAsia="仿宋"/>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bCs/>
          <w:sz w:val="28"/>
          <w:szCs w:val="28"/>
        </w:rPr>
        <w:t>二、</w:t>
      </w:r>
      <w:r>
        <w:rPr>
          <w:rStyle w:val="16"/>
          <w:rFonts w:hint="eastAsia" w:ascii="仿宋" w:hAnsi="仿宋" w:eastAsia="仿宋"/>
          <w:sz w:val="28"/>
          <w:szCs w:val="28"/>
        </w:rPr>
        <w:t>收</w:t>
      </w:r>
      <w:r>
        <w:rPr>
          <w:rStyle w:val="16"/>
          <w:rFonts w:hint="eastAsia" w:ascii="仿宋" w:hAnsi="仿宋" w:eastAsia="仿宋"/>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bCs/>
          <w:sz w:val="28"/>
          <w:szCs w:val="28"/>
        </w:rPr>
        <w:t>三、</w:t>
      </w:r>
      <w:r>
        <w:rPr>
          <w:rStyle w:val="16"/>
          <w:rFonts w:hint="eastAsia" w:ascii="仿宋" w:hAnsi="仿宋" w:eastAsia="仿宋"/>
          <w:sz w:val="28"/>
          <w:szCs w:val="28"/>
        </w:rPr>
        <w:t>支</w:t>
      </w:r>
      <w:r>
        <w:rPr>
          <w:rStyle w:val="16"/>
          <w:rFonts w:hint="eastAsia" w:ascii="仿宋" w:hAnsi="仿宋" w:eastAsia="仿宋"/>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rPr>
          <w:rFonts w:hint="default" w:ascii="仿宋" w:hAnsi="仿宋" w:eastAsia="仿宋"/>
          <w:sz w:val="28"/>
          <w:szCs w:val="28"/>
          <w:lang w:val="en-US" w:eastAsia="zh-CN"/>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hint="eastAsia" w:ascii="仿宋" w:hAnsi="仿宋" w:eastAsia="仿宋"/>
          <w:sz w:val="28"/>
          <w:szCs w:val="28"/>
          <w:lang w:val="en-US" w:eastAsia="zh-CN"/>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1"/>
        <w:rPr>
          <w:rFonts w:ascii="仿宋" w:hAnsi="仿宋" w:eastAsia="仿宋"/>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bCs/>
          <w:sz w:val="28"/>
          <w:szCs w:val="28"/>
        </w:rPr>
        <w:t>九、</w:t>
      </w:r>
      <w:r>
        <w:rPr>
          <w:rStyle w:val="16"/>
          <w:rFonts w:hint="eastAsia" w:ascii="仿宋" w:hAnsi="仿宋" w:eastAsia="仿宋"/>
          <w:sz w:val="28"/>
          <w:szCs w:val="28"/>
        </w:rPr>
        <w:t xml:space="preserve"> 国</w:t>
      </w:r>
      <w:r>
        <w:rPr>
          <w:rStyle w:val="16"/>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ascii="仿宋" w:hAnsi="仿宋" w:eastAsia="仿宋"/>
          <w:sz w:val="28"/>
          <w:szCs w:val="28"/>
          <w:lang w:val="en-US" w:eastAsia="zh-CN"/>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bCs/>
          <w:sz w:val="28"/>
          <w:szCs w:val="28"/>
        </w:rPr>
        <w:t>、其他重要事项的情况说明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0"/>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17</w:t>
      </w:r>
      <w:r>
        <w:fldChar w:fldCharType="end"/>
      </w:r>
      <w:r>
        <w:fldChar w:fldCharType="end"/>
      </w:r>
    </w:p>
    <w:p>
      <w:pPr>
        <w:pStyle w:val="10"/>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pPr>
        <w:pStyle w:val="11"/>
        <w:rPr>
          <w:rFonts w:ascii="仿宋" w:hAnsi="仿宋" w:eastAsia="仿宋"/>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ascii="仿宋" w:hAnsi="仿宋" w:eastAsia="仿宋"/>
          <w:sz w:val="28"/>
          <w:szCs w:val="28"/>
          <w:lang w:val="en-US" w:eastAsia="zh-CN"/>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0"/>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begin"/>
      </w:r>
      <w:r>
        <w:instrText xml:space="preserve"> PAGEREF _Toc15396618 \h </w:instrText>
      </w:r>
      <w:r>
        <w:fldChar w:fldCharType="separate"/>
      </w:r>
      <w:r>
        <w:t>25</w:t>
      </w:r>
      <w:r>
        <w:fldChar w:fldCharType="end"/>
      </w:r>
      <w:r>
        <w:fldChar w:fldCharType="end"/>
      </w:r>
    </w:p>
    <w:p>
      <w:pPr>
        <w:pStyle w:val="11"/>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1"/>
        <w:tabs>
          <w:tab w:val="right" w:leader="dot" w:pos="8302"/>
          <w:tab w:val="clear" w:pos="8296"/>
        </w:tabs>
        <w:rPr>
          <w:rFonts w:hint="eastAsia" w:ascii="仿宋" w:hAnsi="仿宋" w:eastAsia="仿宋"/>
          <w:sz w:val="28"/>
          <w:szCs w:val="28"/>
        </w:rPr>
      </w:pPr>
      <w:r>
        <w:rPr>
          <w:rFonts w:ascii="仿宋" w:hAnsi="仿宋" w:eastAsia="仿宋"/>
          <w:color w:val="000000"/>
          <w:sz w:val="24"/>
        </w:rPr>
        <w:fldChar w:fldCharType="end"/>
      </w:r>
      <w:bookmarkStart w:id="69" w:name="_GoBack"/>
      <w:bookmarkEnd w:id="69"/>
      <w:bookmarkStart w:id="11" w:name="_Toc15377196"/>
      <w:bookmarkStart w:id="12" w:name="_Toc15396599"/>
    </w:p>
    <w:p>
      <w:pPr>
        <w:widowControl/>
        <w:jc w:val="left"/>
        <w:rPr>
          <w:rFonts w:ascii="黑体" w:hAnsi="黑体" w:eastAsia="黑体"/>
          <w:bCs/>
          <w:kern w:val="44"/>
          <w:sz w:val="44"/>
          <w:szCs w:val="44"/>
        </w:rPr>
      </w:pPr>
      <w:r>
        <w:rPr>
          <w:rFonts w:ascii="黑体" w:hAnsi="黑体" w:eastAsia="黑体"/>
          <w:b/>
        </w:rPr>
        <w:br w:type="page"/>
      </w:r>
    </w:p>
    <w:p>
      <w:pPr>
        <w:pStyle w:val="3"/>
        <w:jc w:val="center"/>
        <w:rPr>
          <w:rStyle w:val="20"/>
          <w:rFonts w:ascii="黑体" w:hAnsi="黑体" w:eastAsia="黑体"/>
          <w:b/>
          <w:bCs w:val="0"/>
        </w:rPr>
      </w:pPr>
      <w:r>
        <w:rPr>
          <w:rFonts w:hint="eastAsia" w:ascii="黑体" w:hAnsi="黑体" w:eastAsia="黑体"/>
          <w:b w:val="0"/>
        </w:rPr>
        <w:t xml:space="preserve">第一部分 </w:t>
      </w:r>
      <w:r>
        <w:rPr>
          <w:rStyle w:val="20"/>
          <w:rFonts w:hint="eastAsia" w:ascii="黑体" w:hAnsi="黑体" w:eastAsia="黑体"/>
          <w:b w:val="0"/>
          <w:bCs w:val="0"/>
        </w:rPr>
        <w:t>部门概况</w:t>
      </w:r>
      <w:bookmarkEnd w:id="11"/>
      <w:bookmarkEnd w:id="12"/>
    </w:p>
    <w:p>
      <w:pPr>
        <w:widowControl/>
        <w:jc w:val="left"/>
        <w:rPr>
          <w:rFonts w:ascii="黑体" w:eastAsia="黑体"/>
          <w:color w:val="000000"/>
          <w:sz w:val="32"/>
          <w:szCs w:val="32"/>
        </w:rPr>
      </w:pPr>
    </w:p>
    <w:p>
      <w:pPr>
        <w:pStyle w:val="4"/>
        <w:rPr>
          <w:rStyle w:val="21"/>
          <w:rFonts w:ascii="仿宋" w:hAnsi="仿宋" w:eastAsia="仿宋"/>
          <w:b w:val="0"/>
          <w:bCs w:val="0"/>
        </w:rPr>
      </w:pPr>
      <w:bookmarkStart w:id="13" w:name="_Toc15396600"/>
      <w:bookmarkStart w:id="14" w:name="_Toc15377197"/>
      <w:r>
        <w:rPr>
          <w:rFonts w:hint="eastAsia" w:ascii="黑体" w:hAnsi="黑体" w:eastAsia="黑体"/>
          <w:b w:val="0"/>
          <w:color w:val="000000"/>
        </w:rPr>
        <w:t>一、基</w:t>
      </w:r>
      <w:r>
        <w:rPr>
          <w:rStyle w:val="21"/>
          <w:rFonts w:hint="eastAsia" w:ascii="黑体" w:hAnsi="黑体" w:eastAsia="黑体"/>
          <w:b w:val="0"/>
          <w:bCs w:val="0"/>
        </w:rPr>
        <w:t>本职能及主要工作</w:t>
      </w:r>
      <w:bookmarkEnd w:id="13"/>
      <w:bookmarkEnd w:id="14"/>
    </w:p>
    <w:p>
      <w:pPr>
        <w:pStyle w:val="6"/>
        <w:adjustRightInd w:val="0"/>
        <w:snapToGrid w:val="0"/>
        <w:spacing w:before="93" w:line="600" w:lineRule="exact"/>
        <w:ind w:firstLine="672" w:firstLineChars="210"/>
        <w:rPr>
          <w:bCs/>
          <w:color w:val="000000"/>
          <w:kern w:val="2"/>
          <w:sz w:val="32"/>
          <w:szCs w:val="32"/>
        </w:rPr>
      </w:pPr>
      <w:bookmarkStart w:id="15" w:name="_Toc15378445"/>
      <w:bookmarkStart w:id="16" w:name="_Toc15377198"/>
      <w:r>
        <w:rPr>
          <w:rFonts w:hint="eastAsia"/>
          <w:bCs/>
          <w:color w:val="000000"/>
          <w:kern w:val="2"/>
          <w:sz w:val="32"/>
          <w:szCs w:val="32"/>
        </w:rPr>
        <w:t>（一）主要职能</w:t>
      </w:r>
      <w:bookmarkEnd w:id="15"/>
      <w:bookmarkEnd w:id="16"/>
      <w:bookmarkStart w:id="17" w:name="_Toc15378446"/>
      <w:bookmarkStart w:id="18" w:name="_Toc15377199"/>
    </w:p>
    <w:p>
      <w:pPr>
        <w:pStyle w:val="6"/>
        <w:adjustRightInd w:val="0"/>
        <w:snapToGrid w:val="0"/>
        <w:spacing w:before="93" w:line="600" w:lineRule="exact"/>
        <w:ind w:firstLine="672" w:firstLineChars="210"/>
        <w:rPr>
          <w:bCs/>
          <w:color w:val="000000"/>
          <w:kern w:val="2"/>
          <w:sz w:val="32"/>
          <w:szCs w:val="32"/>
        </w:rPr>
      </w:pPr>
      <w:r>
        <w:rPr>
          <w:rFonts w:hint="eastAsia"/>
          <w:bCs/>
          <w:color w:val="000000"/>
          <w:kern w:val="2"/>
          <w:sz w:val="32"/>
          <w:szCs w:val="32"/>
        </w:rPr>
        <w:t>根据县政府办公室《关于设立沐川县公共资源交易服务中心的通知》（沐府办函〔2012〕71号），设立沐川县公共资源交易服务中心（简称“县交易中心”），为县政府直属事业单位，负责工程招投标、政府采购、土地和矿产资源、国有产权和国有资产交易以及特殊资源、特许经营权出（转）让等领域公共资源交易服务工作。</w:t>
      </w:r>
    </w:p>
    <w:p>
      <w:pPr>
        <w:pStyle w:val="6"/>
        <w:adjustRightInd w:val="0"/>
        <w:snapToGrid w:val="0"/>
        <w:spacing w:before="93" w:line="600" w:lineRule="exact"/>
        <w:ind w:firstLine="672" w:firstLineChars="210"/>
        <w:rPr>
          <w:bCs/>
          <w:color w:val="000000"/>
          <w:kern w:val="2"/>
          <w:sz w:val="32"/>
          <w:szCs w:val="32"/>
        </w:rPr>
      </w:pPr>
      <w:r>
        <w:rPr>
          <w:rFonts w:hint="eastAsia"/>
          <w:bCs/>
          <w:color w:val="000000"/>
          <w:kern w:val="2"/>
          <w:sz w:val="32"/>
          <w:szCs w:val="32"/>
        </w:rPr>
        <w:t>（二）</w:t>
      </w:r>
      <w:r>
        <w:rPr>
          <w:bCs/>
          <w:color w:val="000000"/>
          <w:kern w:val="2"/>
          <w:sz w:val="32"/>
          <w:szCs w:val="32"/>
        </w:rPr>
        <w:t>20</w:t>
      </w:r>
      <w:r>
        <w:rPr>
          <w:rFonts w:hint="eastAsia"/>
          <w:bCs/>
          <w:color w:val="000000"/>
          <w:kern w:val="2"/>
          <w:sz w:val="32"/>
          <w:szCs w:val="32"/>
        </w:rPr>
        <w:t>2</w:t>
      </w:r>
      <w:r>
        <w:rPr>
          <w:rFonts w:hint="eastAsia"/>
          <w:bCs/>
          <w:color w:val="000000"/>
          <w:kern w:val="2"/>
          <w:sz w:val="32"/>
          <w:szCs w:val="32"/>
          <w:lang w:val="en-US" w:eastAsia="zh-CN"/>
        </w:rPr>
        <w:t>1</w:t>
      </w:r>
      <w:r>
        <w:rPr>
          <w:rFonts w:hint="eastAsia"/>
          <w:bCs/>
          <w:color w:val="000000"/>
          <w:kern w:val="2"/>
          <w:sz w:val="32"/>
          <w:szCs w:val="32"/>
        </w:rPr>
        <w:t>年重点工作完成情况</w:t>
      </w:r>
      <w:bookmarkEnd w:id="17"/>
      <w:bookmarkEnd w:id="18"/>
    </w:p>
    <w:p>
      <w:pPr>
        <w:pStyle w:val="6"/>
        <w:adjustRightInd w:val="0"/>
        <w:snapToGrid w:val="0"/>
        <w:spacing w:before="93" w:line="600" w:lineRule="exact"/>
        <w:ind w:firstLine="672" w:firstLineChars="210"/>
        <w:rPr>
          <w:bCs/>
          <w:color w:val="000000"/>
          <w:kern w:val="2"/>
          <w:sz w:val="32"/>
          <w:szCs w:val="32"/>
        </w:rPr>
      </w:pPr>
      <w:r>
        <w:rPr>
          <w:rFonts w:hint="eastAsia"/>
          <w:bCs/>
          <w:color w:val="000000"/>
          <w:kern w:val="2"/>
          <w:sz w:val="32"/>
          <w:szCs w:val="32"/>
        </w:rPr>
        <w:t>202</w:t>
      </w:r>
      <w:r>
        <w:rPr>
          <w:rFonts w:hint="eastAsia"/>
          <w:bCs/>
          <w:color w:val="000000"/>
          <w:kern w:val="2"/>
          <w:sz w:val="32"/>
          <w:szCs w:val="32"/>
          <w:lang w:val="en-US" w:eastAsia="zh-CN"/>
        </w:rPr>
        <w:t>2</w:t>
      </w:r>
      <w:r>
        <w:rPr>
          <w:rFonts w:hint="eastAsia"/>
          <w:bCs/>
          <w:color w:val="000000"/>
          <w:kern w:val="2"/>
          <w:sz w:val="32"/>
          <w:szCs w:val="32"/>
        </w:rPr>
        <w:t>年重点工作是建立健全交易中心的各项制度，按照省、市对交易中心的标准化建设要求，强化县交易中心的各项软硬件措施建设。对全县进入县公共资源交易平台运作的建设工程招投标、政府采购、土地和矿产资源、国有产权和国有资产交易以及特殊资源、特许经营权出（转）让等公共资源交易提供现场服务，确保各项交易项目“公开、公平、公正、规范、高效、廉洁”。紧密结合我县社会经济发展及重大项目建设开展工作，积极主动服务、规范运作。</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p>
    <w:p>
      <w:pPr>
        <w:pStyle w:val="4"/>
        <w:rPr>
          <w:rStyle w:val="21"/>
          <w:b w:val="0"/>
          <w:bCs w:val="0"/>
        </w:rPr>
      </w:pPr>
      <w:bookmarkStart w:id="19" w:name="_Toc15377200"/>
      <w:bookmarkStart w:id="20" w:name="_Toc15396601"/>
      <w:r>
        <w:rPr>
          <w:rFonts w:hint="eastAsia" w:ascii="黑体" w:eastAsia="黑体"/>
          <w:b w:val="0"/>
          <w:color w:val="000000"/>
        </w:rPr>
        <w:t>二、</w:t>
      </w:r>
      <w:r>
        <w:rPr>
          <w:rFonts w:hint="eastAsia" w:ascii="黑体" w:hAnsi="黑体" w:eastAsia="黑体"/>
          <w:b w:val="0"/>
          <w:color w:val="000000"/>
        </w:rPr>
        <w:t>机</w:t>
      </w:r>
      <w:r>
        <w:rPr>
          <w:rStyle w:val="21"/>
          <w:rFonts w:hint="eastAsia" w:ascii="黑体" w:hAnsi="黑体" w:eastAsia="黑体"/>
          <w:b w:val="0"/>
          <w:bCs w:val="0"/>
        </w:rPr>
        <w:t>构设置</w:t>
      </w:r>
      <w:bookmarkEnd w:id="19"/>
      <w:bookmarkEnd w:id="20"/>
    </w:p>
    <w:p>
      <w:pPr>
        <w:widowControl/>
        <w:shd w:val="clear" w:color="auto" w:fill="FFFFFF"/>
        <w:spacing w:line="600" w:lineRule="atLeast"/>
        <w:ind w:firstLine="640"/>
        <w:rPr>
          <w:rFonts w:ascii="宋体" w:hAnsi="宋体" w:cs="宋体"/>
          <w:color w:val="000000"/>
          <w:szCs w:val="21"/>
        </w:rPr>
      </w:pPr>
      <w:r>
        <w:rPr>
          <w:rFonts w:hint="eastAsia" w:ascii="仿宋_GB2312" w:hAnsi="宋体" w:eastAsia="仿宋_GB2312" w:cs="仿宋_GB2312"/>
          <w:color w:val="000000"/>
          <w:kern w:val="0"/>
          <w:sz w:val="32"/>
          <w:szCs w:val="32"/>
          <w:shd w:val="clear" w:color="auto" w:fill="FFFFFF"/>
        </w:rPr>
        <w:t>县交易中心为财政一级预算单位，无下属二级预算单位。县交易中心设5个内设机构，分别为：综合股、交易受理股、交易组织股（政策法规股）、交易评审股、现场监督股。</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3"/>
        <w:ind w:right="440"/>
        <w:jc w:val="right"/>
        <w:rPr>
          <w:rStyle w:val="20"/>
          <w:rFonts w:ascii="黑体" w:hAnsi="黑体" w:eastAsia="黑体"/>
          <w:b w:val="0"/>
          <w:bCs w:val="0"/>
        </w:rPr>
      </w:pPr>
      <w:bookmarkStart w:id="21" w:name="_Toc15377204"/>
      <w:bookmarkStart w:id="22"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0"/>
          <w:rFonts w:hint="eastAsia" w:ascii="黑体" w:hAnsi="黑体" w:eastAsia="黑体"/>
          <w:b w:val="0"/>
          <w:bCs w:val="0"/>
        </w:rPr>
        <w:t>202</w:t>
      </w:r>
      <w:r>
        <w:rPr>
          <w:rStyle w:val="20"/>
          <w:rFonts w:hint="eastAsia" w:ascii="黑体" w:hAnsi="黑体" w:eastAsia="黑体"/>
          <w:b w:val="0"/>
          <w:bCs w:val="0"/>
          <w:lang w:val="en-US" w:eastAsia="zh-CN"/>
        </w:rPr>
        <w:t>2</w:t>
      </w:r>
      <w:r>
        <w:rPr>
          <w:rStyle w:val="20"/>
          <w:rFonts w:hint="eastAsia" w:ascii="黑体" w:hAnsi="黑体" w:eastAsia="黑体"/>
          <w:b w:val="0"/>
          <w:bCs w:val="0"/>
        </w:rPr>
        <w:t>年度部门决算情况说明</w:t>
      </w:r>
      <w:bookmarkEnd w:id="21"/>
      <w:bookmarkEnd w:id="22"/>
    </w:p>
    <w:p/>
    <w:p>
      <w:pPr>
        <w:pStyle w:val="22"/>
        <w:numPr>
          <w:ilvl w:val="0"/>
          <w:numId w:val="1"/>
        </w:numPr>
        <w:spacing w:line="600" w:lineRule="exact"/>
        <w:ind w:firstLineChars="0"/>
        <w:outlineLvl w:val="1"/>
        <w:rPr>
          <w:rStyle w:val="21"/>
          <w:rFonts w:ascii="黑体" w:hAnsi="黑体" w:eastAsia="黑体"/>
          <w:b w:val="0"/>
        </w:rPr>
      </w:pPr>
      <w:bookmarkStart w:id="23" w:name="_Toc15396603"/>
      <w:bookmarkStart w:id="24" w:name="_Toc15377205"/>
      <w:r>
        <w:rPr>
          <w:rFonts w:hint="eastAsia" w:ascii="黑体" w:hAnsi="黑体" w:eastAsia="黑体"/>
          <w:color w:val="000000"/>
          <w:sz w:val="32"/>
          <w:szCs w:val="32"/>
        </w:rPr>
        <w:t>收</w:t>
      </w:r>
      <w:r>
        <w:rPr>
          <w:rStyle w:val="21"/>
          <w:rFonts w:hint="eastAsia" w:ascii="黑体" w:hAnsi="黑体" w:eastAsia="黑体"/>
          <w:b w:val="0"/>
        </w:rPr>
        <w:t>入支出决算总体情况说明</w:t>
      </w:r>
      <w:bookmarkEnd w:id="23"/>
      <w:bookmarkEnd w:id="24"/>
    </w:p>
    <w:p>
      <w:pPr>
        <w:spacing w:line="600" w:lineRule="exact"/>
        <w:ind w:firstLine="640" w:firstLineChars="200"/>
        <w:rPr>
          <w:rFonts w:hint="default" w:ascii="仿宋_GB2312" w:eastAsia="仿宋_GB2312"/>
          <w:bCs/>
          <w:color w:val="000000"/>
          <w:sz w:val="32"/>
          <w:szCs w:val="32"/>
          <w:lang w:val="en-US" w:eastAsia="zh-CN"/>
        </w:rPr>
      </w:pPr>
      <w:r>
        <w:rPr>
          <w:rFonts w:hint="eastAsia" w:ascii="仿宋_GB2312" w:hAnsi="仿宋_GB2312" w:eastAsia="仿宋_GB2312"/>
          <w:color w:val="000000"/>
          <w:kern w:val="2"/>
          <w:sz w:val="32"/>
          <w:szCs w:val="24"/>
          <w:lang w:val="zh-CN"/>
        </w:rPr>
        <w:t>2022年度收、支总计294万元。与2021年相比，收、支总计各增加132.66万元，增长82.2%。</w:t>
      </w:r>
      <w:r>
        <w:rPr>
          <w:rFonts w:hint="eastAsia" w:ascii="仿宋_GB2312" w:eastAsia="仿宋_GB2312"/>
          <w:bCs/>
          <w:color w:val="000000"/>
          <w:sz w:val="32"/>
          <w:szCs w:val="32"/>
        </w:rPr>
        <w:t>主要变动原因是：</w:t>
      </w:r>
      <w:r>
        <w:rPr>
          <w:rFonts w:hint="eastAsia" w:ascii="仿宋_GB2312" w:eastAsia="仿宋_GB2312"/>
          <w:bCs/>
          <w:color w:val="000000"/>
          <w:sz w:val="32"/>
          <w:szCs w:val="32"/>
          <w:lang w:val="en-US" w:eastAsia="zh-CN"/>
        </w:rPr>
        <w:t>创建示范交易中心、</w:t>
      </w:r>
      <w:r>
        <w:rPr>
          <w:rFonts w:hint="eastAsia" w:ascii="仿宋_GB2312" w:eastAsia="仿宋_GB2312"/>
          <w:bCs/>
          <w:color w:val="000000"/>
          <w:sz w:val="32"/>
          <w:szCs w:val="32"/>
        </w:rPr>
        <w:t>单位正常人员流动，工资薪金等支出</w:t>
      </w:r>
      <w:r>
        <w:rPr>
          <w:rFonts w:hint="eastAsia" w:ascii="仿宋_GB2312" w:eastAsia="仿宋_GB2312"/>
          <w:bCs/>
          <w:color w:val="000000"/>
          <w:sz w:val="32"/>
          <w:szCs w:val="32"/>
          <w:lang w:val="en-US" w:eastAsia="zh-CN"/>
        </w:rPr>
        <w:t>增加</w:t>
      </w:r>
      <w:r>
        <w:rPr>
          <w:rFonts w:hint="eastAsia" w:ascii="仿宋_GB2312" w:eastAsia="仿宋_GB2312"/>
          <w:bCs/>
          <w:color w:val="000000"/>
          <w:sz w:val="32"/>
          <w:szCs w:val="32"/>
        </w:rPr>
        <w:t>。</w:t>
      </w:r>
    </w:p>
    <w:p>
      <w:pPr>
        <w:keepNext/>
      </w:pPr>
      <w:r>
        <w:drawing>
          <wp:inline distT="0" distB="0" distL="114300" distR="114300">
            <wp:extent cx="4810125" cy="2619375"/>
            <wp:effectExtent l="4445" t="4445" r="5080" b="5080"/>
            <wp:docPr id="92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pPr>
    </w:p>
    <w:p>
      <w:pPr>
        <w:pStyle w:val="22"/>
        <w:numPr>
          <w:ilvl w:val="0"/>
          <w:numId w:val="1"/>
        </w:numPr>
        <w:spacing w:line="600" w:lineRule="exact"/>
        <w:ind w:firstLineChars="0"/>
        <w:outlineLvl w:val="1"/>
        <w:rPr>
          <w:rFonts w:hint="eastAsia" w:ascii="黑体" w:hAnsi="黑体" w:eastAsia="黑体"/>
          <w:color w:val="000000"/>
          <w:sz w:val="32"/>
          <w:szCs w:val="32"/>
        </w:rPr>
      </w:pPr>
      <w:bookmarkStart w:id="25" w:name="_Toc15396604"/>
      <w:bookmarkStart w:id="26" w:name="_Toc15377206"/>
      <w:r>
        <w:rPr>
          <w:rFonts w:hint="eastAsia" w:ascii="黑体" w:hAnsi="黑体" w:eastAsia="黑体"/>
          <w:color w:val="000000"/>
          <w:sz w:val="32"/>
          <w:szCs w:val="32"/>
        </w:rPr>
        <w:t>收入决算情况说明</w:t>
      </w:r>
      <w:bookmarkEnd w:id="25"/>
      <w:bookmarkEnd w:id="26"/>
    </w:p>
    <w:p>
      <w:pPr>
        <w:keepNext/>
        <w:ind w:firstLine="640" w:firstLineChars="200"/>
      </w:pPr>
      <w:r>
        <w:rPr>
          <w:rFonts w:hint="eastAsia" w:ascii="仿宋_GB2312" w:hAnsi="仿宋_GB2312" w:eastAsia="仿宋_GB2312"/>
          <w:color w:val="000000"/>
          <w:kern w:val="2"/>
          <w:sz w:val="32"/>
          <w:szCs w:val="24"/>
          <w:lang w:val="zh-CN"/>
        </w:rPr>
        <w:t>2022年本年收入合计231.55万元，其中：一般公共预算财政拨款收入231.55万元，占100%</w:t>
      </w:r>
      <w:r>
        <w:rPr>
          <w:rFonts w:hint="eastAsia" w:ascii="仿宋_GB2312" w:eastAsia="仿宋_GB2312"/>
          <w:bCs/>
          <w:color w:val="000000"/>
          <w:sz w:val="32"/>
          <w:szCs w:val="32"/>
        </w:rPr>
        <w:t>。</w:t>
      </w:r>
    </w:p>
    <w:p>
      <w:pPr>
        <w:keepNext/>
      </w:pPr>
    </w:p>
    <w:p>
      <w:pPr>
        <w:keepNext/>
      </w:pPr>
      <w:r>
        <w:rPr>
          <w:rFonts w:hint="eastAsia"/>
        </w:rPr>
        <w:drawing>
          <wp:inline distT="0" distB="0" distL="0" distR="0">
            <wp:extent cx="4229735" cy="2152650"/>
            <wp:effectExtent l="4445" t="5080" r="13970"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22"/>
        <w:numPr>
          <w:ilvl w:val="0"/>
          <w:numId w:val="1"/>
        </w:numPr>
        <w:spacing w:line="600" w:lineRule="exact"/>
        <w:ind w:firstLineChars="0"/>
        <w:outlineLvl w:val="1"/>
        <w:rPr>
          <w:rStyle w:val="21"/>
          <w:rFonts w:ascii="黑体" w:hAnsi="黑体" w:eastAsia="黑体"/>
          <w:b w:val="0"/>
        </w:rPr>
      </w:pPr>
      <w:bookmarkStart w:id="27" w:name="_Toc15396605"/>
      <w:bookmarkStart w:id="28" w:name="_Toc15377207"/>
      <w:r>
        <w:rPr>
          <w:rFonts w:hint="eastAsia" w:ascii="黑体" w:hAnsi="黑体" w:eastAsia="黑体"/>
          <w:color w:val="000000"/>
          <w:sz w:val="32"/>
          <w:szCs w:val="32"/>
        </w:rPr>
        <w:t>支</w:t>
      </w:r>
      <w:r>
        <w:rPr>
          <w:rStyle w:val="21"/>
          <w:rFonts w:hint="eastAsia" w:ascii="黑体" w:hAnsi="黑体" w:eastAsia="黑体"/>
          <w:b w:val="0"/>
        </w:rPr>
        <w:t>出决算情况说明</w:t>
      </w:r>
      <w:bookmarkEnd w:id="27"/>
      <w:bookmarkEnd w:id="28"/>
    </w:p>
    <w:p>
      <w:pPr>
        <w:spacing w:line="600" w:lineRule="exact"/>
        <w:ind w:firstLine="640" w:firstLineChars="200"/>
      </w:pPr>
      <w:r>
        <w:rPr>
          <w:rFonts w:hint="eastAsia" w:ascii="仿宋_GB2312" w:hAnsi="仿宋_GB2312" w:eastAsia="仿宋_GB2312"/>
          <w:color w:val="000000"/>
          <w:kern w:val="2"/>
          <w:sz w:val="32"/>
          <w:szCs w:val="24"/>
          <w:lang w:val="zh-CN"/>
        </w:rPr>
        <w:t>2022年本年支出合计294万元，其中：基本支出293万元，占99.7%；项目支出1万元，占0.3%</w:t>
      </w:r>
      <w:r>
        <w:rPr>
          <w:rFonts w:hint="eastAsia" w:ascii="仿宋_GB2312" w:eastAsia="仿宋_GB2312"/>
          <w:bCs/>
          <w:color w:val="000000"/>
          <w:sz w:val="32"/>
          <w:szCs w:val="32"/>
        </w:rPr>
        <w:t>。</w:t>
      </w:r>
    </w:p>
    <w:p>
      <w:pPr>
        <w:keepNext/>
      </w:pPr>
    </w:p>
    <w:p>
      <w:pPr>
        <w:keepNext/>
      </w:pPr>
      <w:r>
        <w:drawing>
          <wp:inline distT="0" distB="0" distL="114300" distR="114300">
            <wp:extent cx="4857750" cy="2905760"/>
            <wp:effectExtent l="4445" t="4445" r="14605" b="23495"/>
            <wp:docPr id="3174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pPr>
    </w:p>
    <w:p>
      <w:pPr>
        <w:spacing w:line="600" w:lineRule="exact"/>
        <w:ind w:firstLine="640" w:firstLineChars="200"/>
        <w:outlineLvl w:val="1"/>
        <w:rPr>
          <w:rStyle w:val="21"/>
          <w:rFonts w:ascii="黑体" w:hAnsi="黑体" w:eastAsia="黑体"/>
          <w:b w:val="0"/>
        </w:rPr>
      </w:pPr>
      <w:bookmarkStart w:id="29" w:name="_Toc15377208"/>
      <w:bookmarkStart w:id="30" w:name="_Toc15396606"/>
      <w:r>
        <w:rPr>
          <w:rFonts w:hint="eastAsia" w:ascii="黑体" w:hAnsi="黑体" w:eastAsia="黑体"/>
          <w:color w:val="000000"/>
          <w:sz w:val="32"/>
          <w:szCs w:val="32"/>
        </w:rPr>
        <w:t>四、财</w:t>
      </w:r>
      <w:r>
        <w:rPr>
          <w:rStyle w:val="21"/>
          <w:rFonts w:hint="eastAsia" w:ascii="黑体" w:hAnsi="黑体" w:eastAsia="黑体"/>
          <w:b w:val="0"/>
        </w:rPr>
        <w:t>政拨款收入支出决算总体情况说明</w:t>
      </w:r>
      <w:bookmarkEnd w:id="29"/>
      <w:bookmarkEnd w:id="30"/>
    </w:p>
    <w:p>
      <w:pPr>
        <w:spacing w:line="600" w:lineRule="exact"/>
        <w:ind w:firstLine="640" w:firstLineChars="200"/>
        <w:rPr>
          <w:rFonts w:hint="default" w:ascii="仿宋_GB2312" w:eastAsia="仿宋_GB2312"/>
          <w:bCs/>
          <w:color w:val="000000"/>
          <w:sz w:val="32"/>
          <w:szCs w:val="32"/>
          <w:lang w:val="en-US" w:eastAsia="zh-CN"/>
        </w:rPr>
      </w:pPr>
      <w:r>
        <w:rPr>
          <w:rFonts w:hint="eastAsia" w:ascii="仿宋_GB2312" w:hAnsi="仿宋_GB2312" w:eastAsia="仿宋_GB2312"/>
          <w:color w:val="000000"/>
          <w:kern w:val="2"/>
          <w:sz w:val="32"/>
          <w:szCs w:val="24"/>
          <w:lang w:val="zh-CN"/>
        </w:rPr>
        <w:t>2022年财政拨款收、支总计294万元。与2021年相比，财政拨款收、支总计各增加132.66万元，增长82.2%</w:t>
      </w:r>
      <w:r>
        <w:rPr>
          <w:rFonts w:hint="eastAsia" w:ascii="仿宋_GB2312" w:eastAsia="仿宋_GB2312"/>
          <w:bCs/>
          <w:color w:val="000000"/>
          <w:sz w:val="32"/>
          <w:szCs w:val="32"/>
        </w:rPr>
        <w:t>。主要变动原因是：</w:t>
      </w:r>
      <w:r>
        <w:rPr>
          <w:rFonts w:hint="eastAsia" w:ascii="仿宋_GB2312" w:eastAsia="仿宋_GB2312"/>
          <w:bCs/>
          <w:color w:val="000000"/>
          <w:sz w:val="32"/>
          <w:szCs w:val="32"/>
          <w:lang w:val="en-US" w:eastAsia="zh-CN"/>
        </w:rPr>
        <w:t>创建示范交易中心、</w:t>
      </w:r>
      <w:r>
        <w:rPr>
          <w:rFonts w:hint="eastAsia" w:ascii="仿宋_GB2312" w:eastAsia="仿宋_GB2312"/>
          <w:bCs/>
          <w:color w:val="000000"/>
          <w:sz w:val="32"/>
          <w:szCs w:val="32"/>
        </w:rPr>
        <w:t>单位正常人员流动，工资薪金等支出</w:t>
      </w:r>
      <w:r>
        <w:rPr>
          <w:rFonts w:hint="eastAsia" w:ascii="仿宋_GB2312" w:eastAsia="仿宋_GB2312"/>
          <w:bCs/>
          <w:color w:val="000000"/>
          <w:sz w:val="32"/>
          <w:szCs w:val="32"/>
          <w:lang w:val="en-US" w:eastAsia="zh-CN"/>
        </w:rPr>
        <w:t>增加</w:t>
      </w:r>
      <w:r>
        <w:rPr>
          <w:rFonts w:hint="eastAsia" w:ascii="仿宋_GB2312" w:eastAsia="仿宋_GB2312"/>
          <w:bCs/>
          <w:color w:val="000000"/>
          <w:sz w:val="32"/>
          <w:szCs w:val="32"/>
        </w:rPr>
        <w:t>。</w:t>
      </w:r>
    </w:p>
    <w:p>
      <w:pPr>
        <w:keepNext/>
      </w:pPr>
    </w:p>
    <w:p>
      <w:pPr>
        <w:keepNext/>
      </w:pPr>
      <w:r>
        <w:drawing>
          <wp:inline distT="0" distB="0" distL="114300" distR="114300">
            <wp:extent cx="4810760" cy="2856865"/>
            <wp:effectExtent l="4445" t="4445" r="23495" b="15240"/>
            <wp:docPr id="2867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outlineLvl w:val="1"/>
        <w:rPr>
          <w:rStyle w:val="21"/>
          <w:rFonts w:ascii="黑体" w:hAnsi="黑体" w:eastAsia="黑体"/>
          <w:b w:val="0"/>
        </w:rPr>
      </w:pPr>
      <w:bookmarkStart w:id="31" w:name="_Toc15377209"/>
      <w:bookmarkStart w:id="3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1"/>
          <w:rFonts w:hint="eastAsia" w:ascii="黑体" w:hAnsi="黑体" w:eastAsia="黑体"/>
          <w:b w:val="0"/>
        </w:rPr>
        <w:t>般公共预算财政拨款支出决算情况说明</w:t>
      </w:r>
      <w:bookmarkEnd w:id="31"/>
      <w:bookmarkEnd w:id="32"/>
    </w:p>
    <w:p>
      <w:pPr>
        <w:spacing w:line="600" w:lineRule="exact"/>
        <w:ind w:firstLine="643"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pPr>
        <w:spacing w:line="600" w:lineRule="exact"/>
        <w:ind w:firstLine="640" w:firstLineChars="200"/>
        <w:rPr>
          <w:rFonts w:ascii="仿宋_GB2312" w:eastAsia="仿宋_GB2312"/>
          <w:bCs/>
          <w:color w:val="auto"/>
          <w:sz w:val="32"/>
          <w:szCs w:val="32"/>
        </w:rPr>
      </w:pPr>
      <w:r>
        <w:rPr>
          <w:rFonts w:hint="eastAsia" w:ascii="仿宋_GB2312" w:hAnsi="仿宋_GB2312" w:eastAsia="仿宋_GB2312"/>
          <w:color w:val="000000"/>
          <w:kern w:val="2"/>
          <w:sz w:val="32"/>
          <w:szCs w:val="24"/>
          <w:lang w:val="zh-CN"/>
        </w:rPr>
        <w:t>2022年一般公共预算财政拨款支出294万元，占本年支出合计的100%。与2021年相比，一般公共预算财政拨款支出增加132.66万元，增长82.2%</w:t>
      </w:r>
      <w:r>
        <w:rPr>
          <w:rFonts w:hint="eastAsia" w:ascii="仿宋_GB2312" w:eastAsia="仿宋_GB2312"/>
          <w:bCs/>
          <w:color w:val="auto"/>
          <w:sz w:val="32"/>
          <w:szCs w:val="32"/>
        </w:rPr>
        <w:t>。主要变动原因是：</w:t>
      </w:r>
      <w:r>
        <w:rPr>
          <w:rFonts w:hint="eastAsia" w:ascii="仿宋_GB2312" w:eastAsia="仿宋_GB2312"/>
          <w:bCs/>
          <w:color w:val="000000"/>
          <w:sz w:val="32"/>
          <w:szCs w:val="32"/>
          <w:lang w:val="en-US" w:eastAsia="zh-CN"/>
        </w:rPr>
        <w:t>创建示范交易中心</w:t>
      </w:r>
      <w:r>
        <w:rPr>
          <w:rFonts w:hint="eastAsia" w:ascii="仿宋_GB2312" w:eastAsia="仿宋_GB2312"/>
          <w:bCs/>
          <w:color w:val="auto"/>
          <w:sz w:val="32"/>
          <w:szCs w:val="32"/>
        </w:rPr>
        <w:t>支出</w:t>
      </w:r>
      <w:r>
        <w:rPr>
          <w:rFonts w:hint="eastAsia" w:ascii="仿宋_GB2312" w:eastAsia="仿宋_GB2312"/>
          <w:bCs/>
          <w:color w:val="auto"/>
          <w:sz w:val="32"/>
          <w:szCs w:val="32"/>
          <w:lang w:val="en-US" w:eastAsia="zh-CN"/>
        </w:rPr>
        <w:t>增加</w:t>
      </w:r>
      <w:r>
        <w:rPr>
          <w:rFonts w:hint="eastAsia" w:ascii="仿宋_GB2312" w:eastAsia="仿宋_GB2312"/>
          <w:bCs/>
          <w:color w:val="auto"/>
          <w:sz w:val="32"/>
          <w:szCs w:val="32"/>
        </w:rPr>
        <w:t>。</w:t>
      </w:r>
    </w:p>
    <w:p>
      <w:pPr>
        <w:spacing w:line="600" w:lineRule="exact"/>
        <w:ind w:firstLine="420" w:firstLineChars="200"/>
      </w:pPr>
      <w:r>
        <w:drawing>
          <wp:anchor distT="0" distB="0" distL="114300" distR="114300" simplePos="0" relativeHeight="251659264" behindDoc="0" locked="0" layoutInCell="1" allowOverlap="1">
            <wp:simplePos x="0" y="0"/>
            <wp:positionH relativeFrom="column">
              <wp:posOffset>128270</wp:posOffset>
            </wp:positionH>
            <wp:positionV relativeFrom="paragraph">
              <wp:posOffset>368300</wp:posOffset>
            </wp:positionV>
            <wp:extent cx="4401185" cy="2276475"/>
            <wp:effectExtent l="4445" t="4445" r="13970" b="5080"/>
            <wp:wrapTopAndBottom/>
            <wp:docPr id="337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3"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pPr>
        <w:spacing w:line="600" w:lineRule="exact"/>
        <w:ind w:firstLine="640" w:firstLineChars="200"/>
        <w:rPr>
          <w:rFonts w:hint="eastAsia" w:ascii="仿宋_GB2312" w:eastAsia="仿宋_GB2312"/>
          <w:bCs/>
          <w:color w:val="000000"/>
          <w:sz w:val="32"/>
          <w:szCs w:val="32"/>
          <w:lang w:val="en-US" w:eastAsia="zh-CN"/>
        </w:rPr>
      </w:pPr>
      <w:r>
        <w:rPr>
          <w:rFonts w:hint="eastAsia" w:ascii="仿宋_GB2312" w:hAnsi="仿宋_GB2312" w:eastAsia="仿宋_GB2312"/>
          <w:color w:val="000000"/>
          <w:kern w:val="2"/>
          <w:sz w:val="32"/>
          <w:szCs w:val="24"/>
          <w:lang w:val="zh-CN"/>
        </w:rPr>
        <w:t>2022年一般公共预算财政拨款支出294万元，主要用于以下方面: 一般公共服务支出254.96万元，占86.7%</w:t>
      </w:r>
      <w:r>
        <w:rPr>
          <w:rFonts w:hint="eastAsia" w:ascii="仿宋_GB2312" w:eastAsia="仿宋_GB2312"/>
          <w:bCs/>
          <w:color w:val="000000"/>
          <w:sz w:val="32"/>
          <w:szCs w:val="32"/>
        </w:rPr>
        <w:t>；</w:t>
      </w:r>
      <w:r>
        <w:rPr>
          <w:rFonts w:hint="eastAsia" w:ascii="仿宋_GB2312" w:hAnsi="仿宋_GB2312" w:eastAsia="仿宋_GB2312"/>
          <w:color w:val="000000"/>
          <w:kern w:val="2"/>
          <w:sz w:val="32"/>
          <w:szCs w:val="24"/>
          <w:lang w:val="zh-CN"/>
        </w:rPr>
        <w:t>社会保障和就业支出13.63万元，占4.6%</w:t>
      </w:r>
      <w:r>
        <w:rPr>
          <w:rFonts w:hint="eastAsia" w:ascii="仿宋_GB2312" w:eastAsia="仿宋_GB2312"/>
          <w:bCs/>
          <w:color w:val="000000"/>
          <w:sz w:val="32"/>
          <w:szCs w:val="32"/>
        </w:rPr>
        <w:t>；</w:t>
      </w:r>
      <w:r>
        <w:rPr>
          <w:rFonts w:hint="eastAsia" w:ascii="仿宋_GB2312" w:hAnsi="仿宋_GB2312" w:eastAsia="仿宋_GB2312"/>
          <w:color w:val="000000"/>
          <w:kern w:val="2"/>
          <w:sz w:val="32"/>
          <w:szCs w:val="24"/>
          <w:lang w:val="zh-CN"/>
        </w:rPr>
        <w:t>卫生健康支出6.53万元，占2.2%</w:t>
      </w:r>
      <w:r>
        <w:rPr>
          <w:rFonts w:hint="eastAsia" w:ascii="仿宋_GB2312" w:eastAsia="仿宋_GB2312"/>
          <w:bCs/>
          <w:color w:val="000000"/>
          <w:sz w:val="32"/>
          <w:szCs w:val="32"/>
        </w:rPr>
        <w:t>；</w:t>
      </w:r>
      <w:r>
        <w:rPr>
          <w:rFonts w:hint="eastAsia" w:ascii="仿宋_GB2312" w:hAnsi="仿宋_GB2312" w:eastAsia="仿宋_GB2312"/>
          <w:color w:val="000000"/>
          <w:kern w:val="2"/>
          <w:sz w:val="32"/>
          <w:szCs w:val="24"/>
          <w:lang w:val="zh-CN"/>
        </w:rPr>
        <w:t>住房保障支出17.89万元，占6.1%</w:t>
      </w:r>
      <w:r>
        <w:rPr>
          <w:rFonts w:hint="eastAsia" w:ascii="仿宋_GB2312" w:eastAsia="仿宋_GB2312"/>
          <w:bCs/>
          <w:color w:val="000000"/>
          <w:sz w:val="32"/>
          <w:szCs w:val="32"/>
          <w:lang w:eastAsia="zh-CN"/>
        </w:rPr>
        <w:t>。</w:t>
      </w:r>
    </w:p>
    <w:p>
      <w:pPr>
        <w:keepNext/>
      </w:pPr>
    </w:p>
    <w:p>
      <w:pPr>
        <w:keepNext/>
      </w:pPr>
      <w:r>
        <w:drawing>
          <wp:inline distT="0" distB="0" distL="114300" distR="114300">
            <wp:extent cx="4925060" cy="3257550"/>
            <wp:effectExtent l="4445" t="4445" r="23495" b="14605"/>
            <wp:docPr id="348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pPr>
    </w:p>
    <w:p>
      <w:pPr>
        <w:keepNext/>
      </w:pPr>
    </w:p>
    <w:p>
      <w:pPr>
        <w:spacing w:line="600" w:lineRule="exact"/>
        <w:ind w:firstLine="643"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pPr>
        <w:spacing w:line="600" w:lineRule="exact"/>
        <w:ind w:firstLine="640" w:firstLineChars="200"/>
        <w:rPr>
          <w:rFonts w:ascii="仿宋_GB2312" w:eastAsia="仿宋_GB2312"/>
          <w:bCs/>
          <w:color w:val="000000"/>
          <w:sz w:val="32"/>
          <w:szCs w:val="32"/>
        </w:rPr>
      </w:pPr>
      <w:bookmarkStart w:id="36" w:name="_Toc15377213"/>
      <w:bookmarkStart w:id="37" w:name="_Toc15377444"/>
      <w:bookmarkStart w:id="38" w:name="_Toc15378460"/>
      <w:r>
        <w:rPr>
          <w:rFonts w:hint="eastAsia" w:ascii="仿宋_GB2312" w:eastAsia="仿宋_GB2312"/>
          <w:bCs/>
          <w:color w:val="000000"/>
          <w:sz w:val="32"/>
          <w:szCs w:val="32"/>
          <w:lang w:val="zh-CN"/>
        </w:rPr>
        <w:t>2022年一般公共预算支出决算数为294万元，完成预算100%</w:t>
      </w:r>
      <w:r>
        <w:rPr>
          <w:rFonts w:hint="eastAsia" w:ascii="仿宋_GB2312" w:eastAsia="仿宋_GB2312"/>
          <w:bCs/>
          <w:color w:val="000000"/>
          <w:sz w:val="32"/>
          <w:szCs w:val="32"/>
        </w:rPr>
        <w:t>。其中：</w:t>
      </w:r>
      <w:bookmarkEnd w:id="36"/>
      <w:bookmarkEnd w:id="37"/>
      <w:bookmarkEnd w:id="38"/>
    </w:p>
    <w:p>
      <w:pPr>
        <w:spacing w:line="600" w:lineRule="exact"/>
        <w:ind w:firstLine="643" w:firstLineChars="200"/>
        <w:rPr>
          <w:rFonts w:ascii="仿宋_GB2312" w:eastAsia="仿宋_GB2312"/>
          <w:color w:val="000000"/>
          <w:sz w:val="32"/>
          <w:szCs w:val="32"/>
        </w:rPr>
      </w:pPr>
      <w:r>
        <w:rPr>
          <w:rStyle w:val="14"/>
          <w:rFonts w:hint="eastAsia" w:ascii="仿宋" w:hAnsi="仿宋" w:eastAsia="仿宋"/>
          <w:bCs/>
          <w:color w:val="000000"/>
          <w:sz w:val="32"/>
          <w:szCs w:val="32"/>
        </w:rPr>
        <w:t>1.一般公共服务（类）政府办公厅（室）及相关机构事务（款）事业运行（项）:</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年决算数为</w:t>
      </w:r>
      <w:r>
        <w:rPr>
          <w:rFonts w:hint="eastAsia" w:ascii="仿宋_GB2312" w:hAnsi="仿宋_GB2312" w:eastAsia="仿宋_GB2312"/>
          <w:color w:val="000000"/>
          <w:kern w:val="2"/>
          <w:sz w:val="32"/>
          <w:szCs w:val="24"/>
          <w:lang w:val="zh-CN"/>
        </w:rPr>
        <w:t>254.96</w:t>
      </w:r>
      <w:r>
        <w:rPr>
          <w:rFonts w:hint="eastAsia" w:ascii="仿宋_GB2312" w:eastAsia="仿宋_GB2312"/>
          <w:color w:val="000000"/>
          <w:sz w:val="32"/>
          <w:szCs w:val="32"/>
        </w:rPr>
        <w:t xml:space="preserve">万元，完成预算100%。 </w:t>
      </w:r>
    </w:p>
    <w:p>
      <w:pPr>
        <w:spacing w:line="600" w:lineRule="exact"/>
        <w:ind w:firstLine="643" w:firstLineChars="200"/>
        <w:rPr>
          <w:rFonts w:ascii="仿宋_GB2312" w:eastAsia="仿宋_GB2312"/>
          <w:color w:val="000000"/>
          <w:sz w:val="32"/>
          <w:szCs w:val="32"/>
        </w:rPr>
      </w:pPr>
      <w:r>
        <w:rPr>
          <w:rStyle w:val="14"/>
          <w:rFonts w:hint="eastAsia" w:ascii="仿宋" w:hAnsi="仿宋" w:eastAsia="仿宋"/>
          <w:bCs/>
          <w:color w:val="000000"/>
          <w:sz w:val="32"/>
          <w:szCs w:val="32"/>
        </w:rPr>
        <w:t>2.社会保障和就业（类）行政事业单位离退休（款）机关事业单位基本养老保险缴费支出（项）:</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年决算数为</w:t>
      </w:r>
      <w:r>
        <w:rPr>
          <w:rFonts w:hint="eastAsia" w:ascii="仿宋_GB2312" w:hAnsi="仿宋_GB2312" w:eastAsia="仿宋_GB2312"/>
          <w:color w:val="000000"/>
          <w:kern w:val="2"/>
          <w:sz w:val="32"/>
          <w:szCs w:val="24"/>
          <w:lang w:val="zh-CN"/>
        </w:rPr>
        <w:t>13.63</w:t>
      </w:r>
      <w:r>
        <w:rPr>
          <w:rFonts w:hint="eastAsia" w:ascii="仿宋_GB2312" w:eastAsia="仿宋_GB2312"/>
          <w:color w:val="000000"/>
          <w:sz w:val="32"/>
          <w:szCs w:val="32"/>
        </w:rPr>
        <w:t>万元，完成预算100%。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Style w:val="14"/>
          <w:rFonts w:hint="eastAsia" w:ascii="仿宋" w:hAnsi="仿宋" w:eastAsia="仿宋"/>
          <w:bCs/>
          <w:color w:val="000000"/>
          <w:sz w:val="32"/>
          <w:szCs w:val="32"/>
        </w:rPr>
        <w:t>3.卫生健康（类）医疗保障（款）事业单位医疗（项）:</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年决算数为</w:t>
      </w:r>
      <w:r>
        <w:rPr>
          <w:rFonts w:hint="eastAsia" w:ascii="仿宋_GB2312" w:hAnsi="仿宋_GB2312" w:eastAsia="仿宋_GB2312"/>
          <w:color w:val="000000"/>
          <w:kern w:val="2"/>
          <w:sz w:val="32"/>
          <w:szCs w:val="24"/>
          <w:lang w:val="zh-CN"/>
        </w:rPr>
        <w:t>6.53</w:t>
      </w:r>
      <w:r>
        <w:rPr>
          <w:rFonts w:hint="eastAsia" w:ascii="仿宋_GB2312" w:eastAsia="仿宋_GB2312"/>
          <w:color w:val="000000"/>
          <w:sz w:val="32"/>
          <w:szCs w:val="32"/>
        </w:rPr>
        <w:t>万元，完成预算100%。</w:t>
      </w:r>
      <w:r>
        <w:rPr>
          <w:rFonts w:hint="eastAsia" w:ascii="仿宋_GB2312" w:eastAsia="仿宋_GB2312"/>
          <w:color w:val="000000"/>
          <w:sz w:val="32"/>
          <w:szCs w:val="32"/>
        </w:rPr>
        <w:br w:type="textWrapping"/>
      </w:r>
      <w:r>
        <w:rPr>
          <w:rFonts w:hint="eastAsia" w:ascii="仿宋_GB2312" w:eastAsia="仿宋_GB2312"/>
          <w:color w:val="000000"/>
          <w:sz w:val="32"/>
          <w:szCs w:val="32"/>
        </w:rPr>
        <w:t xml:space="preserve">    </w:t>
      </w:r>
      <w:r>
        <w:rPr>
          <w:rStyle w:val="14"/>
          <w:rFonts w:hint="eastAsia" w:ascii="仿宋" w:hAnsi="仿宋" w:eastAsia="仿宋"/>
          <w:bCs/>
          <w:color w:val="000000"/>
          <w:sz w:val="32"/>
          <w:szCs w:val="32"/>
        </w:rPr>
        <w:t>4.住房保障支出（类）住房改革支出（款）住房公积金（项）:</w:t>
      </w: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年决算数为</w:t>
      </w:r>
      <w:r>
        <w:rPr>
          <w:rFonts w:hint="eastAsia" w:ascii="仿宋_GB2312" w:hAnsi="仿宋_GB2312" w:eastAsia="仿宋_GB2312"/>
          <w:color w:val="000000"/>
          <w:kern w:val="2"/>
          <w:sz w:val="32"/>
          <w:szCs w:val="24"/>
          <w:lang w:val="zh-CN"/>
        </w:rPr>
        <w:t>17.89</w:t>
      </w:r>
      <w:r>
        <w:rPr>
          <w:rFonts w:hint="eastAsia" w:ascii="仿宋_GB2312" w:eastAsia="仿宋_GB2312"/>
          <w:color w:val="000000"/>
          <w:sz w:val="32"/>
          <w:szCs w:val="32"/>
        </w:rPr>
        <w:t>万元，完成预算100%。</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1"/>
        </w:rPr>
      </w:pPr>
      <w:bookmarkStart w:id="39" w:name="_Toc15396608"/>
      <w:bookmarkStart w:id="4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1"/>
          <w:rFonts w:hint="eastAsia" w:ascii="黑体" w:hAnsi="黑体" w:eastAsia="黑体"/>
          <w:b w:val="0"/>
        </w:rPr>
        <w:t>般公共预算财政拨款基本支出决算情况说明</w:t>
      </w:r>
      <w:bookmarkEnd w:id="39"/>
      <w:bookmarkEnd w:id="40"/>
      <w:r>
        <w:rPr>
          <w:rStyle w:val="21"/>
          <w:rFonts w:ascii="黑体" w:hAnsi="黑体" w:eastAsia="黑体"/>
          <w:b w:val="0"/>
        </w:rPr>
        <w:tab/>
      </w:r>
    </w:p>
    <w:p>
      <w:pPr>
        <w:spacing w:line="600" w:lineRule="exact"/>
        <w:ind w:firstLine="640" w:firstLineChars="200"/>
      </w:pPr>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2</w:t>
      </w:r>
      <w:r>
        <w:rPr>
          <w:rFonts w:hint="eastAsia" w:ascii="仿宋_GB2312" w:eastAsia="仿宋_GB2312"/>
          <w:bCs/>
          <w:color w:val="000000"/>
          <w:sz w:val="32"/>
          <w:szCs w:val="32"/>
        </w:rPr>
        <w:t>年一般公共预算财政拨款基本支出</w:t>
      </w:r>
      <w:r>
        <w:rPr>
          <w:rFonts w:hint="eastAsia" w:ascii="仿宋_GB2312" w:hAnsi="仿宋_GB2312" w:eastAsia="仿宋_GB2312"/>
          <w:color w:val="000000"/>
          <w:kern w:val="2"/>
          <w:sz w:val="32"/>
          <w:szCs w:val="24"/>
          <w:lang w:val="zh-CN"/>
        </w:rPr>
        <w:t>293</w:t>
      </w:r>
      <w:r>
        <w:rPr>
          <w:rFonts w:hint="eastAsia" w:ascii="仿宋_GB2312" w:eastAsia="仿宋_GB2312"/>
          <w:bCs/>
          <w:color w:val="000000"/>
          <w:sz w:val="32"/>
          <w:szCs w:val="32"/>
        </w:rPr>
        <w:t>万元，其中：</w:t>
      </w:r>
    </w:p>
    <w:p>
      <w:pPr>
        <w:spacing w:line="60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rPr>
        <w:t>人员经费</w:t>
      </w:r>
      <w:r>
        <w:rPr>
          <w:rFonts w:hint="eastAsia" w:ascii="仿宋_GB2312" w:hAnsi="仿宋_GB2312" w:eastAsia="仿宋_GB2312"/>
          <w:color w:val="000000"/>
          <w:kern w:val="2"/>
          <w:sz w:val="32"/>
          <w:szCs w:val="24"/>
          <w:lang w:val="zh-CN"/>
        </w:rPr>
        <w:t>193.83</w:t>
      </w:r>
      <w:r>
        <w:rPr>
          <w:rFonts w:hint="eastAsia" w:ascii="仿宋_GB2312" w:eastAsia="仿宋_GB2312"/>
          <w:bCs/>
          <w:color w:val="000000"/>
          <w:sz w:val="32"/>
          <w:szCs w:val="32"/>
        </w:rPr>
        <w:t>万元，主要包括：基本工资、津贴补贴、奖金、绩效工资、机关事业单位基本养老保险缴费、职业年金缴费、其他社会保障缴费、奖励金、住房公积金、其他对个人和家庭的补助支出等。</w:t>
      </w:r>
      <w:r>
        <w:rPr>
          <w:rFonts w:hint="eastAsia" w:ascii="仿宋_GB2312" w:eastAsia="仿宋_GB2312"/>
          <w:bCs/>
          <w:color w:val="000000"/>
          <w:sz w:val="32"/>
          <w:szCs w:val="32"/>
        </w:rPr>
        <w:br w:type="textWrapping"/>
      </w:r>
      <w:r>
        <w:rPr>
          <w:rFonts w:hint="eastAsia" w:ascii="仿宋_GB2312" w:eastAsia="仿宋_GB2312"/>
          <w:bCs/>
          <w:color w:val="000000"/>
          <w:sz w:val="32"/>
          <w:szCs w:val="32"/>
        </w:rPr>
        <w:t>　　公用经费</w:t>
      </w:r>
      <w:r>
        <w:rPr>
          <w:rFonts w:hint="eastAsia" w:ascii="仿宋_GB2312" w:hAnsi="仿宋_GB2312" w:eastAsia="仿宋_GB2312"/>
          <w:color w:val="000000"/>
          <w:kern w:val="2"/>
          <w:sz w:val="32"/>
          <w:szCs w:val="24"/>
          <w:lang w:val="zh-CN"/>
        </w:rPr>
        <w:t>99.17</w:t>
      </w:r>
      <w:r>
        <w:rPr>
          <w:rFonts w:hint="eastAsia" w:ascii="仿宋_GB2312" w:eastAsia="仿宋_GB2312"/>
          <w:bCs/>
          <w:color w:val="000000"/>
          <w:sz w:val="32"/>
          <w:szCs w:val="32"/>
        </w:rPr>
        <w:t>万元，主要包括：办公费、印刷费、水费、电费、邮电费、物业管理费、差旅费、维修（护）费、培训费、工会经费、福利费、其他交通费、其他商品和服务支出等。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1"/>
          <w:rFonts w:ascii="黑体" w:hAnsi="黑体" w:eastAsia="黑体"/>
          <w:b w:val="0"/>
        </w:rPr>
      </w:pPr>
      <w:bookmarkStart w:id="41" w:name="_Toc15377215"/>
      <w:bookmarkStart w:id="42" w:name="_Toc15396609"/>
      <w:r>
        <w:rPr>
          <w:rFonts w:hint="eastAsia" w:ascii="黑体" w:eastAsia="黑体"/>
          <w:color w:val="000000"/>
          <w:sz w:val="32"/>
          <w:szCs w:val="32"/>
        </w:rPr>
        <w:t>七、</w:t>
      </w:r>
      <w:r>
        <w:rPr>
          <w:rStyle w:val="21"/>
          <w:rFonts w:hint="eastAsia" w:ascii="黑体" w:hAnsi="黑体" w:eastAsia="黑体"/>
        </w:rPr>
        <w:t>“</w:t>
      </w:r>
      <w:r>
        <w:rPr>
          <w:rStyle w:val="21"/>
          <w:rFonts w:hint="eastAsia" w:ascii="黑体" w:hAnsi="黑体" w:eastAsia="黑体"/>
          <w:b w:val="0"/>
        </w:rPr>
        <w:t>三公”经费财政拨款支出决算情况说明</w:t>
      </w:r>
      <w:bookmarkEnd w:id="41"/>
      <w:bookmarkEnd w:id="42"/>
    </w:p>
    <w:p>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pPr>
        <w:spacing w:line="600" w:lineRule="exact"/>
        <w:ind w:firstLine="640"/>
        <w:rPr>
          <w:rFonts w:hint="eastAsia" w:ascii="仿宋_GB2312" w:eastAsia="仿宋_GB2312"/>
          <w:bCs/>
          <w:color w:val="000000"/>
          <w:sz w:val="32"/>
          <w:szCs w:val="32"/>
        </w:rPr>
      </w:pPr>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2</w:t>
      </w:r>
      <w:r>
        <w:rPr>
          <w:rFonts w:hint="eastAsia" w:ascii="仿宋_GB2312" w:eastAsia="仿宋_GB2312"/>
          <w:bCs/>
          <w:color w:val="000000"/>
          <w:sz w:val="32"/>
          <w:szCs w:val="32"/>
        </w:rPr>
        <w:t>年“三公”经费财政拨款支出决算为</w:t>
      </w:r>
      <w:r>
        <w:rPr>
          <w:rFonts w:hint="eastAsia" w:ascii="仿宋_GB2312" w:hAnsi="仿宋_GB2312" w:eastAsia="仿宋_GB2312"/>
          <w:color w:val="000000"/>
          <w:kern w:val="2"/>
          <w:sz w:val="32"/>
          <w:szCs w:val="24"/>
          <w:lang w:val="zh-CN"/>
        </w:rPr>
        <w:t>0.08</w:t>
      </w:r>
      <w:r>
        <w:rPr>
          <w:rFonts w:hint="eastAsia" w:ascii="仿宋_GB2312" w:eastAsia="仿宋_GB2312"/>
          <w:bCs/>
          <w:color w:val="000000"/>
          <w:sz w:val="32"/>
          <w:szCs w:val="32"/>
        </w:rPr>
        <w:t>万元，完成预算</w:t>
      </w:r>
      <w:r>
        <w:rPr>
          <w:rFonts w:hint="eastAsia" w:ascii="仿宋_GB2312" w:eastAsia="仿宋_GB2312"/>
          <w:bCs/>
          <w:color w:val="000000"/>
          <w:sz w:val="32"/>
          <w:szCs w:val="32"/>
          <w:lang w:val="en-US" w:eastAsia="zh-CN"/>
        </w:rPr>
        <w:t>100</w:t>
      </w:r>
      <w:r>
        <w:rPr>
          <w:rFonts w:hint="eastAsia" w:ascii="仿宋_GB2312" w:eastAsia="仿宋_GB2312"/>
          <w:bCs/>
          <w:color w:val="000000"/>
          <w:sz w:val="32"/>
          <w:szCs w:val="32"/>
        </w:rPr>
        <w:t>%，</w:t>
      </w:r>
      <w:r>
        <w:rPr>
          <w:rFonts w:hint="eastAsia" w:ascii="仿宋_GB2312" w:hAnsi="仿宋_GB2312" w:eastAsia="仿宋_GB2312"/>
          <w:color w:val="000000"/>
          <w:kern w:val="2"/>
          <w:sz w:val="32"/>
          <w:szCs w:val="24"/>
          <w:lang w:val="zh-CN"/>
        </w:rPr>
        <w:t>较上年减少0.39万元，下降83%。</w:t>
      </w:r>
      <w:r>
        <w:rPr>
          <w:rFonts w:hint="eastAsia" w:ascii="仿宋_GB2312" w:eastAsia="仿宋_GB2312"/>
          <w:color w:val="000000"/>
          <w:sz w:val="32"/>
          <w:szCs w:val="32"/>
        </w:rPr>
        <w:t>主要原因是:202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年县交易中心</w:t>
      </w:r>
      <w:r>
        <w:rPr>
          <w:rFonts w:hint="eastAsia" w:ascii="仿宋_GB2312" w:eastAsia="仿宋_GB2312"/>
          <w:color w:val="000000"/>
          <w:sz w:val="32"/>
          <w:szCs w:val="32"/>
          <w:lang w:val="en-US" w:eastAsia="zh-CN"/>
        </w:rPr>
        <w:t>接受上级单位检查以及其他区县交易中心交流学习人次减少，</w:t>
      </w:r>
      <w:r>
        <w:rPr>
          <w:rFonts w:hint="eastAsia" w:ascii="仿宋_GB2312" w:eastAsia="仿宋_GB2312"/>
          <w:color w:val="000000"/>
          <w:sz w:val="32"/>
          <w:szCs w:val="32"/>
        </w:rPr>
        <w:t>相关公务接待费用</w:t>
      </w:r>
      <w:r>
        <w:rPr>
          <w:rFonts w:hint="eastAsia" w:ascii="仿宋_GB2312" w:eastAsia="仿宋_GB2312"/>
          <w:color w:val="000000"/>
          <w:sz w:val="32"/>
          <w:szCs w:val="32"/>
          <w:lang w:val="en-US" w:eastAsia="zh-CN"/>
        </w:rPr>
        <w:t>减少</w:t>
      </w:r>
      <w:r>
        <w:rPr>
          <w:rFonts w:hint="eastAsia" w:ascii="仿宋_GB2312" w:eastAsia="仿宋_GB2312"/>
          <w:bCs/>
          <w:color w:val="000000"/>
          <w:sz w:val="32"/>
          <w:szCs w:val="32"/>
        </w:rPr>
        <w:t>。</w:t>
      </w:r>
    </w:p>
    <w:p>
      <w:pPr>
        <w:spacing w:line="60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pPr>
        <w:spacing w:line="600" w:lineRule="exact"/>
        <w:ind w:firstLine="640"/>
        <w:rPr>
          <w:rFonts w:ascii="仿宋_GB2312" w:eastAsia="仿宋_GB2312"/>
          <w:bCs/>
          <w:color w:val="000000"/>
          <w:sz w:val="32"/>
          <w:szCs w:val="32"/>
        </w:rPr>
      </w:pPr>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2</w:t>
      </w:r>
      <w:r>
        <w:rPr>
          <w:rFonts w:hint="eastAsia" w:ascii="仿宋_GB2312" w:eastAsia="仿宋_GB2312"/>
          <w:bCs/>
          <w:color w:val="000000"/>
          <w:sz w:val="32"/>
          <w:szCs w:val="32"/>
        </w:rPr>
        <w:t>年“三公”经费财政拨款支出决算中，因公出国（境）费支出决算0万元，占0%；公务用车购置及运行维护费支出决算0万元，截</w:t>
      </w:r>
      <w:r>
        <w:rPr>
          <w:rFonts w:hint="eastAsia" w:ascii="仿宋_GB2312" w:eastAsia="仿宋_GB2312"/>
          <w:bCs/>
          <w:color w:val="000000"/>
          <w:sz w:val="32"/>
          <w:szCs w:val="32"/>
          <w:lang w:eastAsia="zh-CN"/>
        </w:rPr>
        <w:t>至</w:t>
      </w:r>
      <w:r>
        <w:rPr>
          <w:rFonts w:hint="eastAsia" w:ascii="仿宋_GB2312" w:eastAsia="仿宋_GB2312"/>
          <w:bCs/>
          <w:color w:val="000000"/>
          <w:sz w:val="32"/>
          <w:szCs w:val="32"/>
        </w:rPr>
        <w:t>202</w:t>
      </w:r>
      <w:r>
        <w:rPr>
          <w:rFonts w:hint="eastAsia" w:ascii="仿宋_GB2312" w:eastAsia="仿宋_GB2312"/>
          <w:bCs/>
          <w:color w:val="000000"/>
          <w:sz w:val="32"/>
          <w:szCs w:val="32"/>
          <w:lang w:val="en-US" w:eastAsia="zh-CN"/>
        </w:rPr>
        <w:t>1</w:t>
      </w:r>
      <w:r>
        <w:rPr>
          <w:rFonts w:hint="eastAsia" w:ascii="仿宋_GB2312" w:eastAsia="仿宋_GB2312"/>
          <w:bCs/>
          <w:color w:val="000000"/>
          <w:sz w:val="32"/>
          <w:szCs w:val="32"/>
        </w:rPr>
        <w:t>年12月31日，</w:t>
      </w:r>
      <w:r>
        <w:rPr>
          <w:rFonts w:hint="eastAsia" w:ascii="仿宋_GB2312" w:eastAsia="仿宋_GB2312"/>
          <w:color w:val="333333"/>
          <w:sz w:val="32"/>
          <w:szCs w:val="32"/>
        </w:rPr>
        <w:t>县交易中心公用车辆0辆，</w:t>
      </w:r>
      <w:r>
        <w:rPr>
          <w:rFonts w:hint="eastAsia" w:ascii="仿宋_GB2312" w:eastAsia="仿宋_GB2312"/>
          <w:bCs/>
          <w:color w:val="000000"/>
          <w:sz w:val="32"/>
          <w:szCs w:val="32"/>
        </w:rPr>
        <w:t>占0%；公务接待费支出决算</w:t>
      </w:r>
      <w:r>
        <w:rPr>
          <w:rFonts w:hint="eastAsia" w:ascii="仿宋_GB2312" w:hAnsi="仿宋_GB2312" w:eastAsia="仿宋_GB2312"/>
          <w:color w:val="000000"/>
          <w:kern w:val="2"/>
          <w:sz w:val="32"/>
          <w:szCs w:val="24"/>
          <w:lang w:val="zh-CN"/>
        </w:rPr>
        <w:t>0.08</w:t>
      </w:r>
      <w:r>
        <w:rPr>
          <w:rFonts w:hint="eastAsia" w:ascii="仿宋_GB2312" w:eastAsia="仿宋_GB2312"/>
          <w:bCs/>
          <w:color w:val="000000"/>
          <w:sz w:val="32"/>
          <w:szCs w:val="32"/>
        </w:rPr>
        <w:t>万元，</w:t>
      </w:r>
      <w:r>
        <w:rPr>
          <w:rFonts w:hint="eastAsia" w:ascii="仿宋_GB2312" w:eastAsia="仿宋_GB2312"/>
          <w:color w:val="000000"/>
          <w:sz w:val="32"/>
          <w:szCs w:val="32"/>
        </w:rPr>
        <w:t>占</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bCs/>
          <w:color w:val="000000"/>
          <w:sz w:val="32"/>
          <w:szCs w:val="32"/>
        </w:rPr>
        <w:t>具体情况如下：</w:t>
      </w:r>
    </w:p>
    <w:p>
      <w:pPr>
        <w:spacing w:line="600" w:lineRule="exact"/>
        <w:ind w:firstLine="643" w:firstLineChars="200"/>
        <w:rPr>
          <w:rStyle w:val="14"/>
          <w:rFonts w:ascii="仿宋" w:hAnsi="仿宋" w:eastAsia="仿宋"/>
          <w:b w:val="0"/>
          <w:bCs/>
          <w:color w:val="000000"/>
          <w:sz w:val="32"/>
          <w:szCs w:val="32"/>
        </w:rPr>
      </w:pPr>
      <w:r>
        <w:rPr>
          <w:rFonts w:hint="eastAsia" w:ascii="仿宋_GB2312" w:eastAsia="仿宋_GB2312"/>
          <w:b/>
          <w:color w:val="000000"/>
          <w:sz w:val="32"/>
          <w:szCs w:val="32"/>
        </w:rPr>
        <w:t>1.因公出国（境）经费支出0万元，完成预算0%</w:t>
      </w:r>
      <w:r>
        <w:rPr>
          <w:rStyle w:val="14"/>
          <w:rFonts w:hint="eastAsia" w:ascii="仿宋" w:hAnsi="仿宋" w:eastAsia="仿宋"/>
          <w:b w:val="0"/>
          <w:bCs/>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全年无因公出国（境）费用。</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2.公务用车购置及运行维护费支出0万元,完成预算0%。</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全年无公务用车购置及运行维护费用。</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b/>
          <w:color w:val="000000"/>
          <w:sz w:val="32"/>
          <w:szCs w:val="32"/>
          <w:lang w:val="en-US" w:eastAsia="zh-CN"/>
        </w:rPr>
        <w:t>0.08</w:t>
      </w:r>
      <w:r>
        <w:rPr>
          <w:rFonts w:hint="eastAsia" w:ascii="仿宋_GB2312" w:eastAsia="仿宋_GB2312"/>
          <w:b/>
          <w:color w:val="000000"/>
          <w:sz w:val="32"/>
          <w:szCs w:val="32"/>
        </w:rPr>
        <w:t>万元，完成预算</w:t>
      </w:r>
      <w:r>
        <w:rPr>
          <w:rFonts w:hint="eastAsia" w:ascii="仿宋_GB2312" w:eastAsia="仿宋_GB2312"/>
          <w:b/>
          <w:color w:val="000000"/>
          <w:sz w:val="32"/>
          <w:szCs w:val="32"/>
          <w:lang w:val="en-US" w:eastAsia="zh-CN"/>
        </w:rPr>
        <w:t>100</w:t>
      </w:r>
      <w:r>
        <w:rPr>
          <w:rFonts w:hint="eastAsia" w:ascii="仿宋_GB2312" w:eastAsia="仿宋_GB2312"/>
          <w:b/>
          <w:color w:val="000000"/>
          <w:sz w:val="32"/>
          <w:szCs w:val="32"/>
        </w:rPr>
        <w:t>%。</w:t>
      </w:r>
    </w:p>
    <w:p>
      <w:pPr>
        <w:spacing w:line="60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公务接待费支出决算比20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减少0.39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w:t>
      </w:r>
      <w:r>
        <w:rPr>
          <w:rFonts w:hint="eastAsia" w:ascii="仿宋_GB2312" w:hAnsi="仿宋_GB2312" w:eastAsia="仿宋_GB2312"/>
          <w:color w:val="000000"/>
          <w:kern w:val="2"/>
          <w:sz w:val="32"/>
          <w:szCs w:val="24"/>
          <w:lang w:val="zh-CN"/>
        </w:rPr>
        <w:t>83%</w:t>
      </w:r>
      <w:r>
        <w:rPr>
          <w:rFonts w:hint="eastAsia" w:ascii="仿宋_GB2312" w:eastAsia="仿宋_GB2312"/>
          <w:color w:val="000000"/>
          <w:sz w:val="32"/>
          <w:szCs w:val="32"/>
        </w:rPr>
        <w:t>。主要原因是:202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年县交易中心</w:t>
      </w:r>
      <w:r>
        <w:rPr>
          <w:rFonts w:hint="eastAsia" w:ascii="仿宋_GB2312" w:eastAsia="仿宋_GB2312"/>
          <w:color w:val="000000"/>
          <w:sz w:val="32"/>
          <w:szCs w:val="32"/>
          <w:lang w:val="en-US" w:eastAsia="zh-CN"/>
        </w:rPr>
        <w:t>接受上级单位检查以及其他区县交易中心交流学习人次减少，</w:t>
      </w:r>
      <w:r>
        <w:rPr>
          <w:rFonts w:hint="eastAsia" w:ascii="仿宋_GB2312" w:eastAsia="仿宋_GB2312"/>
          <w:color w:val="000000"/>
          <w:sz w:val="32"/>
          <w:szCs w:val="32"/>
        </w:rPr>
        <w:t>相关公务接待费用</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其中：</w:t>
      </w:r>
    </w:p>
    <w:p>
      <w:pPr>
        <w:spacing w:line="600" w:lineRule="exact"/>
        <w:ind w:firstLine="640"/>
        <w:rPr>
          <w:rFonts w:ascii="仿宋_GB2312" w:eastAsia="仿宋_GB2312"/>
          <w:color w:val="auto"/>
          <w:sz w:val="32"/>
          <w:szCs w:val="32"/>
        </w:rPr>
      </w:pPr>
      <w:r>
        <w:rPr>
          <w:rFonts w:hint="eastAsia" w:ascii="仿宋" w:hAnsi="仿宋" w:eastAsia="仿宋"/>
          <w:b/>
          <w:color w:val="auto"/>
          <w:sz w:val="32"/>
          <w:szCs w:val="32"/>
        </w:rPr>
        <w:t>国内公务接待支出</w:t>
      </w:r>
      <w:r>
        <w:rPr>
          <w:rFonts w:hint="eastAsia" w:ascii="仿宋" w:hAnsi="仿宋" w:eastAsia="仿宋"/>
          <w:color w:val="auto"/>
          <w:sz w:val="32"/>
          <w:szCs w:val="32"/>
          <w:lang w:val="en-US" w:eastAsia="zh-CN"/>
        </w:rPr>
        <w:t>0.08</w:t>
      </w:r>
      <w:r>
        <w:rPr>
          <w:rFonts w:hint="eastAsia" w:ascii="仿宋_GB2312" w:eastAsia="仿宋_GB2312"/>
          <w:color w:val="auto"/>
          <w:sz w:val="32"/>
          <w:szCs w:val="32"/>
        </w:rPr>
        <w:t>万元，主要用于开展业务活动开支的用餐费、交通费等。国内公务接待</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0.08</w:t>
      </w:r>
      <w:r>
        <w:rPr>
          <w:rFonts w:hint="eastAsia" w:ascii="仿宋_GB2312" w:eastAsia="仿宋_GB2312"/>
          <w:color w:val="auto"/>
          <w:sz w:val="32"/>
          <w:szCs w:val="32"/>
        </w:rPr>
        <w:t>万元。</w:t>
      </w:r>
    </w:p>
    <w:p>
      <w:pPr>
        <w:spacing w:line="600" w:lineRule="exact"/>
        <w:ind w:firstLine="640"/>
        <w:outlineLvl w:val="1"/>
        <w:rPr>
          <w:rFonts w:ascii="黑体" w:eastAsia="黑体"/>
          <w:color w:val="000000"/>
          <w:sz w:val="32"/>
          <w:szCs w:val="32"/>
        </w:rPr>
      </w:pPr>
      <w:bookmarkStart w:id="45" w:name="_Toc15396610"/>
      <w:bookmarkStart w:id="46" w:name="_Toc15377218"/>
    </w:p>
    <w:p>
      <w:pPr>
        <w:spacing w:line="600" w:lineRule="exact"/>
        <w:ind w:firstLine="640"/>
        <w:outlineLvl w:val="1"/>
        <w:rPr>
          <w:rStyle w:val="21"/>
          <w:rFonts w:ascii="黑体" w:hAnsi="黑体" w:eastAsia="黑体"/>
        </w:rPr>
      </w:pPr>
      <w:r>
        <w:rPr>
          <w:rFonts w:hint="eastAsia" w:ascii="黑体" w:eastAsia="黑体"/>
          <w:color w:val="000000"/>
          <w:sz w:val="32"/>
          <w:szCs w:val="32"/>
        </w:rPr>
        <w:t>八、</w:t>
      </w:r>
      <w:r>
        <w:rPr>
          <w:rStyle w:val="21"/>
          <w:rFonts w:hint="eastAsia" w:ascii="黑体" w:hAnsi="黑体" w:eastAsia="黑体"/>
          <w:b w:val="0"/>
        </w:rPr>
        <w:t>政府性基金预算支出决算情况说明</w:t>
      </w:r>
      <w:bookmarkEnd w:id="45"/>
      <w:bookmarkEnd w:id="4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1"/>
          <w:rFonts w:ascii="黑体" w:hAnsi="黑体" w:eastAsia="黑体"/>
          <w:b w:val="0"/>
        </w:rPr>
      </w:pPr>
      <w:bookmarkStart w:id="47" w:name="_Toc15377219"/>
      <w:bookmarkStart w:id="48" w:name="_Toc15396611"/>
      <w:r>
        <w:rPr>
          <w:rStyle w:val="21"/>
          <w:rFonts w:hint="eastAsia" w:ascii="黑体" w:hAns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年国有资本经营预算拨款支出0万元。</w:t>
      </w:r>
    </w:p>
    <w:p>
      <w:pPr>
        <w:spacing w:line="600" w:lineRule="exact"/>
        <w:ind w:firstLine="640"/>
        <w:rPr>
          <w:rFonts w:ascii="仿宋_GB2312" w:eastAsia="仿宋_GB2312"/>
          <w:color w:val="000000"/>
          <w:sz w:val="32"/>
          <w:szCs w:val="32"/>
        </w:rPr>
      </w:pPr>
    </w:p>
    <w:p>
      <w:pPr>
        <w:spacing w:line="600" w:lineRule="exact"/>
        <w:ind w:firstLine="643" w:firstLineChars="200"/>
        <w:outlineLvl w:val="2"/>
        <w:rPr>
          <w:rStyle w:val="21"/>
          <w:rFonts w:ascii="黑体" w:hAnsi="黑体" w:eastAsia="黑体"/>
        </w:rPr>
      </w:pPr>
      <w:r>
        <w:rPr>
          <w:rStyle w:val="21"/>
          <w:rFonts w:hint="eastAsia" w:ascii="黑体" w:hAnsi="黑体" w:eastAsia="黑体"/>
        </w:rPr>
        <w:t>十、其他重要事项的情况说明</w:t>
      </w:r>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年，交易</w:t>
      </w:r>
      <w:r>
        <w:rPr>
          <w:rFonts w:hint="eastAsia" w:ascii="仿宋_GB2312" w:eastAsia="仿宋_GB2312"/>
          <w:color w:val="000000"/>
          <w:sz w:val="32"/>
          <w:szCs w:val="32"/>
          <w:lang w:val="en-US" w:eastAsia="zh-CN"/>
        </w:rPr>
        <w:t>中心机关运行经费支出0万元，</w:t>
      </w:r>
      <w:r>
        <w:rPr>
          <w:rFonts w:hint="eastAsia" w:ascii="仿宋_GB2312" w:hAnsi="仿宋_GB2312" w:eastAsia="仿宋_GB2312"/>
          <w:color w:val="auto"/>
          <w:kern w:val="2"/>
          <w:sz w:val="32"/>
          <w:szCs w:val="24"/>
          <w:lang w:val="en-US"/>
        </w:rPr>
        <w:t>与2021年决算数持平</w:t>
      </w:r>
      <w:r>
        <w:rPr>
          <w:rFonts w:hint="eastAsia" w:ascii="仿宋_GB2312" w:eastAsia="仿宋_GB2312"/>
          <w:color w:val="000000"/>
          <w:sz w:val="32"/>
          <w:szCs w:val="32"/>
          <w:lang w:val="en-US" w:eastAsia="zh-CN"/>
        </w:rPr>
        <w:t>。主要原因：2022年县交易中心接受上级单位检查以及其他区县交易中心交流学习人次依然较少，</w:t>
      </w:r>
      <w:r>
        <w:rPr>
          <w:rFonts w:hint="eastAsia" w:ascii="仿宋_GB2312" w:eastAsia="仿宋_GB2312"/>
          <w:color w:val="000000"/>
          <w:sz w:val="32"/>
          <w:szCs w:val="32"/>
        </w:rPr>
        <w:t>相关公务接待费用</w:t>
      </w:r>
      <w:r>
        <w:rPr>
          <w:rFonts w:hint="eastAsia" w:ascii="仿宋_GB2312" w:eastAsia="仿宋_GB2312"/>
          <w:color w:val="000000"/>
          <w:sz w:val="32"/>
          <w:szCs w:val="32"/>
          <w:lang w:val="en-US" w:eastAsia="zh-CN"/>
        </w:rPr>
        <w:t>依然较少</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 w:hAnsi="仿宋" w:eastAsia="仿宋_GB2312"/>
          <w:b/>
          <w:color w:val="FF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年，交易中心政府采购支出总额0万元。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日，交易中心共有车辆0辆。单价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Style w:val="21"/>
          <w:rFonts w:ascii="仿宋" w:hAnsi="仿宋" w:eastAsia="仿宋"/>
          <w:bCs w:val="0"/>
          <w:color w:val="000000"/>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eastAsia="仿宋_GB2312"/>
          <w:sz w:val="32"/>
          <w:szCs w:val="32"/>
        </w:rPr>
        <w:t>政务运转</w:t>
      </w:r>
      <w:r>
        <w:rPr>
          <w:rFonts w:hint="eastAsia" w:ascii="仿宋_GB2312" w:hAnsi="仿宋_GB2312" w:eastAsia="仿宋_GB2312" w:cs="仿宋_GB2312"/>
          <w:sz w:val="32"/>
          <w:szCs w:val="32"/>
        </w:rPr>
        <w:t>项目开展了预算事前绩效评估，对1个项目编制了绩效目标，预算执行过程中，选取1个项目开展绩效监控，年终执行完毕后，对1个项目开展了绩效目标完成情况自评。</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年部门整体支出开展绩效自评，从评价情况来看，县交易中心在部门整体支出绩效工作中，预算编制、绩效监控、信息公开、绩效评价和满意度等方面完成良好。</w:t>
      </w:r>
    </w:p>
    <w:p>
      <w:pPr>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政府采购电子化服务平台建设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一个项目绩效目标实际完成情况。</w:t>
      </w:r>
      <w:r>
        <w:rPr>
          <w:rFonts w:hint="eastAsia" w:ascii="仿宋_GB2312" w:hAnsi="仿宋_GB2312" w:eastAsia="仿宋_GB2312" w:cs="仿宋_GB2312"/>
          <w:sz w:val="32"/>
          <w:szCs w:val="32"/>
        </w:rPr>
        <w:tab/>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政务运转项目绩效目标完成情况综述。项目全年预算数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主要原因是：年初对项目资金分配未精准细致，导致年末资金有结余，预算执行率没有达到100%。在此后应当加强对资金分配的规范性，做到更加细致化，精准化，以提高预算执行率。</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2"/>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w:t>
            </w:r>
            <w:r>
              <w:rPr>
                <w:rFonts w:hint="eastAsia" w:ascii="宋体" w:hAnsi="宋体" w:cs="宋体"/>
                <w:color w:val="000000"/>
                <w:kern w:val="0"/>
                <w:sz w:val="36"/>
                <w:szCs w:val="36"/>
                <w:lang w:val="en-US" w:eastAsia="zh-CN"/>
              </w:rPr>
              <w:t>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政务运转</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沐川县公共资源交易服务中心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w:t>
            </w:r>
            <w:r>
              <w:rPr>
                <w:rFonts w:hint="eastAsia" w:ascii="宋体" w:hAnsi="宋体" w:cs="宋体"/>
                <w:color w:val="000000"/>
                <w:sz w:val="24"/>
              </w:rPr>
              <w:t>万元</w:t>
            </w:r>
          </w:p>
        </w:tc>
      </w:tr>
      <w:tr>
        <w:tblPrEx>
          <w:tblCellMar>
            <w:top w:w="0" w:type="dxa"/>
            <w:left w:w="0" w:type="dxa"/>
            <w:bottom w:w="0" w:type="dxa"/>
            <w:right w:w="0" w:type="dxa"/>
          </w:tblCellMar>
        </w:tblPrEx>
        <w:trPr>
          <w:trHeight w:val="55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lang w:val="zh-CN"/>
              </w:rPr>
            </w:pPr>
            <w:r>
              <w:rPr>
                <w:rFonts w:hint="eastAsia" w:ascii="宋体" w:hAnsi="宋体" w:cs="宋体"/>
                <w:color w:val="000000"/>
                <w:sz w:val="24"/>
                <w:lang w:val="zh-CN"/>
              </w:rPr>
              <w:t>完成</w:t>
            </w:r>
            <w:r>
              <w:rPr>
                <w:rFonts w:hint="eastAsia" w:ascii="宋体" w:hAnsi="宋体" w:cs="宋体"/>
                <w:color w:val="000000"/>
                <w:sz w:val="24"/>
              </w:rPr>
              <w:t>公开招标业务</w:t>
            </w:r>
            <w:r>
              <w:rPr>
                <w:rFonts w:hint="eastAsia" w:ascii="宋体" w:hAnsi="宋体" w:cs="宋体"/>
                <w:color w:val="000000"/>
                <w:sz w:val="24"/>
                <w:lang w:val="zh-CN"/>
              </w:rPr>
              <w:t>数</w:t>
            </w:r>
            <w:r>
              <w:rPr>
                <w:rFonts w:hint="eastAsia" w:ascii="宋体" w:hAnsi="宋体" w:cs="宋体"/>
                <w:color w:val="000000"/>
                <w:sz w:val="24"/>
                <w:lang w:val="en-US" w:eastAsia="zh-CN"/>
              </w:rPr>
              <w:t>2</w:t>
            </w:r>
            <w:r>
              <w:rPr>
                <w:rFonts w:hint="eastAsia" w:ascii="宋体" w:hAnsi="宋体" w:cs="宋体"/>
                <w:color w:val="000000"/>
                <w:sz w:val="24"/>
                <w:lang w:val="zh-CN"/>
              </w:rPr>
              <w:t>宗，节约资金数</w:t>
            </w:r>
            <w:r>
              <w:rPr>
                <w:rFonts w:hint="eastAsia" w:ascii="宋体" w:hAnsi="宋体" w:cs="宋体"/>
                <w:color w:val="000000"/>
                <w:sz w:val="24"/>
                <w:lang w:val="en-US" w:eastAsia="zh-CN"/>
              </w:rPr>
              <w:t>30</w:t>
            </w:r>
            <w:r>
              <w:rPr>
                <w:rFonts w:hint="eastAsia" w:ascii="宋体" w:hAnsi="宋体" w:cs="宋体"/>
                <w:color w:val="000000"/>
                <w:sz w:val="24"/>
                <w:lang w:val="zh-CN"/>
              </w:rPr>
              <w:t>万元以上，节资率达到</w:t>
            </w:r>
            <w:r>
              <w:rPr>
                <w:rFonts w:hint="eastAsia" w:ascii="宋体" w:hAnsi="宋体" w:cs="宋体"/>
                <w:color w:val="000000"/>
                <w:sz w:val="24"/>
                <w:lang w:val="en-US" w:eastAsia="zh-CN"/>
              </w:rPr>
              <w:t>2</w:t>
            </w:r>
            <w:r>
              <w:rPr>
                <w:rFonts w:hint="eastAsia" w:ascii="宋体" w:hAnsi="宋体" w:cs="宋体"/>
                <w:color w:val="000000"/>
                <w:sz w:val="24"/>
                <w:lang w:val="zh-CN"/>
              </w:rPr>
              <w:t>%以上；</w:t>
            </w:r>
            <w:r>
              <w:rPr>
                <w:rFonts w:hint="eastAsia" w:ascii="宋体" w:hAnsi="宋体" w:cs="宋体"/>
                <w:color w:val="000000"/>
                <w:sz w:val="24"/>
              </w:rPr>
              <w:t>完成竞争谈判业务</w:t>
            </w:r>
            <w:r>
              <w:rPr>
                <w:rFonts w:hint="eastAsia" w:ascii="宋体" w:hAnsi="宋体" w:cs="宋体"/>
                <w:color w:val="000000"/>
                <w:sz w:val="24"/>
                <w:lang w:val="en-US" w:eastAsia="zh-CN"/>
              </w:rPr>
              <w:t>16</w:t>
            </w:r>
            <w:r>
              <w:rPr>
                <w:rFonts w:hint="eastAsia" w:ascii="宋体" w:hAnsi="宋体" w:cs="宋体"/>
                <w:color w:val="000000"/>
                <w:sz w:val="24"/>
                <w:lang w:val="zh-CN"/>
              </w:rPr>
              <w:t>宗，节约资金数</w:t>
            </w:r>
            <w:r>
              <w:rPr>
                <w:rFonts w:hint="eastAsia" w:ascii="宋体" w:hAnsi="宋体" w:cs="宋体"/>
                <w:color w:val="000000"/>
                <w:sz w:val="24"/>
                <w:lang w:val="en-US" w:eastAsia="zh-CN"/>
              </w:rPr>
              <w:t>80</w:t>
            </w:r>
            <w:r>
              <w:rPr>
                <w:rFonts w:hint="eastAsia" w:ascii="宋体" w:hAnsi="宋体" w:cs="宋体"/>
                <w:color w:val="000000"/>
                <w:sz w:val="24"/>
                <w:lang w:val="zh-CN"/>
              </w:rPr>
              <w:t>万元以上，节资率达到</w:t>
            </w:r>
            <w:r>
              <w:rPr>
                <w:rFonts w:hint="eastAsia" w:ascii="宋体" w:hAnsi="宋体" w:cs="宋体"/>
                <w:color w:val="000000"/>
                <w:sz w:val="24"/>
                <w:lang w:val="en-US" w:eastAsia="zh-CN"/>
              </w:rPr>
              <w:t>1</w:t>
            </w:r>
            <w:r>
              <w:rPr>
                <w:rFonts w:hint="eastAsia" w:ascii="宋体" w:hAnsi="宋体" w:cs="宋体"/>
                <w:color w:val="000000"/>
                <w:sz w:val="24"/>
                <w:lang w:val="zh-CN"/>
              </w:rPr>
              <w:t>%以上；完成竞争性</w:t>
            </w:r>
            <w:r>
              <w:rPr>
                <w:rFonts w:hint="eastAsia" w:ascii="宋体" w:hAnsi="宋体" w:cs="宋体"/>
                <w:color w:val="000000"/>
                <w:sz w:val="24"/>
              </w:rPr>
              <w:t>磋商</w:t>
            </w:r>
            <w:r>
              <w:rPr>
                <w:rFonts w:hint="eastAsia" w:ascii="宋体" w:hAnsi="宋体" w:cs="宋体"/>
                <w:color w:val="000000"/>
                <w:sz w:val="24"/>
                <w:lang w:val="zh-CN"/>
              </w:rPr>
              <w:t>采购业务</w:t>
            </w:r>
            <w:r>
              <w:rPr>
                <w:rFonts w:hint="eastAsia" w:ascii="宋体" w:hAnsi="宋体" w:cs="宋体"/>
                <w:color w:val="000000"/>
                <w:sz w:val="24"/>
                <w:lang w:val="en-US" w:eastAsia="zh-CN"/>
              </w:rPr>
              <w:t>1</w:t>
            </w:r>
            <w:r>
              <w:rPr>
                <w:rFonts w:hint="eastAsia" w:ascii="宋体" w:hAnsi="宋体" w:cs="宋体"/>
                <w:color w:val="000000"/>
                <w:sz w:val="24"/>
                <w:lang w:val="zh-CN"/>
              </w:rPr>
              <w:t>宗，节约资金数</w:t>
            </w:r>
            <w:r>
              <w:rPr>
                <w:rFonts w:hint="eastAsia" w:ascii="宋体" w:hAnsi="宋体" w:cs="宋体"/>
                <w:color w:val="000000"/>
                <w:sz w:val="24"/>
                <w:lang w:val="en-US" w:eastAsia="zh-CN"/>
              </w:rPr>
              <w:t>20</w:t>
            </w:r>
            <w:r>
              <w:rPr>
                <w:rFonts w:hint="eastAsia" w:ascii="宋体" w:hAnsi="宋体" w:cs="宋体"/>
                <w:color w:val="000000"/>
                <w:sz w:val="24"/>
                <w:lang w:val="zh-CN"/>
              </w:rPr>
              <w:t>万元以上，节资率达到</w:t>
            </w:r>
            <w:r>
              <w:rPr>
                <w:rFonts w:hint="eastAsia" w:ascii="宋体" w:hAnsi="宋体" w:cs="宋体"/>
                <w:color w:val="000000"/>
                <w:sz w:val="24"/>
                <w:lang w:val="en-US" w:eastAsia="zh-CN"/>
              </w:rPr>
              <w:t>5</w:t>
            </w:r>
            <w:r>
              <w:rPr>
                <w:rFonts w:hint="eastAsia" w:ascii="宋体" w:hAnsi="宋体" w:cs="宋体"/>
                <w:color w:val="000000"/>
                <w:sz w:val="24"/>
                <w:lang w:val="zh-CN"/>
              </w:rPr>
              <w:t>%以上。</w:t>
            </w:r>
          </w:p>
          <w:p>
            <w:pPr>
              <w:widowControl/>
              <w:jc w:val="left"/>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lang w:val="zh-CN"/>
              </w:rPr>
            </w:pPr>
            <w:r>
              <w:rPr>
                <w:rFonts w:hint="eastAsia" w:ascii="宋体" w:hAnsi="宋体" w:cs="宋体"/>
                <w:color w:val="000000"/>
                <w:sz w:val="24"/>
                <w:lang w:val="zh-CN"/>
              </w:rPr>
              <w:t>顺利完成本年度</w:t>
            </w:r>
            <w:r>
              <w:rPr>
                <w:rFonts w:hint="eastAsia" w:ascii="宋体" w:hAnsi="宋体" w:cs="宋体"/>
                <w:color w:val="000000"/>
                <w:sz w:val="24"/>
              </w:rPr>
              <w:t>公开招标</w:t>
            </w:r>
            <w:r>
              <w:rPr>
                <w:rFonts w:hint="eastAsia" w:ascii="宋体" w:hAnsi="宋体" w:cs="宋体"/>
                <w:color w:val="000000"/>
                <w:sz w:val="24"/>
                <w:lang w:val="zh-CN"/>
              </w:rPr>
              <w:t>业务，完成</w:t>
            </w:r>
            <w:r>
              <w:rPr>
                <w:rFonts w:hint="eastAsia" w:ascii="宋体" w:hAnsi="宋体" w:cs="宋体"/>
                <w:color w:val="000000"/>
                <w:sz w:val="24"/>
              </w:rPr>
              <w:t>公开招标</w:t>
            </w:r>
            <w:r>
              <w:rPr>
                <w:rFonts w:hint="eastAsia" w:ascii="宋体" w:hAnsi="宋体" w:cs="宋体"/>
                <w:color w:val="000000"/>
                <w:sz w:val="24"/>
                <w:lang w:val="zh-CN"/>
              </w:rPr>
              <w:t>业务数</w:t>
            </w:r>
            <w:r>
              <w:rPr>
                <w:rFonts w:hint="eastAsia" w:ascii="宋体" w:hAnsi="宋体" w:cs="宋体"/>
                <w:color w:val="000000"/>
                <w:sz w:val="24"/>
                <w:lang w:val="en-US" w:eastAsia="zh-CN"/>
              </w:rPr>
              <w:t>2</w:t>
            </w:r>
            <w:r>
              <w:rPr>
                <w:rFonts w:hint="eastAsia" w:ascii="宋体" w:hAnsi="宋体" w:cs="宋体"/>
                <w:color w:val="000000"/>
                <w:sz w:val="24"/>
                <w:lang w:val="zh-CN"/>
              </w:rPr>
              <w:t>宗；顺利完成本年度</w:t>
            </w:r>
            <w:r>
              <w:rPr>
                <w:rFonts w:hint="eastAsia" w:ascii="宋体" w:hAnsi="宋体" w:cs="宋体"/>
                <w:color w:val="000000"/>
                <w:sz w:val="24"/>
              </w:rPr>
              <w:t>竞争谈判</w:t>
            </w:r>
            <w:r>
              <w:rPr>
                <w:rFonts w:hint="eastAsia" w:ascii="宋体" w:hAnsi="宋体" w:cs="宋体"/>
                <w:color w:val="000000"/>
                <w:sz w:val="24"/>
                <w:lang w:val="zh-CN"/>
              </w:rPr>
              <w:t>业务，完成竞争性谈判采购业务</w:t>
            </w:r>
            <w:r>
              <w:rPr>
                <w:rFonts w:hint="eastAsia" w:ascii="宋体" w:hAnsi="宋体" w:cs="宋体"/>
                <w:color w:val="000000"/>
                <w:sz w:val="24"/>
              </w:rPr>
              <w:t>数</w:t>
            </w:r>
            <w:r>
              <w:rPr>
                <w:rFonts w:hint="eastAsia" w:ascii="宋体" w:hAnsi="宋体" w:cs="宋体"/>
                <w:color w:val="000000"/>
                <w:sz w:val="24"/>
                <w:lang w:val="en-US" w:eastAsia="zh-CN"/>
              </w:rPr>
              <w:t>22</w:t>
            </w:r>
            <w:r>
              <w:rPr>
                <w:rFonts w:hint="eastAsia" w:ascii="宋体" w:hAnsi="宋体" w:cs="宋体"/>
                <w:color w:val="000000"/>
                <w:sz w:val="24"/>
                <w:lang w:val="zh-CN"/>
              </w:rPr>
              <w:t>宗；顺利完成本年度</w:t>
            </w:r>
            <w:r>
              <w:rPr>
                <w:rFonts w:hint="eastAsia" w:ascii="宋体" w:hAnsi="宋体" w:cs="宋体"/>
                <w:color w:val="000000"/>
                <w:sz w:val="24"/>
              </w:rPr>
              <w:t>竞争性磋商业务</w:t>
            </w:r>
            <w:r>
              <w:rPr>
                <w:rFonts w:hint="eastAsia" w:ascii="宋体" w:hAnsi="宋体" w:cs="宋体"/>
                <w:color w:val="000000"/>
                <w:sz w:val="24"/>
                <w:lang w:val="zh-CN"/>
              </w:rPr>
              <w:t>，完成</w:t>
            </w:r>
            <w:r>
              <w:rPr>
                <w:rFonts w:hint="eastAsia" w:ascii="宋体" w:hAnsi="宋体" w:cs="宋体"/>
                <w:color w:val="000000"/>
                <w:sz w:val="24"/>
              </w:rPr>
              <w:t>竞争性磋商业务数</w:t>
            </w:r>
            <w:r>
              <w:rPr>
                <w:rFonts w:hint="eastAsia" w:ascii="宋体" w:hAnsi="宋体" w:cs="宋体"/>
                <w:color w:val="000000"/>
                <w:sz w:val="24"/>
                <w:lang w:val="en-US" w:eastAsia="zh-CN"/>
              </w:rPr>
              <w:t>2</w:t>
            </w:r>
            <w:r>
              <w:rPr>
                <w:rFonts w:hint="eastAsia" w:ascii="宋体" w:hAnsi="宋体" w:cs="宋体"/>
                <w:color w:val="000000"/>
                <w:sz w:val="24"/>
              </w:rPr>
              <w:t>宗。</w:t>
            </w:r>
          </w:p>
          <w:p>
            <w:pPr>
              <w:widowControl/>
              <w:jc w:val="left"/>
              <w:textAlignment w:val="center"/>
              <w:rPr>
                <w:rFonts w:ascii="宋体" w:hAnsi="宋体" w:cs="宋体"/>
                <w:color w:val="000000"/>
                <w:sz w:val="24"/>
                <w:lang w:val="zh-CN"/>
              </w:rPr>
            </w:pPr>
            <w:r>
              <w:rPr>
                <w:rFonts w:hint="eastAsia" w:ascii="宋体" w:hAnsi="宋体" w:cs="宋体"/>
                <w:color w:val="000000"/>
                <w:sz w:val="24"/>
                <w:lang w:val="zh-CN"/>
              </w:rPr>
              <w:t>顺利完成本年度</w:t>
            </w:r>
            <w:r>
              <w:rPr>
                <w:rFonts w:hint="eastAsia" w:ascii="宋体" w:hAnsi="宋体" w:cs="宋体"/>
                <w:color w:val="000000"/>
                <w:sz w:val="24"/>
              </w:rPr>
              <w:t>公开招标</w:t>
            </w:r>
            <w:r>
              <w:rPr>
                <w:rFonts w:hint="eastAsia" w:ascii="宋体" w:hAnsi="宋体" w:cs="宋体"/>
                <w:color w:val="000000"/>
                <w:sz w:val="24"/>
                <w:lang w:val="zh-CN"/>
              </w:rPr>
              <w:t>业务，节约资金数</w:t>
            </w:r>
            <w:r>
              <w:rPr>
                <w:rFonts w:hint="eastAsia" w:ascii="宋体" w:hAnsi="宋体" w:cs="宋体"/>
                <w:color w:val="000000"/>
                <w:sz w:val="24"/>
                <w:lang w:val="en-US" w:eastAsia="zh-CN"/>
              </w:rPr>
              <w:t>50.0727</w:t>
            </w:r>
            <w:r>
              <w:rPr>
                <w:rFonts w:hint="eastAsia" w:ascii="宋体" w:hAnsi="宋体" w:cs="宋体"/>
                <w:color w:val="000000"/>
                <w:sz w:val="24"/>
                <w:lang w:val="zh-CN"/>
              </w:rPr>
              <w:t>万元，节资率达到</w:t>
            </w:r>
            <w:r>
              <w:rPr>
                <w:rFonts w:hint="eastAsia" w:ascii="宋体" w:hAnsi="宋体" w:cs="宋体"/>
                <w:color w:val="000000"/>
                <w:sz w:val="24"/>
                <w:lang w:val="en-US" w:eastAsia="zh-CN"/>
              </w:rPr>
              <w:t>3.21</w:t>
            </w:r>
            <w:r>
              <w:rPr>
                <w:rFonts w:hint="eastAsia" w:ascii="宋体" w:hAnsi="宋体" w:cs="宋体"/>
                <w:color w:val="000000"/>
                <w:sz w:val="24"/>
                <w:lang w:val="zh-CN"/>
              </w:rPr>
              <w:t>%；顺利完成本年度</w:t>
            </w:r>
            <w:r>
              <w:rPr>
                <w:rFonts w:hint="eastAsia" w:ascii="宋体" w:hAnsi="宋体" w:cs="宋体"/>
                <w:color w:val="000000"/>
                <w:sz w:val="24"/>
              </w:rPr>
              <w:t>竞争谈判</w:t>
            </w:r>
            <w:r>
              <w:rPr>
                <w:rFonts w:hint="eastAsia" w:ascii="宋体" w:hAnsi="宋体" w:cs="宋体"/>
                <w:color w:val="000000"/>
                <w:sz w:val="24"/>
                <w:lang w:val="zh-CN"/>
              </w:rPr>
              <w:t>业务，节约资金数</w:t>
            </w:r>
            <w:r>
              <w:rPr>
                <w:rFonts w:hint="eastAsia" w:ascii="宋体" w:hAnsi="宋体" w:cs="宋体"/>
                <w:color w:val="000000"/>
                <w:sz w:val="24"/>
                <w:lang w:val="en-US" w:eastAsia="zh-CN"/>
              </w:rPr>
              <w:t>152.386</w:t>
            </w:r>
            <w:r>
              <w:rPr>
                <w:rFonts w:hint="eastAsia" w:ascii="宋体" w:hAnsi="宋体" w:cs="宋体"/>
                <w:color w:val="000000"/>
                <w:sz w:val="24"/>
                <w:lang w:val="zh-CN"/>
              </w:rPr>
              <w:t>万元，节资率达到</w:t>
            </w:r>
            <w:r>
              <w:rPr>
                <w:rFonts w:hint="eastAsia" w:ascii="宋体" w:hAnsi="宋体" w:cs="宋体"/>
                <w:color w:val="000000"/>
                <w:sz w:val="24"/>
                <w:lang w:val="en-US" w:eastAsia="zh-CN"/>
              </w:rPr>
              <w:t>3.13</w:t>
            </w:r>
            <w:r>
              <w:rPr>
                <w:rFonts w:hint="eastAsia" w:ascii="宋体" w:hAnsi="宋体" w:cs="宋体"/>
                <w:color w:val="000000"/>
                <w:sz w:val="24"/>
                <w:lang w:val="zh-CN"/>
              </w:rPr>
              <w:t>%；顺利完成本年度</w:t>
            </w:r>
            <w:r>
              <w:rPr>
                <w:rFonts w:hint="eastAsia" w:ascii="宋体" w:hAnsi="宋体" w:cs="宋体"/>
                <w:color w:val="000000"/>
                <w:sz w:val="24"/>
              </w:rPr>
              <w:t>竞争性磋商业务，</w:t>
            </w:r>
            <w:r>
              <w:rPr>
                <w:rFonts w:hint="eastAsia" w:ascii="宋体" w:hAnsi="宋体" w:cs="宋体"/>
                <w:color w:val="000000"/>
                <w:sz w:val="24"/>
                <w:lang w:val="zh-CN"/>
              </w:rPr>
              <w:t>节约资金数</w:t>
            </w:r>
            <w:r>
              <w:rPr>
                <w:rFonts w:hint="eastAsia" w:ascii="宋体" w:hAnsi="宋体" w:cs="宋体"/>
                <w:color w:val="000000"/>
                <w:sz w:val="24"/>
                <w:lang w:val="en-US" w:eastAsia="zh-CN"/>
              </w:rPr>
              <w:t>40.635</w:t>
            </w:r>
            <w:r>
              <w:rPr>
                <w:rFonts w:hint="eastAsia" w:ascii="宋体" w:hAnsi="宋体" w:cs="宋体"/>
                <w:color w:val="000000"/>
                <w:sz w:val="24"/>
                <w:lang w:val="zh-CN"/>
              </w:rPr>
              <w:t>万元，节资率达到</w:t>
            </w:r>
            <w:r>
              <w:rPr>
                <w:rFonts w:hint="eastAsia" w:ascii="宋体" w:hAnsi="宋体" w:cs="宋体"/>
                <w:color w:val="000000"/>
                <w:sz w:val="24"/>
                <w:lang w:val="en-US" w:eastAsia="zh-CN"/>
              </w:rPr>
              <w:t>14.46</w:t>
            </w:r>
            <w:r>
              <w:rPr>
                <w:rFonts w:hint="eastAsia" w:ascii="宋体" w:hAnsi="宋体" w:cs="宋体"/>
                <w:color w:val="000000"/>
                <w:sz w:val="24"/>
                <w:lang w:val="zh-CN"/>
              </w:rPr>
              <w:t>%。</w:t>
            </w:r>
          </w:p>
          <w:p>
            <w:pPr>
              <w:widowControl/>
              <w:jc w:val="left"/>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rPr>
              <w:t>完成</w:t>
            </w:r>
            <w:r>
              <w:rPr>
                <w:rFonts w:hint="eastAsia" w:ascii="宋体" w:hAnsi="宋体" w:cs="宋体"/>
                <w:color w:val="000000"/>
                <w:sz w:val="24"/>
              </w:rPr>
              <w:t>公开招标业务</w:t>
            </w:r>
            <w:r>
              <w:rPr>
                <w:rFonts w:hint="eastAsia" w:ascii="宋体" w:hAnsi="宋体" w:cs="宋体"/>
                <w:color w:val="000000"/>
                <w:sz w:val="24"/>
                <w:lang w:val="zh-CN"/>
              </w:rPr>
              <w:t>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宋体" w:cs="宋体"/>
                <w:color w:val="000000"/>
                <w:sz w:val="24"/>
                <w:lang w:val="en-US" w:eastAsia="zh-CN"/>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3</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rPr>
              <w:t>完成竞争谈判业务数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16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22</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zh-CN"/>
              </w:rPr>
              <w:t>完成竞争性</w:t>
            </w:r>
            <w:r>
              <w:rPr>
                <w:rFonts w:hint="eastAsia" w:ascii="宋体" w:hAnsi="宋体" w:cs="宋体"/>
                <w:color w:val="000000"/>
                <w:sz w:val="24"/>
              </w:rPr>
              <w:t>磋商</w:t>
            </w:r>
            <w:r>
              <w:rPr>
                <w:rFonts w:hint="eastAsia" w:ascii="宋体" w:hAnsi="宋体" w:cs="宋体"/>
                <w:color w:val="000000"/>
                <w:sz w:val="24"/>
                <w:lang w:val="zh-CN"/>
              </w:rPr>
              <w:t>采购业务</w:t>
            </w:r>
            <w:r>
              <w:rPr>
                <w:rFonts w:hint="eastAsia" w:ascii="宋体" w:hAnsi="宋体" w:cs="宋体"/>
                <w:color w:val="000000"/>
                <w:sz w:val="24"/>
              </w:rPr>
              <w:t>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2</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完成公开招标业务</w:t>
            </w:r>
            <w:r>
              <w:rPr>
                <w:rFonts w:hint="eastAsia" w:ascii="宋体" w:hAnsi="宋体" w:cs="宋体"/>
                <w:color w:val="000000"/>
                <w:sz w:val="24"/>
                <w:lang w:val="zh-CN"/>
              </w:rPr>
              <w:t>节约资金数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30</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50.0727</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完成竞争谈判业务</w:t>
            </w:r>
            <w:r>
              <w:rPr>
                <w:rFonts w:hint="eastAsia" w:ascii="宋体" w:hAnsi="宋体" w:cs="宋体"/>
                <w:color w:val="000000"/>
                <w:sz w:val="24"/>
                <w:lang w:val="zh-CN"/>
              </w:rPr>
              <w:t>节约资金数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80</w:t>
            </w:r>
            <w:r>
              <w:rPr>
                <w:rFonts w:hint="eastAsia" w:ascii="宋体" w:hAnsi="宋体" w:cs="宋体"/>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152.386</w:t>
            </w:r>
            <w:r>
              <w:rPr>
                <w:rFonts w:hint="eastAsia" w:ascii="宋体" w:hAnsi="宋体" w:cs="宋体"/>
                <w:color w:val="000000"/>
                <w:sz w:val="24"/>
              </w:rPr>
              <w:t>万</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rPr>
              <w:t>完成竞争性</w:t>
            </w:r>
            <w:r>
              <w:rPr>
                <w:rFonts w:hint="eastAsia" w:ascii="宋体" w:hAnsi="宋体" w:cs="宋体"/>
                <w:color w:val="000000"/>
                <w:sz w:val="24"/>
              </w:rPr>
              <w:t>磋商</w:t>
            </w:r>
            <w:r>
              <w:rPr>
                <w:rFonts w:hint="eastAsia" w:ascii="宋体" w:hAnsi="宋体" w:cs="宋体"/>
                <w:color w:val="000000"/>
                <w:sz w:val="24"/>
                <w:lang w:val="zh-CN"/>
              </w:rPr>
              <w:t>采购业务节约资金数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20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40.635万</w:t>
            </w:r>
            <w:r>
              <w:rPr>
                <w:rFonts w:hint="eastAsia" w:ascii="宋体" w:hAnsi="宋体" w:cs="宋体"/>
                <w:color w:val="000000"/>
                <w:sz w:val="24"/>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总节资率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2</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eastAsia="宋体" w:cs="宋体"/>
                <w:color w:val="000000"/>
                <w:sz w:val="24"/>
              </w:rPr>
            </w:pPr>
            <w:r>
              <w:rPr>
                <w:rFonts w:hint="eastAsia" w:ascii="宋体" w:hAnsi="宋体" w:cs="宋体"/>
                <w:color w:val="000000"/>
                <w:sz w:val="24"/>
                <w:lang w:val="en-US" w:eastAsia="zh-CN"/>
              </w:rPr>
              <w:t>3.6</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比选招标谈判业务完成质量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良好</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政府采购业务</w:t>
            </w:r>
          </w:p>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良好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良好</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对比选招标谈判业务、政府采购业务满意度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年度沐川县公共资源交易服务中心整体支出绩效评价报告》见附件（附件1）。</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本部门自行组织对项目</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开展了绩效评价，《202</w:t>
      </w:r>
      <w:r>
        <w:rPr>
          <w:rFonts w:hint="eastAsia" w:ascii="仿宋_GB2312" w:hAnsi="仿宋_GB2312" w:eastAsia="仿宋_GB2312" w:cs="仿宋_GB2312"/>
          <w:sz w:val="32"/>
          <w:szCs w:val="32"/>
          <w:lang w:val="en-US" w:eastAsia="zh-CN"/>
        </w:rPr>
        <w:t>2年</w:t>
      </w:r>
      <w:r>
        <w:rPr>
          <w:rFonts w:hint="eastAsia" w:ascii="仿宋_GB2312" w:hAnsi="仿宋_GB2312" w:eastAsia="仿宋_GB2312" w:cs="仿宋_GB2312"/>
          <w:sz w:val="32"/>
          <w:szCs w:val="32"/>
        </w:rPr>
        <w:t>度沐川县公共资源交易服务中心项目支出绩效自评报告》见附件（附件2）。</w:t>
      </w: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jc w:val="center"/>
        <w:rPr>
          <w:rFonts w:ascii="方正小标宋简体" w:hAnsi="方正小标宋简体" w:eastAsia="方正小标宋简体" w:cs="方正小标宋简体"/>
          <w:sz w:val="44"/>
          <w:szCs w:val="44"/>
        </w:rPr>
      </w:pPr>
    </w:p>
    <w:p>
      <w:pPr>
        <w:spacing w:line="580" w:lineRule="exact"/>
        <w:rPr>
          <w:rFonts w:ascii="方正小标宋简体" w:hAnsi="方正小标宋简体" w:eastAsia="方正小标宋简体" w:cs="方正小标宋简体"/>
          <w:sz w:val="44"/>
          <w:szCs w:val="44"/>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pStyle w:val="6"/>
        <w:rPr>
          <w:rFonts w:ascii="仿宋_GB2312" w:eastAsia="仿宋_GB2312"/>
          <w:color w:val="000000"/>
          <w:sz w:val="32"/>
          <w:szCs w:val="32"/>
        </w:rPr>
      </w:pPr>
    </w:p>
    <w:p>
      <w:pPr>
        <w:pStyle w:val="6"/>
        <w:rPr>
          <w:rFonts w:ascii="仿宋_GB2312" w:eastAsia="仿宋_GB2312"/>
          <w:color w:val="000000"/>
          <w:sz w:val="32"/>
          <w:szCs w:val="32"/>
        </w:rPr>
      </w:pPr>
    </w:p>
    <w:p>
      <w:pPr>
        <w:pStyle w:val="6"/>
        <w:rPr>
          <w:rFonts w:ascii="仿宋_GB2312" w:eastAsia="仿宋_GB2312"/>
          <w:color w:val="000000"/>
          <w:sz w:val="32"/>
          <w:szCs w:val="32"/>
        </w:rPr>
      </w:pPr>
    </w:p>
    <w:p>
      <w:pPr>
        <w:pStyle w:val="6"/>
        <w:rPr>
          <w:rFonts w:hint="eastAsia" w:ascii="仿宋_GB2312" w:eastAsia="仿宋_GB2312"/>
          <w:color w:val="000000"/>
          <w:sz w:val="32"/>
          <w:szCs w:val="32"/>
          <w:lang w:eastAsia="zh-CN"/>
        </w:rPr>
      </w:pPr>
    </w:p>
    <w:p>
      <w:pPr>
        <w:pStyle w:val="6"/>
        <w:rPr>
          <w:rFonts w:hint="eastAsia" w:ascii="仿宋_GB2312" w:eastAsia="仿宋_GB2312"/>
          <w:color w:val="000000"/>
          <w:sz w:val="32"/>
          <w:szCs w:val="32"/>
          <w:lang w:eastAsia="zh-CN"/>
        </w:rPr>
      </w:pPr>
    </w:p>
    <w:p>
      <w:pPr>
        <w:pStyle w:val="6"/>
        <w:rPr>
          <w:rFonts w:hint="eastAsia" w:ascii="仿宋_GB2312" w:eastAsia="仿宋_GB2312"/>
          <w:color w:val="000000"/>
          <w:sz w:val="32"/>
          <w:szCs w:val="32"/>
          <w:lang w:eastAsia="zh-CN"/>
        </w:rPr>
      </w:pPr>
    </w:p>
    <w:p>
      <w:pPr>
        <w:pStyle w:val="6"/>
        <w:rPr>
          <w:rFonts w:hint="eastAsia" w:ascii="仿宋_GB2312" w:eastAsia="仿宋_GB2312"/>
          <w:color w:val="000000"/>
          <w:sz w:val="32"/>
          <w:szCs w:val="32"/>
          <w:lang w:eastAsia="zh-CN"/>
        </w:rPr>
      </w:pPr>
    </w:p>
    <w:p>
      <w:pPr>
        <w:pStyle w:val="6"/>
        <w:rPr>
          <w:rFonts w:hint="eastAsia" w:ascii="仿宋_GB2312" w:eastAsia="仿宋_GB2312"/>
          <w:color w:val="000000"/>
          <w:sz w:val="32"/>
          <w:szCs w:val="32"/>
          <w:lang w:eastAsia="zh-CN"/>
        </w:rPr>
      </w:pPr>
    </w:p>
    <w:p>
      <w:pPr>
        <w:numPr>
          <w:ilvl w:val="0"/>
          <w:numId w:val="3"/>
        </w:numPr>
        <w:spacing w:line="600" w:lineRule="exact"/>
        <w:ind w:firstLine="663" w:firstLineChars="150"/>
        <w:jc w:val="center"/>
        <w:outlineLvl w:val="0"/>
        <w:rPr>
          <w:rStyle w:val="20"/>
          <w:rFonts w:ascii="黑体" w:hAnsi="黑体" w:eastAsia="黑体"/>
          <w:b w:val="0"/>
        </w:rPr>
      </w:pPr>
      <w:bookmarkStart w:id="49" w:name="_Toc15377225"/>
      <w:bookmarkStart w:id="50" w:name="_Toc15396613"/>
      <w:r>
        <w:rPr>
          <w:rFonts w:hint="eastAsia" w:ascii="黑体" w:hAnsi="黑体" w:eastAsia="黑体"/>
          <w:b/>
          <w:color w:val="000000"/>
          <w:sz w:val="44"/>
          <w:szCs w:val="44"/>
        </w:rPr>
        <w:t>名</w:t>
      </w:r>
      <w:r>
        <w:rPr>
          <w:rStyle w:val="20"/>
          <w:rFonts w:hint="eastAsia" w:ascii="黑体" w:hAnsi="黑体" w:eastAsia="黑体"/>
          <w:b w:val="0"/>
        </w:rPr>
        <w:t>词解释</w:t>
      </w:r>
      <w:bookmarkEnd w:id="49"/>
      <w:bookmarkEnd w:id="50"/>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1.财政拨款收入：指县级财政当年拨付的资金。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3.一般公共服务（类）政府办公厅（室）及相关机构事务（款）一般行政管理事务（项）：指行政府办公厅及相关机构未单独设置项级科目的其他用于一般行政管理事务方面的项目支出。</w:t>
      </w:r>
    </w:p>
    <w:p>
      <w:pPr>
        <w:pStyle w:val="23"/>
        <w:spacing w:line="560" w:lineRule="exact"/>
        <w:ind w:firstLine="640" w:firstLineChars="200"/>
        <w:rPr>
          <w:rFonts w:ascii="仿宋_GB2312" w:hAnsi="宋体" w:eastAsia="仿宋_GB2312" w:cs="仿宋_GB2312"/>
          <w:sz w:val="32"/>
          <w:szCs w:val="32"/>
          <w:shd w:val="clear" w:color="auto" w:fill="FFFFFF"/>
        </w:rPr>
      </w:pPr>
      <w:r>
        <w:rPr>
          <w:rFonts w:hint="eastAsia" w:ascii="仿宋_GB2312" w:eastAsia="仿宋_GB2312"/>
          <w:sz w:val="32"/>
          <w:szCs w:val="32"/>
        </w:rPr>
        <w:t>4.一般公共服务（类）政府办公厅（室）及相关机构事务（款）事业运行（项）: 指交易中心用于</w:t>
      </w:r>
      <w:r>
        <w:rPr>
          <w:rFonts w:ascii="仿宋_GB2312" w:hAnsi="宋体" w:eastAsia="仿宋_GB2312" w:cs="仿宋_GB2312"/>
          <w:sz w:val="32"/>
          <w:szCs w:val="32"/>
          <w:shd w:val="clear" w:color="auto" w:fill="FFFFFF"/>
        </w:rPr>
        <w:t>基本工资、津贴补贴、奖金、其他社会保障缴费、奖励金、住房公积金、其他对个人和家庭的补助支出、办公费、印刷费、邮电费、差旅费、培训费、工会经费、其他商品和服务支出。</w:t>
      </w:r>
    </w:p>
    <w:p>
      <w:pPr>
        <w:pStyle w:val="23"/>
        <w:spacing w:line="560" w:lineRule="exact"/>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rPr>
        <w:t>5.</w:t>
      </w:r>
      <w:r>
        <w:rPr>
          <w:rFonts w:hint="eastAsia" w:ascii="仿宋_GB2312" w:eastAsia="仿宋_GB2312"/>
          <w:sz w:val="32"/>
          <w:szCs w:val="32"/>
        </w:rPr>
        <w:t>社会保障和就业（类）行政事业单位离退休（款）机关事业单位基本养老保险缴费支出（项）:</w:t>
      </w:r>
      <w:r>
        <w:rPr>
          <w:rFonts w:ascii="仿宋_GB2312" w:hAnsi="宋体" w:eastAsia="仿宋_GB2312" w:cs="仿宋_GB2312"/>
          <w:sz w:val="32"/>
          <w:szCs w:val="32"/>
          <w:shd w:val="clear" w:color="auto" w:fill="FFFFFF"/>
        </w:rPr>
        <w:t>反映机关事业单位实施养老保险制度由单位缴纳的基本养老保险费支出。</w:t>
      </w:r>
    </w:p>
    <w:p>
      <w:pPr>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6.医疗卫生与计划生育（类）医疗保障（款）事业单位医疗（项）:指财政部门集中安排的单位基本医疗缴费经费。</w:t>
      </w:r>
    </w:p>
    <w:p>
      <w:pPr>
        <w:ind w:firstLine="640" w:firstLineChars="200"/>
        <w:rPr>
          <w:rStyle w:val="14"/>
          <w:rFonts w:ascii="仿宋_GB2312" w:eastAsia="仿宋_GB2312"/>
          <w:color w:val="000000"/>
          <w:sz w:val="32"/>
          <w:szCs w:val="32"/>
        </w:rPr>
      </w:pPr>
      <w:r>
        <w:rPr>
          <w:rFonts w:hint="eastAsia" w:ascii="仿宋_GB2312" w:eastAsia="仿宋_GB2312" w:cs="仿宋"/>
          <w:color w:val="000000"/>
          <w:kern w:val="0"/>
          <w:sz w:val="32"/>
          <w:szCs w:val="32"/>
        </w:rPr>
        <w:t>7.住房保障支出（类）住房改革支出（款）住房公积金（项）:指单位按人力资源和社会保障部、财政部规定</w:t>
      </w:r>
      <w:r>
        <w:rPr>
          <w:rFonts w:ascii="仿宋_GB2312" w:hAnsi="宋体" w:eastAsia="仿宋_GB2312" w:cs="仿宋_GB2312"/>
          <w:color w:val="000000"/>
          <w:sz w:val="32"/>
          <w:szCs w:val="32"/>
          <w:shd w:val="clear" w:color="auto" w:fill="FFFFFF"/>
        </w:rPr>
        <w:t>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10.项目支出：指在基本支出之外为完成特定行政任务和事业发展目标所发生的支出。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0"/>
          <w:rFonts w:ascii="黑体" w:hAnsi="黑体" w:eastAsia="黑体"/>
          <w:b w:val="0"/>
        </w:rPr>
      </w:pPr>
      <w:bookmarkStart w:id="51" w:name="_Toc15377226"/>
      <w:r>
        <w:rPr>
          <w:rFonts w:ascii="宋体"/>
          <w:b/>
          <w:color w:val="000000"/>
          <w:sz w:val="44"/>
          <w:szCs w:val="44"/>
        </w:rPr>
        <w:br w:type="page"/>
      </w:r>
      <w:bookmarkStart w:id="52" w:name="_Toc15396614"/>
      <w:r>
        <w:rPr>
          <w:rFonts w:hint="eastAsia" w:ascii="黑体" w:hAnsi="黑体" w:eastAsia="黑体"/>
          <w:color w:val="000000"/>
          <w:sz w:val="44"/>
          <w:szCs w:val="44"/>
        </w:rPr>
        <w:t>第</w:t>
      </w:r>
      <w:r>
        <w:rPr>
          <w:rStyle w:val="20"/>
          <w:rFonts w:hint="eastAsia" w:ascii="黑体" w:hAnsi="黑体" w:eastAsia="黑体"/>
          <w:b w:val="0"/>
        </w:rPr>
        <w:t>四部分 附件</w:t>
      </w:r>
      <w:bookmarkEnd w:id="52"/>
    </w:p>
    <w:p>
      <w:pPr>
        <w:spacing w:line="600" w:lineRule="exact"/>
        <w:jc w:val="center"/>
        <w:outlineLvl w:val="0"/>
        <w:rPr>
          <w:rStyle w:val="20"/>
        </w:rPr>
      </w:pPr>
    </w:p>
    <w:p>
      <w:pPr>
        <w:pStyle w:val="4"/>
        <w:rPr>
          <w:rStyle w:val="20"/>
          <w:rFonts w:hint="eastAsia" w:ascii="仿宋" w:hAnsi="仿宋" w:eastAsia="仿宋"/>
          <w:b w:val="0"/>
          <w:bCs w:val="0"/>
          <w:sz w:val="32"/>
          <w:szCs w:val="32"/>
        </w:rPr>
      </w:pPr>
      <w:bookmarkStart w:id="53" w:name="_Toc15396615"/>
      <w:r>
        <w:rPr>
          <w:rStyle w:val="20"/>
          <w:rFonts w:hint="eastAsia" w:ascii="仿宋" w:hAnsi="仿宋" w:eastAsia="仿宋"/>
          <w:b w:val="0"/>
          <w:bCs w:val="0"/>
          <w:sz w:val="32"/>
          <w:szCs w:val="32"/>
        </w:rPr>
        <w:t>附件1</w:t>
      </w:r>
      <w:bookmarkEnd w:id="53"/>
    </w:p>
    <w:p>
      <w:pPr>
        <w:rPr>
          <w:rFonts w:hint="eastAsia"/>
        </w:rPr>
      </w:pPr>
    </w:p>
    <w:p>
      <w:pPr>
        <w:spacing w:line="580" w:lineRule="exact"/>
        <w:jc w:val="center"/>
        <w:rPr>
          <w:rFonts w:hint="eastAsia" w:ascii="黑体" w:hAnsi="黑体" w:eastAsia="黑体" w:cs="方正小标宋简体"/>
          <w:sz w:val="44"/>
          <w:szCs w:val="44"/>
        </w:rPr>
      </w:pPr>
      <w:bookmarkStart w:id="54" w:name="_Toc15396617"/>
      <w:r>
        <w:rPr>
          <w:rFonts w:hint="eastAsia" w:ascii="黑体" w:hAnsi="黑体" w:eastAsia="黑体" w:cs="方正小标宋简体"/>
          <w:sz w:val="44"/>
          <w:szCs w:val="44"/>
        </w:rPr>
        <w:t>202</w:t>
      </w:r>
      <w:r>
        <w:rPr>
          <w:rFonts w:hint="eastAsia" w:ascii="黑体" w:hAnsi="黑体" w:eastAsia="黑体" w:cs="方正小标宋简体"/>
          <w:sz w:val="44"/>
          <w:szCs w:val="44"/>
          <w:lang w:val="en-US" w:eastAsia="zh-CN"/>
        </w:rPr>
        <w:t>2</w:t>
      </w:r>
      <w:r>
        <w:rPr>
          <w:rFonts w:hint="eastAsia" w:ascii="黑体" w:hAnsi="黑体" w:eastAsia="黑体" w:cs="方正小标宋简体"/>
          <w:sz w:val="44"/>
          <w:szCs w:val="44"/>
        </w:rPr>
        <w:t>年度沐川县公共资源交易服务中心</w:t>
      </w:r>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整体支出绩效评价报告</w:t>
      </w:r>
    </w:p>
    <w:p>
      <w:pPr>
        <w:widowControl/>
        <w:adjustRightInd w:val="0"/>
        <w:snapToGrid w:val="0"/>
        <w:spacing w:line="580" w:lineRule="exact"/>
        <w:ind w:firstLine="660" w:firstLineChars="200"/>
        <w:contextualSpacing/>
        <w:jc w:val="left"/>
        <w:rPr>
          <w:rFonts w:ascii="方正仿宋_GBK" w:hAnsi="宋体" w:eastAsia="方正仿宋_GBK" w:cs="宋体"/>
          <w:color w:val="000000"/>
          <w:kern w:val="0"/>
          <w:sz w:val="33"/>
          <w:szCs w:val="33"/>
          <w:shd w:val="clear" w:color="auto" w:fill="FFFFFF"/>
        </w:rPr>
      </w:pPr>
    </w:p>
    <w:p>
      <w:pPr>
        <w:adjustRightInd w:val="0"/>
        <w:snapToGrid w:val="0"/>
        <w:spacing w:line="600" w:lineRule="exact"/>
        <w:ind w:firstLine="720"/>
        <w:rPr>
          <w:rFonts w:hint="eastAsia"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部门（单位）概况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（一）机构组成。</w:t>
      </w:r>
    </w:p>
    <w:p>
      <w:pPr>
        <w:spacing w:line="580" w:lineRule="exact"/>
        <w:ind w:firstLine="640" w:firstLineChars="200"/>
        <w:rPr>
          <w:rFonts w:ascii="仿宋_GB2312" w:eastAsia="仿宋_GB2312"/>
          <w:bCs/>
          <w:color w:val="000000"/>
          <w:szCs w:val="32"/>
        </w:rPr>
      </w:pPr>
      <w:r>
        <w:rPr>
          <w:rFonts w:hint="eastAsia" w:ascii="仿宋_GB2312" w:hAnsi="仿宋_GB2312" w:eastAsia="仿宋_GB2312" w:cs="仿宋_GB2312"/>
          <w:sz w:val="32"/>
          <w:szCs w:val="32"/>
        </w:rPr>
        <w:t>县交易中心为财政一级预算单位，内设5个机构，分别为：综合股、交易受理股、交易组织股（政策法规股）、交易评审股、现场监督股，无下属二级预算单位。</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（二）机构职能。</w:t>
      </w:r>
    </w:p>
    <w:p>
      <w:pPr>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县交易中心为县政府工作部门，主要负责建设工程招投标、政府采购、土地和矿产资源、国有产权和国有资产交易以及特殊资源、特许经营权出（转）让等公共资源交易提供现场服务等工作。</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1、贯彻落实公共资源交易服务相关法律、法规和政策，为公共资源交易活动提供场所、设施和服务。</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2、制定公共资源交易现场管理规章制度、工作流程并组织实施；指导全县公共资源交易活动现场服务和管理工作。</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3、承担县公共资源信息平台及电子交易平台建设和管理；按照有关规定统一发布公共资源交易信息，为交易各方提供交易咨询等服务；开展计算机辅助评标、远程异地评标等公共资源交易电子化工作。</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4、对全县进入县公共资源交易平台运作的建设工程招投标、政府采购、土地和矿产资源、国有产权和国有资产交易以及特殊资源、特许经营权出（转）让等公共资源交易提供现场服务。</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5、核查进场交易项目相关手续和参与交易活动各方主体资格。</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6、建立公共资源交易从业者场内信誉评价制度及与行业主管部门相关评价体系的衔接机制，参与建立公共资源交易从业激励、惩戒等制度并实施。</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7、负责对进入县公共资源交易平台的交易各方进行现场监管，记录、制止和纠正违反交易现场管理制度的行为。</w:t>
      </w:r>
    </w:p>
    <w:p>
      <w:pPr>
        <w:spacing w:line="580" w:lineRule="exact"/>
        <w:ind w:firstLine="640" w:firstLineChars="200"/>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8、承担县委、县政府交办的其他事项。</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（三）人员概况。</w:t>
      </w:r>
    </w:p>
    <w:p>
      <w:pPr>
        <w:widowControl/>
        <w:tabs>
          <w:tab w:val="left" w:pos="3840"/>
        </w:tabs>
        <w:adjustRightInd w:val="0"/>
        <w:snapToGrid w:val="0"/>
        <w:spacing w:line="580" w:lineRule="exact"/>
        <w:ind w:firstLine="640" w:firstLineChars="200"/>
        <w:contextualSpacing/>
        <w:jc w:val="left"/>
        <w:rPr>
          <w:rFonts w:ascii="楷体_GB2312" w:hAnsi="宋体" w:eastAsia="楷体_GB2312" w:cs="宋体"/>
          <w:color w:val="000000"/>
          <w:kern w:val="0"/>
          <w:szCs w:val="32"/>
          <w:shd w:val="clear" w:color="auto" w:fill="FFFFFF"/>
          <w:lang w:val="zh-CN"/>
        </w:rPr>
      </w:pPr>
      <w:r>
        <w:rPr>
          <w:rFonts w:hint="eastAsia" w:ascii="仿宋_GB2312" w:hAnsi="仿宋_GB2312" w:eastAsia="仿宋_GB2312" w:cs="仿宋_GB2312"/>
          <w:sz w:val="32"/>
          <w:szCs w:val="32"/>
          <w:lang w:val="zh-CN"/>
        </w:rPr>
        <w:t>县交易中心共有编制16人，202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年末实有人数1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人。</w:t>
      </w:r>
      <w:r>
        <w:rPr>
          <w:rFonts w:ascii="楷体_GB2312" w:hAnsi="宋体" w:eastAsia="楷体_GB2312" w:cs="宋体"/>
          <w:color w:val="000000"/>
          <w:kern w:val="0"/>
          <w:szCs w:val="32"/>
          <w:shd w:val="clear" w:color="auto" w:fill="FFFFFF"/>
          <w:lang w:val="zh-CN"/>
        </w:rPr>
        <w:tab/>
      </w:r>
    </w:p>
    <w:p>
      <w:pPr>
        <w:adjustRightInd w:val="0"/>
        <w:snapToGrid w:val="0"/>
        <w:spacing w:line="600" w:lineRule="exact"/>
        <w:ind w:firstLine="720"/>
        <w:rPr>
          <w:rFonts w:hint="eastAsia" w:ascii="黑体" w:hAnsi="宋体" w:eastAsia="黑体"/>
          <w:sz w:val="32"/>
          <w:szCs w:val="32"/>
        </w:rPr>
      </w:pPr>
      <w:r>
        <w:rPr>
          <w:rFonts w:hint="eastAsia" w:ascii="黑体" w:hAnsi="宋体" w:eastAsia="黑体"/>
          <w:sz w:val="32"/>
          <w:szCs w:val="32"/>
        </w:rPr>
        <w:t>二、部门财政资金收支情况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（一）部门财政资金收入情况。</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年收入决算总计</w:t>
      </w:r>
      <w:r>
        <w:rPr>
          <w:rFonts w:hint="eastAsia" w:ascii="仿宋_GB2312" w:hAnsi="仿宋_GB2312" w:eastAsia="仿宋_GB2312"/>
          <w:color w:val="000000"/>
          <w:kern w:val="2"/>
          <w:sz w:val="32"/>
          <w:szCs w:val="24"/>
          <w:lang w:val="zh-CN"/>
        </w:rPr>
        <w:t>293</w:t>
      </w:r>
      <w:r>
        <w:rPr>
          <w:rFonts w:hint="eastAsia" w:ascii="仿宋_GB2312" w:hAnsi="仿宋_GB2312" w:eastAsia="仿宋_GB2312" w:cs="仿宋_GB2312"/>
          <w:sz w:val="32"/>
          <w:szCs w:val="32"/>
          <w:lang w:val="zh-CN"/>
        </w:rPr>
        <w:t>万元，其中：当年一般公共预算财政拨款收入</w:t>
      </w:r>
      <w:r>
        <w:rPr>
          <w:rFonts w:hint="eastAsia" w:ascii="仿宋_GB2312" w:hAnsi="仿宋_GB2312" w:eastAsia="仿宋_GB2312"/>
          <w:color w:val="000000"/>
          <w:kern w:val="2"/>
          <w:sz w:val="32"/>
          <w:szCs w:val="24"/>
          <w:lang w:val="zh-CN"/>
        </w:rPr>
        <w:t>293</w:t>
      </w:r>
      <w:r>
        <w:rPr>
          <w:rFonts w:hint="eastAsia" w:ascii="仿宋_GB2312" w:hAnsi="仿宋_GB2312" w:eastAsia="仿宋_GB2312" w:cs="仿宋_GB2312"/>
          <w:sz w:val="32"/>
          <w:szCs w:val="32"/>
          <w:lang w:val="zh-CN"/>
        </w:rPr>
        <w:t>万元。</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（二）部门财政资金支出情况。</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年本年支出合计</w:t>
      </w:r>
      <w:r>
        <w:rPr>
          <w:rFonts w:hint="eastAsia" w:ascii="仿宋_GB2312" w:hAnsi="仿宋_GB2312" w:eastAsia="仿宋_GB2312"/>
          <w:color w:val="000000"/>
          <w:kern w:val="2"/>
          <w:sz w:val="32"/>
          <w:szCs w:val="24"/>
          <w:lang w:val="zh-CN"/>
        </w:rPr>
        <w:t>293</w:t>
      </w:r>
      <w:r>
        <w:rPr>
          <w:rFonts w:hint="eastAsia" w:ascii="仿宋_GB2312" w:hAnsi="仿宋_GB2312" w:eastAsia="仿宋_GB2312" w:cs="仿宋_GB2312"/>
          <w:sz w:val="32"/>
          <w:szCs w:val="32"/>
          <w:lang w:val="zh-CN"/>
        </w:rPr>
        <w:t>万元，其中：人员经费</w:t>
      </w:r>
      <w:r>
        <w:rPr>
          <w:rFonts w:hint="eastAsia" w:ascii="仿宋_GB2312" w:hAnsi="仿宋_GB2312" w:eastAsia="仿宋_GB2312"/>
          <w:color w:val="000000"/>
          <w:kern w:val="2"/>
          <w:sz w:val="32"/>
          <w:szCs w:val="24"/>
          <w:lang w:val="zh-CN"/>
        </w:rPr>
        <w:t>193.83</w:t>
      </w:r>
      <w:r>
        <w:rPr>
          <w:rFonts w:hint="eastAsia" w:ascii="仿宋_GB2312" w:hAnsi="仿宋_GB2312" w:eastAsia="仿宋_GB2312" w:cs="仿宋_GB2312"/>
          <w:sz w:val="32"/>
          <w:szCs w:val="32"/>
          <w:lang w:val="zh-CN"/>
        </w:rPr>
        <w:t>万元，占</w:t>
      </w:r>
      <w:r>
        <w:rPr>
          <w:rFonts w:hint="eastAsia" w:ascii="仿宋_GB2312" w:hAnsi="仿宋_GB2312" w:eastAsia="仿宋_GB2312" w:cs="仿宋_GB2312"/>
          <w:sz w:val="32"/>
          <w:szCs w:val="32"/>
          <w:lang w:val="en-US" w:eastAsia="zh-CN"/>
        </w:rPr>
        <w:t>66.15</w:t>
      </w:r>
      <w:r>
        <w:rPr>
          <w:rFonts w:hint="eastAsia" w:ascii="仿宋_GB2312" w:hAnsi="仿宋_GB2312" w:eastAsia="仿宋_GB2312" w:cs="仿宋_GB2312"/>
          <w:sz w:val="32"/>
          <w:szCs w:val="32"/>
          <w:lang w:val="zh-CN"/>
        </w:rPr>
        <w:t>%；公用经费</w:t>
      </w:r>
      <w:r>
        <w:rPr>
          <w:rFonts w:hint="eastAsia" w:ascii="仿宋_GB2312" w:hAnsi="仿宋_GB2312" w:eastAsia="仿宋_GB2312"/>
          <w:color w:val="000000"/>
          <w:kern w:val="2"/>
          <w:sz w:val="32"/>
          <w:szCs w:val="24"/>
          <w:lang w:val="zh-CN"/>
        </w:rPr>
        <w:t>99.17</w:t>
      </w:r>
      <w:r>
        <w:rPr>
          <w:rFonts w:hint="eastAsia" w:ascii="仿宋_GB2312" w:hAnsi="仿宋_GB2312" w:eastAsia="仿宋_GB2312" w:cs="仿宋_GB2312"/>
          <w:sz w:val="32"/>
          <w:szCs w:val="32"/>
          <w:lang w:val="zh-CN"/>
        </w:rPr>
        <w:t>万元，占</w:t>
      </w:r>
      <w:r>
        <w:rPr>
          <w:rFonts w:hint="eastAsia" w:ascii="仿宋_GB2312" w:hAnsi="仿宋_GB2312" w:eastAsia="仿宋_GB2312" w:cs="仿宋_GB2312"/>
          <w:sz w:val="32"/>
          <w:szCs w:val="32"/>
          <w:lang w:val="en-US" w:eastAsia="zh-CN"/>
        </w:rPr>
        <w:t>33.85</w:t>
      </w:r>
      <w:r>
        <w:rPr>
          <w:rFonts w:hint="eastAsia" w:ascii="仿宋_GB2312" w:hAnsi="仿宋_GB2312" w:eastAsia="仿宋_GB2312" w:cs="仿宋_GB2312"/>
          <w:sz w:val="32"/>
          <w:szCs w:val="32"/>
          <w:lang w:val="zh-CN"/>
        </w:rPr>
        <w:t>%。</w:t>
      </w:r>
    </w:p>
    <w:p>
      <w:pPr>
        <w:adjustRightInd w:val="0"/>
        <w:snapToGrid w:val="0"/>
        <w:spacing w:line="600" w:lineRule="exact"/>
        <w:ind w:firstLine="720"/>
        <w:rPr>
          <w:rFonts w:hint="eastAsia" w:ascii="黑体" w:hAnsi="宋体" w:eastAsia="黑体"/>
          <w:sz w:val="32"/>
          <w:szCs w:val="32"/>
        </w:rPr>
      </w:pPr>
      <w:r>
        <w:rPr>
          <w:rFonts w:hint="eastAsia" w:ascii="黑体" w:hAnsi="宋体" w:eastAsia="黑体"/>
          <w:sz w:val="32"/>
          <w:szCs w:val="32"/>
        </w:rPr>
        <w:t>三、部门整体预算绩效管理情况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（一）部门预算管理。</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县交易中心将认真履行法定职责，在县委、县政府决策部署和重大工作任务上做好要素保障工作。同时在工作中密切联系群众、服务群众，妥善处理</w:t>
      </w:r>
      <w:r>
        <w:rPr>
          <w:rFonts w:hint="eastAsia" w:ascii="仿宋_GB2312" w:hAnsi="仿宋_GB2312" w:eastAsia="仿宋_GB2312" w:cs="仿宋_GB2312"/>
          <w:sz w:val="32"/>
          <w:szCs w:val="32"/>
          <w:lang w:val="en-US" w:eastAsia="zh-CN"/>
        </w:rPr>
        <w:t>交易服务活动中</w:t>
      </w:r>
      <w:r>
        <w:rPr>
          <w:rFonts w:hint="eastAsia" w:ascii="仿宋_GB2312" w:hAnsi="仿宋_GB2312" w:eastAsia="仿宋_GB2312" w:cs="仿宋_GB2312"/>
          <w:sz w:val="32"/>
          <w:szCs w:val="32"/>
          <w:lang w:val="zh-CN"/>
        </w:rPr>
        <w:t>的质疑</w:t>
      </w:r>
      <w:r>
        <w:rPr>
          <w:rFonts w:hint="eastAsia" w:ascii="仿宋_GB2312" w:hAnsi="仿宋_GB2312" w:eastAsia="仿宋_GB2312" w:cs="仿宋_GB2312"/>
          <w:sz w:val="32"/>
          <w:szCs w:val="32"/>
          <w:lang w:val="en-US" w:eastAsia="zh-CN"/>
        </w:rPr>
        <w:t>事项</w:t>
      </w:r>
      <w:r>
        <w:rPr>
          <w:rFonts w:hint="eastAsia" w:ascii="仿宋_GB2312" w:hAnsi="仿宋_GB2312" w:eastAsia="仿宋_GB2312" w:cs="仿宋_GB2312"/>
          <w:sz w:val="32"/>
          <w:szCs w:val="32"/>
          <w:lang w:val="zh-CN"/>
        </w:rPr>
        <w:t>。加强项目资金管理，规范项目监管程序，确保政务运转项目依规合法开展。积极推动公共资源交易平台建设，建立健全公共资源交易管理体制体系，依法规范运行，取得显著的工作成效。</w:t>
      </w:r>
    </w:p>
    <w:p>
      <w:pPr>
        <w:widowControl/>
        <w:tabs>
          <w:tab w:val="left" w:pos="3840"/>
        </w:tabs>
        <w:adjustRightInd w:val="0"/>
        <w:snapToGrid w:val="0"/>
        <w:spacing w:line="580" w:lineRule="exact"/>
        <w:ind w:firstLine="643" w:firstLineChars="200"/>
        <w:contextualSpacing/>
        <w:jc w:val="left"/>
        <w:rPr>
          <w:rFonts w:hint="default" w:ascii="仿宋_GB2312" w:hAnsi="仿宋_GB2312" w:eastAsia="仿宋_GB2312" w:cs="仿宋_GB2312"/>
          <w:sz w:val="32"/>
          <w:szCs w:val="32"/>
          <w:lang w:val="zh-CN"/>
        </w:rPr>
      </w:pPr>
      <w:r>
        <w:rPr>
          <w:rFonts w:hint="default" w:ascii="楷体_GB2312" w:hAnsi="宋体" w:eastAsia="楷体_GB2312"/>
          <w:b/>
          <w:sz w:val="32"/>
          <w:szCs w:val="32"/>
          <w:lang w:val="zh-CN"/>
        </w:rPr>
        <w:t>(二)预算执行情况</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县交易中心为完成特定的行政工作任务或事业发展目标，用于业务工作的经费支出，年初预算项目：政务运转工作经费</w:t>
      </w:r>
      <w:r>
        <w:rPr>
          <w:rFonts w:hint="eastAsia" w:ascii="仿宋_GB2312" w:hAnsi="仿宋_GB2312" w:eastAsia="仿宋_GB2312" w:cs="仿宋_GB2312"/>
          <w:sz w:val="32"/>
          <w:szCs w:val="32"/>
          <w:lang w:val="en-US" w:eastAsia="zh-CN"/>
        </w:rPr>
        <w:t>3万元</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政府采购电子化服务平台建设维护费15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lang w:val="en-US" w:eastAsia="zh-CN"/>
        </w:rPr>
        <w:t>2022年上半年乡村振兴发展拉练费用和工作经费奖励1万元</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年末项目预算执行率92%，主要原因是：年初对项目资金分配未精准细致，导致年末资金有结余，预算执行率没有达到100%。在此后应当加强对资金分配的规范性，做到更加细致化，精准化，以提高预算执行率。</w:t>
      </w:r>
    </w:p>
    <w:p>
      <w:pPr>
        <w:widowControl/>
        <w:tabs>
          <w:tab w:val="left" w:pos="3840"/>
        </w:tabs>
        <w:adjustRightInd w:val="0"/>
        <w:snapToGrid w:val="0"/>
        <w:spacing w:line="580" w:lineRule="exact"/>
        <w:ind w:firstLine="640" w:firstLineChars="200"/>
        <w:contextualSpacing/>
        <w:jc w:val="left"/>
        <w:rPr>
          <w:rFonts w:hint="default" w:ascii="仿宋_GB2312" w:hAnsi="仿宋_GB2312" w:eastAsia="仿宋_GB2312" w:cs="仿宋_GB2312"/>
          <w:sz w:val="32"/>
          <w:szCs w:val="32"/>
          <w:lang w:val="zh-CN"/>
        </w:rPr>
      </w:pPr>
      <w:r>
        <w:rPr>
          <w:rFonts w:hint="default" w:ascii="仿宋_GB2312" w:hAnsi="仿宋_GB2312" w:eastAsia="仿宋_GB2312" w:cs="仿宋_GB2312"/>
          <w:sz w:val="32"/>
          <w:szCs w:val="32"/>
          <w:lang w:val="zh-CN"/>
        </w:rPr>
        <w:t>包括部门公用经费及非定额公用支出控制情况、预算动态调整情况、部门整体预算执行进度情况、是否有违规记录、年终预算执行情况等。</w:t>
      </w:r>
    </w:p>
    <w:p>
      <w:pPr>
        <w:widowControl/>
        <w:tabs>
          <w:tab w:val="left" w:pos="3840"/>
        </w:tabs>
        <w:adjustRightInd w:val="0"/>
        <w:snapToGrid w:val="0"/>
        <w:spacing w:line="580" w:lineRule="exact"/>
        <w:ind w:firstLine="643" w:firstLineChars="200"/>
        <w:contextualSpacing/>
        <w:jc w:val="left"/>
        <w:rPr>
          <w:rFonts w:hint="default" w:ascii="仿宋_GB2312" w:hAnsi="仿宋_GB2312" w:eastAsia="仿宋_GB2312" w:cs="仿宋_GB2312"/>
          <w:sz w:val="32"/>
          <w:szCs w:val="32"/>
          <w:lang w:val="zh-CN"/>
        </w:rPr>
      </w:pPr>
      <w:r>
        <w:rPr>
          <w:rFonts w:hint="default" w:ascii="楷体_GB2312" w:hAnsi="宋体" w:eastAsia="楷体_GB2312"/>
          <w:b/>
          <w:sz w:val="32"/>
          <w:szCs w:val="32"/>
          <w:lang w:val="zh-CN"/>
        </w:rPr>
        <w:t>(三)整体绩效情况</w:t>
      </w:r>
    </w:p>
    <w:p>
      <w:pPr>
        <w:widowControl/>
        <w:tabs>
          <w:tab w:val="left" w:pos="3840"/>
        </w:tabs>
        <w:adjustRightInd w:val="0"/>
        <w:snapToGrid w:val="0"/>
        <w:spacing w:line="580" w:lineRule="exact"/>
        <w:ind w:firstLine="640" w:firstLineChars="200"/>
        <w:contextualSpacing/>
        <w:jc w:val="left"/>
        <w:rPr>
          <w:rFonts w:hint="default"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交易中心所有国有资产均纳入资产信息系统管理，有专门人员负责管理系统并将资产变动情况及时录入系统，按要求及时、准确、全面开展资产清查工作，并及时更新资产管理系统，及时上报资产报表，报表填报规范、内容完整、数据真实。内部控制制度健全完整并执行良好。县交易中心按照规定分别在绿色明珠网、乐山市政府信息管理平台公开预算、决算及三公经费等信息。</w:t>
      </w:r>
      <w:r>
        <w:rPr>
          <w:rFonts w:hint="eastAsia" w:ascii="仿宋_GB2312" w:hAnsi="仿宋_GB2312" w:eastAsia="仿宋_GB2312" w:cs="仿宋_GB2312"/>
          <w:sz w:val="32"/>
          <w:szCs w:val="32"/>
          <w:lang w:val="en-US" w:eastAsia="zh-CN"/>
        </w:rPr>
        <w:t>交易服务过程</w:t>
      </w:r>
      <w:r>
        <w:rPr>
          <w:rFonts w:hint="eastAsia" w:ascii="仿宋_GB2312" w:hAnsi="仿宋_GB2312" w:eastAsia="仿宋_GB2312" w:cs="仿宋_GB2312"/>
          <w:sz w:val="32"/>
          <w:szCs w:val="32"/>
          <w:lang w:val="zh-CN"/>
        </w:rPr>
        <w:t>中掌握的信用信息、政府采购项目公告、采购文件、采购价格、质疑答复、中标成交结果等相关信息公开在四川政府采购网、绿色明珠网、乐山市政府信息管理平台；国有资产拍卖项目信息公开在四川省公共资源交易服务中心网。县交易中心按要求向财政部门报告自评报告等相关绩效信息，依法接受财政监督，按要求开展自查自纠</w:t>
      </w:r>
      <w:r>
        <w:rPr>
          <w:rFonts w:hint="default" w:ascii="仿宋_GB2312" w:hAnsi="仿宋_GB2312" w:eastAsia="仿宋_GB2312" w:cs="仿宋_GB2312"/>
          <w:sz w:val="32"/>
          <w:szCs w:val="32"/>
          <w:lang w:val="zh-CN"/>
        </w:rPr>
        <w:t>。</w:t>
      </w:r>
    </w:p>
    <w:p>
      <w:pPr>
        <w:adjustRightInd w:val="0"/>
        <w:snapToGrid w:val="0"/>
        <w:spacing w:line="600" w:lineRule="exact"/>
        <w:ind w:firstLine="720"/>
        <w:rPr>
          <w:rFonts w:hint="default" w:ascii="黑体" w:hAnsi="宋体" w:eastAsia="黑体"/>
          <w:sz w:val="32"/>
          <w:szCs w:val="32"/>
          <w:lang w:val="zh-CN"/>
        </w:rPr>
      </w:pPr>
      <w:r>
        <w:rPr>
          <w:rFonts w:hint="default" w:ascii="黑体" w:hAnsi="宋体" w:eastAsia="黑体"/>
          <w:sz w:val="32"/>
          <w:szCs w:val="32"/>
          <w:lang w:val="zh-CN"/>
        </w:rPr>
        <w:t>四、评价结论及建议</w:t>
      </w:r>
    </w:p>
    <w:p>
      <w:pPr>
        <w:widowControl/>
        <w:tabs>
          <w:tab w:val="left" w:pos="3840"/>
        </w:tabs>
        <w:adjustRightInd w:val="0"/>
        <w:snapToGrid w:val="0"/>
        <w:spacing w:line="580" w:lineRule="exact"/>
        <w:ind w:firstLine="643" w:firstLineChars="200"/>
        <w:contextualSpacing/>
        <w:jc w:val="left"/>
        <w:rPr>
          <w:rFonts w:hint="default" w:ascii="仿宋_GB2312" w:hAnsi="仿宋_GB2312" w:eastAsia="仿宋_GB2312" w:cs="仿宋_GB2312"/>
          <w:sz w:val="32"/>
          <w:szCs w:val="32"/>
          <w:lang w:val="zh-CN"/>
        </w:rPr>
      </w:pPr>
      <w:r>
        <w:rPr>
          <w:rFonts w:hint="eastAsia" w:ascii="楷体_GB2312" w:hAnsi="宋体" w:eastAsia="楷体_GB2312"/>
          <w:b/>
          <w:sz w:val="32"/>
          <w:szCs w:val="32"/>
          <w:lang w:val="zh-CN"/>
        </w:rPr>
        <w:t>（一）评价结论</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县交易中心预算执行情况良好，无不良记录及违规违纪行为，预算支出和决算支出情况相符。</w:t>
      </w:r>
    </w:p>
    <w:p>
      <w:pPr>
        <w:widowControl/>
        <w:tabs>
          <w:tab w:val="left" w:pos="3840"/>
        </w:tabs>
        <w:adjustRightInd w:val="0"/>
        <w:snapToGrid w:val="0"/>
        <w:spacing w:line="580" w:lineRule="exact"/>
        <w:ind w:firstLine="643" w:firstLineChars="200"/>
        <w:contextualSpacing/>
        <w:jc w:val="left"/>
        <w:rPr>
          <w:rFonts w:hint="eastAsia" w:ascii="楷体_GB2312" w:hAnsi="宋体" w:eastAsia="楷体_GB2312"/>
          <w:b/>
          <w:sz w:val="32"/>
          <w:szCs w:val="32"/>
          <w:lang w:val="zh-CN"/>
        </w:rPr>
      </w:pPr>
      <w:r>
        <w:rPr>
          <w:rFonts w:hint="eastAsia" w:ascii="楷体_GB2312" w:hAnsi="宋体" w:eastAsia="楷体_GB2312"/>
          <w:b/>
          <w:sz w:val="32"/>
          <w:szCs w:val="32"/>
          <w:lang w:val="zh-CN"/>
        </w:rPr>
        <w:t>（二）存在问题</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在相关业务熟练度和公共资源交易平台使用率上还存在不足。</w:t>
      </w:r>
    </w:p>
    <w:p>
      <w:pPr>
        <w:widowControl/>
        <w:tabs>
          <w:tab w:val="left" w:pos="3840"/>
        </w:tabs>
        <w:adjustRightInd w:val="0"/>
        <w:snapToGrid w:val="0"/>
        <w:spacing w:line="580" w:lineRule="exact"/>
        <w:ind w:firstLine="643" w:firstLineChars="200"/>
        <w:contextualSpacing/>
        <w:jc w:val="left"/>
        <w:rPr>
          <w:rFonts w:hint="eastAsia" w:ascii="楷体_GB2312" w:hAnsi="宋体" w:eastAsia="楷体_GB2312"/>
          <w:b/>
          <w:sz w:val="32"/>
          <w:szCs w:val="32"/>
          <w:lang w:val="zh-CN"/>
        </w:rPr>
      </w:pPr>
      <w:r>
        <w:rPr>
          <w:rFonts w:hint="eastAsia" w:ascii="楷体_GB2312" w:hAnsi="宋体" w:eastAsia="楷体_GB2312"/>
          <w:b/>
          <w:sz w:val="32"/>
          <w:szCs w:val="32"/>
          <w:lang w:val="zh-CN"/>
        </w:rPr>
        <w:t>（三）改进建议</w:t>
      </w:r>
    </w:p>
    <w:p>
      <w:pPr>
        <w:widowControl/>
        <w:tabs>
          <w:tab w:val="left" w:pos="3840"/>
        </w:tabs>
        <w:adjustRightInd w:val="0"/>
        <w:snapToGrid w:val="0"/>
        <w:spacing w:line="580"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坚持业务工作与作风建设两手抓两不误，加强效能建设，提升服务能力和水平，改进服务态度，提高群众满意度。</w:t>
      </w:r>
    </w:p>
    <w:p>
      <w:pPr>
        <w:pStyle w:val="4"/>
        <w:rPr>
          <w:rStyle w:val="20"/>
          <w:rFonts w:ascii="仿宋" w:hAnsi="仿宋" w:eastAsia="仿宋"/>
          <w:b w:val="0"/>
          <w:bCs w:val="0"/>
          <w:sz w:val="32"/>
          <w:szCs w:val="32"/>
        </w:rPr>
      </w:pPr>
      <w:r>
        <w:rPr>
          <w:rStyle w:val="20"/>
          <w:rFonts w:hint="eastAsia" w:ascii="仿宋" w:hAnsi="仿宋" w:eastAsia="仿宋"/>
          <w:b w:val="0"/>
          <w:bCs w:val="0"/>
          <w:sz w:val="32"/>
          <w:szCs w:val="32"/>
        </w:rPr>
        <w:t>附件2</w:t>
      </w:r>
      <w:bookmarkEnd w:id="54"/>
    </w:p>
    <w:p>
      <w:pPr>
        <w:tabs>
          <w:tab w:val="left" w:pos="1440"/>
        </w:tabs>
        <w:spacing w:line="560" w:lineRule="exact"/>
        <w:rPr>
          <w:rFonts w:ascii="宋体" w:hAnsi="宋体" w:eastAsia="宋体"/>
          <w:sz w:val="30"/>
          <w:szCs w:val="30"/>
        </w:rPr>
      </w:pPr>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202</w:t>
      </w:r>
      <w:r>
        <w:rPr>
          <w:rFonts w:hint="eastAsia" w:ascii="黑体" w:hAnsi="黑体" w:eastAsia="黑体" w:cs="方正小标宋简体"/>
          <w:sz w:val="44"/>
          <w:szCs w:val="44"/>
          <w:lang w:val="en-US" w:eastAsia="zh-CN"/>
        </w:rPr>
        <w:t>2</w:t>
      </w:r>
      <w:r>
        <w:rPr>
          <w:rFonts w:hint="eastAsia" w:ascii="黑体" w:hAnsi="黑体" w:eastAsia="黑体" w:cs="方正小标宋简体"/>
          <w:sz w:val="44"/>
          <w:szCs w:val="44"/>
        </w:rPr>
        <w:t>年度沐川县公共资源交易服务中心</w:t>
      </w:r>
    </w:p>
    <w:p>
      <w:pPr>
        <w:spacing w:line="580" w:lineRule="exact"/>
        <w:jc w:val="center"/>
        <w:rPr>
          <w:rFonts w:hint="eastAsia" w:ascii="黑体" w:hAnsi="黑体" w:eastAsia="黑体" w:cs="方正小标宋简体"/>
          <w:sz w:val="44"/>
          <w:szCs w:val="44"/>
        </w:rPr>
      </w:pPr>
      <w:r>
        <w:rPr>
          <w:rFonts w:hint="eastAsia" w:ascii="黑体" w:hAnsi="黑体" w:eastAsia="黑体" w:cs="方正小标宋简体"/>
          <w:sz w:val="44"/>
          <w:szCs w:val="44"/>
        </w:rPr>
        <w:t>项目支出绩效自评报告</w:t>
      </w:r>
    </w:p>
    <w:p>
      <w:pPr>
        <w:pStyle w:val="24"/>
        <w:spacing w:line="560" w:lineRule="exact"/>
        <w:ind w:firstLine="640"/>
        <w:jc w:val="center"/>
        <w:rPr>
          <w:rFonts w:ascii="宋体" w:hAnsi="宋体"/>
          <w:color w:val="auto"/>
          <w:kern w:val="2"/>
          <w:sz w:val="32"/>
          <w:szCs w:val="32"/>
        </w:rPr>
      </w:pP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Times New Roman" w:hAnsi="Times New Roman" w:eastAsia="黑体" w:cs="Times New Roman"/>
          <w:bCs/>
          <w:szCs w:val="32"/>
        </w:rPr>
      </w:pPr>
      <w:r>
        <w:rPr>
          <w:rFonts w:hint="default" w:ascii="黑体" w:hAnsi="宋体" w:eastAsia="黑体"/>
          <w:sz w:val="32"/>
          <w:szCs w:val="32"/>
          <w:lang w:val="zh-CN"/>
        </w:rPr>
        <w:t>一、项目基本情况</w:t>
      </w:r>
    </w:p>
    <w:p>
      <w:pPr>
        <w:widowControl/>
        <w:tabs>
          <w:tab w:val="left" w:pos="3840"/>
        </w:tabs>
        <w:adjustRightInd w:val="0"/>
        <w:snapToGrid w:val="0"/>
        <w:spacing w:line="580" w:lineRule="exact"/>
        <w:ind w:firstLine="643" w:firstLineChars="200"/>
        <w:contextualSpacing/>
        <w:jc w:val="left"/>
        <w:rPr>
          <w:rFonts w:hint="default" w:ascii="楷体_GB2312" w:hAnsi="宋体" w:eastAsia="楷体_GB2312"/>
          <w:b/>
          <w:sz w:val="32"/>
          <w:szCs w:val="32"/>
          <w:lang w:val="zh-CN"/>
        </w:rPr>
      </w:pPr>
      <w:r>
        <w:rPr>
          <w:rFonts w:hint="default" w:ascii="楷体_GB2312" w:hAnsi="宋体" w:eastAsia="楷体_GB2312"/>
          <w:b/>
          <w:sz w:val="32"/>
          <w:szCs w:val="32"/>
          <w:lang w:val="zh-CN"/>
        </w:rPr>
        <w:t>（一）绩效目标情况</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通过项目实施，保障县交易中心政府采购、工程招投标等工作的正常开展，确保为县级各部门、各乡镇顺利提供政府采购及工程招投标等业务。</w:t>
      </w:r>
    </w:p>
    <w:p>
      <w:pPr>
        <w:widowControl/>
        <w:tabs>
          <w:tab w:val="left" w:pos="3840"/>
        </w:tabs>
        <w:adjustRightInd w:val="0"/>
        <w:snapToGrid w:val="0"/>
        <w:spacing w:line="580" w:lineRule="exact"/>
        <w:ind w:firstLine="643" w:firstLineChars="200"/>
        <w:contextualSpacing/>
        <w:jc w:val="left"/>
        <w:rPr>
          <w:rFonts w:hint="default" w:ascii="楷体_GB2312" w:hAnsi="宋体" w:eastAsia="楷体_GB2312"/>
          <w:b/>
          <w:sz w:val="32"/>
          <w:szCs w:val="32"/>
          <w:lang w:val="zh-CN"/>
        </w:rPr>
      </w:pPr>
      <w:r>
        <w:rPr>
          <w:rFonts w:hint="default" w:ascii="楷体_GB2312" w:hAnsi="宋体" w:eastAsia="楷体_GB2312"/>
          <w:b/>
          <w:sz w:val="32"/>
          <w:szCs w:val="32"/>
          <w:lang w:val="zh-CN"/>
        </w:rPr>
        <w:t>（二）资金安排情况</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为完成特定的行政工作任务或事业发展目标，用于业务工作的经费支出。年初预算项目：</w:t>
      </w:r>
      <w:r>
        <w:rPr>
          <w:rFonts w:hint="eastAsia" w:ascii="仿宋_GB2312" w:hAnsi="仿宋_GB2312" w:eastAsia="仿宋_GB2312" w:cs="仿宋_GB2312"/>
          <w:sz w:val="32"/>
          <w:szCs w:val="32"/>
          <w:lang w:val="en-US" w:eastAsia="zh-CN"/>
        </w:rPr>
        <w:t>政府采购电子化服务平台建设维护费15</w:t>
      </w:r>
      <w:r>
        <w:rPr>
          <w:rFonts w:hint="eastAsia" w:ascii="仿宋_GB2312" w:hAnsi="仿宋_GB2312" w:eastAsia="仿宋_GB2312" w:cs="仿宋_GB2312"/>
          <w:sz w:val="32"/>
          <w:szCs w:val="32"/>
          <w:lang w:val="zh-CN"/>
        </w:rPr>
        <w:t>万元。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黑体" w:hAnsi="宋体" w:eastAsia="黑体"/>
          <w:sz w:val="32"/>
          <w:szCs w:val="32"/>
          <w:lang w:val="zh-CN"/>
        </w:rPr>
      </w:pPr>
      <w:r>
        <w:rPr>
          <w:rFonts w:hint="default" w:ascii="黑体" w:hAnsi="宋体" w:eastAsia="黑体"/>
          <w:sz w:val="32"/>
          <w:szCs w:val="32"/>
          <w:lang w:val="zh-CN"/>
        </w:rPr>
        <w:t>二、绩效目标完成情况分析</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Times New Roman" w:hAnsi="Times New Roman" w:eastAsia="楷体_GB2312" w:cs="Times New Roman"/>
          <w:szCs w:val="32"/>
        </w:rPr>
      </w:pPr>
      <w:r>
        <w:rPr>
          <w:rFonts w:hint="default" w:ascii="楷体_GB2312" w:hAnsi="宋体" w:eastAsia="楷体_GB2312"/>
          <w:b/>
          <w:sz w:val="32"/>
          <w:szCs w:val="32"/>
          <w:lang w:val="zh-CN"/>
        </w:rPr>
        <w:t>（一）预算执行进度情况分析</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仿宋_GB2312" w:cs="Times New Roman"/>
          <w:szCs w:val="32"/>
        </w:rPr>
      </w:pPr>
      <w:r>
        <w:rPr>
          <w:rFonts w:hint="eastAsia" w:ascii="仿宋_GB2312" w:hAnsi="仿宋_GB2312" w:eastAsia="仿宋_GB2312" w:cs="仿宋_GB2312"/>
          <w:sz w:val="32"/>
          <w:szCs w:val="32"/>
          <w:lang w:val="zh-CN"/>
        </w:rPr>
        <w:t>项目申报内容与具体实施内容相符、申报目标合理可行。</w:t>
      </w:r>
      <w:r>
        <w:rPr>
          <w:rFonts w:hint="eastAsia" w:ascii="仿宋_GB2312" w:hAnsi="仿宋_GB2312" w:eastAsia="仿宋_GB2312" w:cs="仿宋_GB2312"/>
          <w:sz w:val="32"/>
          <w:szCs w:val="32"/>
          <w:lang w:val="en-US" w:eastAsia="zh-CN"/>
        </w:rPr>
        <w:t>在本年12月份时实现预算执行率90%以上。</w:t>
      </w:r>
      <w:r>
        <w:rPr>
          <w:rFonts w:hint="eastAsia" w:ascii="仿宋_GB2312" w:hAnsi="仿宋_GB2312" w:cs="仿宋_GB2312"/>
          <w:sz w:val="32"/>
          <w:szCs w:val="32"/>
          <w:lang w:val="en-US" w:eastAsia="zh-CN"/>
        </w:rPr>
        <w:t xml:space="preserve"> </w:t>
      </w:r>
    </w:p>
    <w:p>
      <w:pPr>
        <w:keepNext w:val="0"/>
        <w:keepLines w:val="0"/>
        <w:pageBreakBefore w:val="0"/>
        <w:kinsoku/>
        <w:wordWrap/>
        <w:overflowPunct/>
        <w:topLinePunct w:val="0"/>
        <w:autoSpaceDE/>
        <w:autoSpaceDN/>
        <w:bidi w:val="0"/>
        <w:spacing w:line="600" w:lineRule="exact"/>
        <w:ind w:firstLine="643" w:firstLineChars="200"/>
        <w:textAlignment w:val="auto"/>
        <w:outlineLvl w:val="0"/>
        <w:rPr>
          <w:rFonts w:hint="default" w:ascii="楷体_GB2312" w:hAnsi="宋体" w:eastAsia="楷体_GB2312"/>
          <w:b/>
          <w:sz w:val="32"/>
          <w:szCs w:val="32"/>
          <w:lang w:val="zh-CN"/>
        </w:rPr>
      </w:pPr>
      <w:r>
        <w:rPr>
          <w:rFonts w:hint="default" w:ascii="楷体_GB2312" w:hAnsi="宋体" w:eastAsia="楷体_GB2312"/>
          <w:b/>
          <w:sz w:val="32"/>
          <w:szCs w:val="32"/>
          <w:lang w:val="zh-CN"/>
        </w:rPr>
        <w:t>（二）总体绩效目标完成情况分析</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完成特定的行政工作任务或事业发展目标，用于业务工作的经费支出</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圆满完成本年度相关业务工作、保障政府采购电子化服务平台整体运行成本在预算数之内。</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楷体_GB2312" w:cs="Times New Roman"/>
          <w:szCs w:val="32"/>
        </w:rPr>
      </w:pPr>
      <w:r>
        <w:rPr>
          <w:rFonts w:hint="default" w:ascii="楷体_GB2312" w:hAnsi="宋体" w:eastAsia="楷体_GB2312"/>
          <w:b/>
          <w:sz w:val="32"/>
          <w:szCs w:val="32"/>
          <w:lang w:val="zh-CN"/>
        </w:rPr>
        <w:t>（三）绩效指标完成情况分析</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Times New Roman" w:hAnsi="Times New Roman" w:eastAsia="仿宋_GB2312" w:cs="Times New Roman"/>
          <w:szCs w:val="32"/>
        </w:rPr>
      </w:pPr>
      <w:r>
        <w:rPr>
          <w:rFonts w:hint="eastAsia" w:ascii="仿宋_GB2312" w:hAnsi="仿宋_GB2312" w:eastAsia="仿宋_GB2312" w:cs="仿宋_GB2312"/>
          <w:sz w:val="32"/>
          <w:szCs w:val="32"/>
          <w:lang w:val="zh-CN"/>
        </w:rPr>
        <w:t>顺利完成本年度</w:t>
      </w:r>
      <w:r>
        <w:rPr>
          <w:rFonts w:hint="eastAsia" w:ascii="仿宋_GB2312" w:hAnsi="仿宋_GB2312" w:eastAsia="仿宋_GB2312" w:cs="仿宋_GB2312"/>
          <w:sz w:val="32"/>
          <w:szCs w:val="32"/>
          <w:lang w:val="en-US" w:eastAsia="zh-CN"/>
        </w:rPr>
        <w:t>相关业务工作</w:t>
      </w:r>
      <w:r>
        <w:rPr>
          <w:rFonts w:hint="eastAsia" w:ascii="仿宋_GB2312" w:hAnsi="仿宋_GB2312" w:eastAsia="仿宋_GB2312" w:cs="仿宋_GB2312"/>
          <w:sz w:val="32"/>
          <w:szCs w:val="32"/>
          <w:lang w:val="zh-CN"/>
        </w:rPr>
        <w:t>，完成</w:t>
      </w:r>
      <w:r>
        <w:rPr>
          <w:rFonts w:hint="eastAsia" w:ascii="仿宋_GB2312" w:hAnsi="仿宋_GB2312" w:eastAsia="仿宋_GB2312" w:cs="仿宋_GB2312"/>
          <w:sz w:val="32"/>
          <w:szCs w:val="32"/>
          <w:lang w:val="en-US" w:eastAsia="zh-CN"/>
        </w:rPr>
        <w:t>政府采购项目</w:t>
      </w:r>
      <w:r>
        <w:rPr>
          <w:rFonts w:hint="eastAsia" w:ascii="仿宋_GB2312" w:hAnsi="仿宋_GB2312" w:eastAsia="仿宋_GB2312" w:cs="仿宋_GB2312"/>
          <w:sz w:val="32"/>
          <w:szCs w:val="32"/>
          <w:lang w:val="zh-CN"/>
        </w:rPr>
        <w:t>业务数</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lang w:val="zh-CN"/>
        </w:rPr>
        <w:t>宗；完成</w:t>
      </w:r>
      <w:r>
        <w:rPr>
          <w:rFonts w:hint="eastAsia" w:ascii="仿宋_GB2312" w:hAnsi="仿宋_GB2312" w:eastAsia="仿宋_GB2312" w:cs="仿宋_GB2312"/>
          <w:sz w:val="32"/>
          <w:szCs w:val="32"/>
          <w:lang w:val="en-US" w:eastAsia="zh-CN"/>
        </w:rPr>
        <w:t>进场交易项目</w:t>
      </w:r>
      <w:r>
        <w:rPr>
          <w:rFonts w:hint="eastAsia" w:ascii="仿宋_GB2312" w:hAnsi="仿宋_GB2312" w:eastAsia="仿宋_GB2312" w:cs="仿宋_GB2312"/>
          <w:sz w:val="32"/>
          <w:szCs w:val="32"/>
          <w:lang w:val="zh-CN"/>
        </w:rPr>
        <w:t>业务数</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lang w:val="zh-CN"/>
        </w:rPr>
        <w:t>宗；完成</w:t>
      </w:r>
      <w:r>
        <w:rPr>
          <w:rFonts w:hint="eastAsia" w:ascii="仿宋_GB2312" w:hAnsi="仿宋_GB2312" w:eastAsia="仿宋_GB2312" w:cs="仿宋_GB2312"/>
          <w:sz w:val="32"/>
          <w:szCs w:val="32"/>
          <w:lang w:val="en-US" w:eastAsia="zh-CN"/>
        </w:rPr>
        <w:t>网上竞价项目12宗；</w:t>
      </w:r>
      <w:r>
        <w:rPr>
          <w:rFonts w:hint="eastAsia" w:ascii="仿宋_GB2312" w:hAnsi="仿宋_GB2312" w:eastAsia="仿宋_GB2312" w:cs="仿宋_GB2312"/>
          <w:sz w:val="32"/>
          <w:szCs w:val="32"/>
          <w:lang w:val="zh-CN"/>
        </w:rPr>
        <w:t>完成</w:t>
      </w:r>
      <w:r>
        <w:rPr>
          <w:rFonts w:hint="eastAsia" w:ascii="仿宋_GB2312" w:hAnsi="仿宋_GB2312" w:eastAsia="仿宋_GB2312" w:cs="仿宋_GB2312"/>
          <w:sz w:val="32"/>
          <w:szCs w:val="32"/>
          <w:lang w:val="en-US" w:eastAsia="zh-CN"/>
        </w:rPr>
        <w:t>国有资产拍卖</w:t>
      </w:r>
      <w:r>
        <w:rPr>
          <w:rFonts w:hint="eastAsia" w:ascii="仿宋_GB2312" w:hAnsi="仿宋_GB2312" w:eastAsia="仿宋_GB2312" w:cs="仿宋_GB2312"/>
          <w:sz w:val="32"/>
          <w:szCs w:val="32"/>
          <w:lang w:val="zh-CN"/>
        </w:rPr>
        <w:t>业务数</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宗。截止评价时点项目资金的实际支出</w:t>
      </w:r>
      <w:r>
        <w:rPr>
          <w:rFonts w:hint="eastAsia" w:ascii="仿宋_GB2312" w:hAnsi="仿宋_GB2312" w:eastAsia="仿宋_GB2312" w:cs="仿宋_GB2312"/>
          <w:sz w:val="32"/>
          <w:szCs w:val="32"/>
          <w:lang w:val="en-US" w:eastAsia="zh-CN"/>
        </w:rPr>
        <w:t>数为15万元</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主要用于政府采购电子化服务平台的建设维护，</w:t>
      </w:r>
      <w:r>
        <w:rPr>
          <w:rFonts w:hint="eastAsia" w:ascii="仿宋_GB2312" w:hAnsi="仿宋_GB2312" w:eastAsia="仿宋_GB2312" w:cs="仿宋_GB2312"/>
          <w:sz w:val="32"/>
          <w:szCs w:val="32"/>
          <w:lang w:val="zh-CN"/>
        </w:rPr>
        <w:t>保障县交易中心</w:t>
      </w:r>
      <w:r>
        <w:rPr>
          <w:rFonts w:hint="eastAsia" w:ascii="仿宋_GB2312" w:hAnsi="仿宋_GB2312" w:eastAsia="仿宋_GB2312" w:cs="仿宋_GB2312"/>
          <w:sz w:val="32"/>
          <w:szCs w:val="32"/>
          <w:lang w:val="en-US" w:eastAsia="zh-CN"/>
        </w:rPr>
        <w:t>各项业务工作正常开展。</w:t>
      </w:r>
      <w:r>
        <w:rPr>
          <w:rFonts w:hint="eastAsia" w:ascii="仿宋_GB2312" w:hAnsi="仿宋_GB2312" w:eastAsia="仿宋_GB2312" w:cs="仿宋_GB2312"/>
          <w:sz w:val="32"/>
          <w:szCs w:val="32"/>
          <w:lang w:val="zh-CN"/>
        </w:rPr>
        <w:t>支付依据合规合法，资金支付与预算相符。</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楷体_GB2312" w:hAnsi="宋体" w:eastAsia="楷体_GB2312"/>
          <w:b/>
          <w:sz w:val="32"/>
          <w:szCs w:val="32"/>
          <w:lang w:val="zh-CN"/>
        </w:rPr>
      </w:pPr>
      <w:r>
        <w:rPr>
          <w:rFonts w:hint="default" w:ascii="楷体_GB2312" w:hAnsi="宋体" w:eastAsia="楷体_GB2312"/>
          <w:b/>
          <w:sz w:val="32"/>
          <w:szCs w:val="32"/>
          <w:lang w:val="zh-CN"/>
        </w:rPr>
        <w:t>（四）项目效益分析</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default"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顺利完成本年度</w:t>
      </w:r>
      <w:r>
        <w:rPr>
          <w:rFonts w:hint="eastAsia" w:ascii="仿宋_GB2312" w:hAnsi="仿宋_GB2312" w:eastAsia="仿宋_GB2312" w:cs="仿宋_GB2312"/>
          <w:sz w:val="32"/>
          <w:szCs w:val="32"/>
          <w:lang w:val="en-US" w:eastAsia="zh-CN"/>
        </w:rPr>
        <w:t>政府采购</w:t>
      </w:r>
      <w:r>
        <w:rPr>
          <w:rFonts w:hint="eastAsia" w:ascii="仿宋_GB2312" w:hAnsi="仿宋_GB2312" w:eastAsia="仿宋_GB2312" w:cs="仿宋_GB2312"/>
          <w:sz w:val="32"/>
          <w:szCs w:val="32"/>
          <w:lang w:val="zh-CN"/>
        </w:rPr>
        <w:t>业务，节约资金数</w:t>
      </w:r>
      <w:r>
        <w:rPr>
          <w:rFonts w:hint="eastAsia" w:ascii="仿宋_GB2312" w:hAnsi="仿宋_GB2312" w:eastAsia="仿宋_GB2312" w:cs="仿宋_GB2312"/>
          <w:sz w:val="32"/>
          <w:szCs w:val="32"/>
          <w:lang w:val="en-US" w:eastAsia="zh-CN"/>
        </w:rPr>
        <w:t>245.3</w:t>
      </w:r>
      <w:r>
        <w:rPr>
          <w:rFonts w:hint="eastAsia" w:ascii="仿宋_GB2312" w:hAnsi="仿宋_GB2312" w:eastAsia="仿宋_GB2312" w:cs="仿宋_GB2312"/>
          <w:sz w:val="32"/>
          <w:szCs w:val="32"/>
          <w:lang w:val="zh-CN"/>
        </w:rPr>
        <w:t>万元，节资率</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lang w:val="zh-CN"/>
        </w:rPr>
        <w:t>%；顺利完成本年度</w:t>
      </w:r>
      <w:r>
        <w:rPr>
          <w:rFonts w:hint="eastAsia" w:ascii="仿宋_GB2312" w:hAnsi="仿宋_GB2312" w:eastAsia="仿宋_GB2312" w:cs="仿宋_GB2312"/>
          <w:sz w:val="32"/>
          <w:szCs w:val="32"/>
          <w:lang w:val="en-US" w:eastAsia="zh-CN"/>
        </w:rPr>
        <w:t>进场交易</w:t>
      </w:r>
      <w:r>
        <w:rPr>
          <w:rFonts w:hint="eastAsia" w:ascii="仿宋_GB2312" w:hAnsi="仿宋_GB2312" w:eastAsia="仿宋_GB2312" w:cs="仿宋_GB2312"/>
          <w:sz w:val="32"/>
          <w:szCs w:val="32"/>
          <w:lang w:val="zh-CN"/>
        </w:rPr>
        <w:t>业务，节约资金数</w:t>
      </w:r>
      <w:r>
        <w:rPr>
          <w:rFonts w:hint="eastAsia" w:ascii="仿宋_GB2312" w:hAnsi="仿宋_GB2312" w:eastAsia="仿宋_GB2312" w:cs="仿宋_GB2312"/>
          <w:sz w:val="32"/>
          <w:szCs w:val="32"/>
          <w:lang w:val="en-US" w:eastAsia="zh-CN"/>
        </w:rPr>
        <w:t>245.2</w:t>
      </w:r>
      <w:r>
        <w:rPr>
          <w:rFonts w:hint="eastAsia" w:ascii="仿宋_GB2312" w:hAnsi="仿宋_GB2312" w:eastAsia="仿宋_GB2312" w:cs="仿宋_GB2312"/>
          <w:sz w:val="32"/>
          <w:szCs w:val="32"/>
          <w:lang w:val="zh-CN"/>
        </w:rPr>
        <w:t>万元，节资率达到</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lang w:val="zh-CN"/>
        </w:rPr>
        <w:t>%；顺利完成本年度</w:t>
      </w:r>
      <w:r>
        <w:rPr>
          <w:rFonts w:hint="eastAsia" w:ascii="仿宋_GB2312" w:hAnsi="仿宋_GB2312" w:eastAsia="仿宋_GB2312" w:cs="仿宋_GB2312"/>
          <w:sz w:val="32"/>
          <w:szCs w:val="32"/>
          <w:lang w:val="en-US" w:eastAsia="zh-CN"/>
        </w:rPr>
        <w:t>国有资产拍卖</w:t>
      </w:r>
      <w:r>
        <w:rPr>
          <w:rFonts w:hint="eastAsia" w:ascii="仿宋_GB2312" w:hAnsi="仿宋_GB2312" w:eastAsia="仿宋_GB2312" w:cs="仿宋_GB2312"/>
          <w:sz w:val="32"/>
          <w:szCs w:val="32"/>
          <w:lang w:val="zh-CN"/>
        </w:rPr>
        <w:t>业务，</w:t>
      </w:r>
      <w:r>
        <w:rPr>
          <w:rFonts w:hint="eastAsia" w:ascii="仿宋_GB2312" w:hAnsi="仿宋_GB2312" w:eastAsia="仿宋_GB2312" w:cs="仿宋_GB2312"/>
          <w:sz w:val="32"/>
          <w:szCs w:val="32"/>
          <w:lang w:val="en-US" w:eastAsia="zh-CN"/>
        </w:rPr>
        <w:t>累计成交金额3048.24万元。</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黑体" w:hAnsi="宋体" w:eastAsia="黑体"/>
          <w:sz w:val="32"/>
          <w:szCs w:val="32"/>
          <w:lang w:val="zh-CN"/>
        </w:rPr>
      </w:pPr>
      <w:r>
        <w:rPr>
          <w:rFonts w:hint="default" w:ascii="黑体" w:hAnsi="宋体" w:eastAsia="黑体"/>
          <w:sz w:val="32"/>
          <w:szCs w:val="32"/>
          <w:lang w:val="zh-CN"/>
        </w:rPr>
        <w:t>三、偏离绩效目标的原因和下一步改进措施</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default" w:ascii="Times New Roman" w:hAnsi="Times New Roman" w:eastAsia="仿宋_GB2312" w:cs="Times New Roman"/>
          <w:szCs w:val="32"/>
        </w:rPr>
      </w:pPr>
      <w:r>
        <w:rPr>
          <w:rFonts w:hint="eastAsia" w:ascii="仿宋_GB2312" w:hAnsi="仿宋_GB2312" w:eastAsia="仿宋_GB2312" w:cs="仿宋_GB2312"/>
          <w:sz w:val="32"/>
          <w:szCs w:val="32"/>
          <w:lang w:val="zh-CN"/>
        </w:rPr>
        <w:t>年初对项目资金分配未精准细致，导致年末资金有结余，预算执行率没有达到100%。</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lang w:val="zh-CN"/>
        </w:rPr>
        <w:t>加强对资金分配的规范性，做到更加细致化，精准化，以提高预算执行率。</w:t>
      </w:r>
    </w:p>
    <w:p>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黑体" w:hAnsi="宋体" w:eastAsia="黑体"/>
          <w:sz w:val="32"/>
          <w:szCs w:val="32"/>
          <w:lang w:val="zh-CN"/>
        </w:rPr>
      </w:pPr>
      <w:r>
        <w:rPr>
          <w:rFonts w:hint="default" w:ascii="黑体" w:hAnsi="宋体" w:eastAsia="黑体"/>
          <w:sz w:val="32"/>
          <w:szCs w:val="32"/>
          <w:lang w:val="zh-CN"/>
        </w:rPr>
        <w:t>四、绩效自评结果拟应用和公开情况</w:t>
      </w:r>
    </w:p>
    <w:p>
      <w:pPr>
        <w:keepNext w:val="0"/>
        <w:keepLines w:val="0"/>
        <w:pageBreakBefore w:val="0"/>
        <w:kinsoku/>
        <w:wordWrap/>
        <w:overflowPunct/>
        <w:topLinePunct w:val="0"/>
        <w:autoSpaceDE/>
        <w:autoSpaceDN/>
        <w:bidi w:val="0"/>
        <w:spacing w:line="600" w:lineRule="exact"/>
        <w:ind w:firstLine="640" w:firstLineChars="200"/>
        <w:textAlignment w:val="auto"/>
        <w:outlineLvl w:val="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为确保政务运转项目依规合法开展，用于业务工作的经费支出。</w:t>
      </w:r>
      <w:r>
        <w:rPr>
          <w:rFonts w:hint="eastAsia" w:ascii="仿宋_GB2312" w:hAnsi="仿宋_GB2312" w:eastAsia="仿宋_GB2312" w:cs="仿宋_GB2312"/>
          <w:sz w:val="32"/>
          <w:szCs w:val="32"/>
          <w:lang w:val="en-US" w:eastAsia="zh-CN"/>
        </w:rPr>
        <w:t>建议</w:t>
      </w:r>
      <w:r>
        <w:rPr>
          <w:rFonts w:hint="eastAsia" w:ascii="仿宋_GB2312" w:hAnsi="仿宋_GB2312" w:eastAsia="仿宋_GB2312" w:cs="仿宋_GB2312"/>
          <w:sz w:val="32"/>
          <w:szCs w:val="32"/>
          <w:lang w:val="zh-CN" w:eastAsia="zh-CN"/>
        </w:rPr>
        <w:t>年初预算项目：政务运转工作经费，项目经费6万元。</w:t>
      </w:r>
    </w:p>
    <w:p>
      <w:pPr>
        <w:spacing w:line="580" w:lineRule="exact"/>
        <w:jc w:val="center"/>
        <w:rPr>
          <w:rFonts w:hint="eastAsia" w:ascii="黑体" w:hAnsi="黑体" w:eastAsia="黑体" w:cs="方正小标宋简体"/>
          <w:sz w:val="44"/>
          <w:szCs w:val="44"/>
        </w:rPr>
      </w:pPr>
    </w:p>
    <w:p>
      <w:pPr>
        <w:spacing w:line="600" w:lineRule="exact"/>
        <w:jc w:val="center"/>
        <w:outlineLvl w:val="0"/>
        <w:rPr>
          <w:rFonts w:ascii="黑体" w:hAnsi="黑体" w:eastAsia="黑体"/>
          <w:color w:val="000000"/>
          <w:sz w:val="44"/>
          <w:szCs w:val="44"/>
        </w:rPr>
      </w:pPr>
      <w:bookmarkStart w:id="55" w:name="_Toc15396618"/>
    </w:p>
    <w:p>
      <w:pPr>
        <w:spacing w:line="600" w:lineRule="exact"/>
        <w:jc w:val="center"/>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center"/>
        <w:outlineLvl w:val="0"/>
        <w:rPr>
          <w:rStyle w:val="20"/>
          <w:rFonts w:ascii="黑体" w:hAnsi="黑体" w:eastAsia="黑体"/>
          <w:b w:val="0"/>
        </w:rPr>
      </w:pPr>
      <w:r>
        <w:rPr>
          <w:rFonts w:hint="eastAsia" w:ascii="黑体" w:hAnsi="黑体" w:eastAsia="黑体"/>
          <w:color w:val="000000"/>
          <w:sz w:val="44"/>
          <w:szCs w:val="44"/>
        </w:rPr>
        <w:t>第</w:t>
      </w:r>
      <w:r>
        <w:rPr>
          <w:rStyle w:val="20"/>
          <w:rFonts w:hint="eastAsia" w:ascii="黑体" w:hAnsi="黑体" w:eastAsia="黑体"/>
          <w:b w:val="0"/>
        </w:rPr>
        <w:t>五部分 附表</w:t>
      </w:r>
      <w:bookmarkEnd w:id="51"/>
      <w:bookmarkEnd w:id="5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6" w:name="_Toc15396619"/>
      <w:r>
        <w:rPr>
          <w:rFonts w:hint="eastAsia" w:ascii="仿宋" w:hAnsi="仿宋" w:eastAsia="仿宋"/>
          <w:b w:val="0"/>
          <w:color w:val="000000"/>
        </w:rPr>
        <w:t>一、收</w:t>
      </w:r>
      <w:r>
        <w:rPr>
          <w:rStyle w:val="21"/>
          <w:rFonts w:hint="eastAsia" w:ascii="仿宋" w:hAnsi="仿宋" w:eastAsia="仿宋"/>
          <w:b w:val="0"/>
          <w:bCs w:val="0"/>
        </w:rPr>
        <w:t>入支出决算总表</w:t>
      </w:r>
      <w:bookmarkEnd w:id="56"/>
    </w:p>
    <w:p>
      <w:pPr>
        <w:pStyle w:val="4"/>
        <w:rPr>
          <w:rFonts w:ascii="仿宋" w:hAnsi="仿宋" w:eastAsia="仿宋"/>
          <w:color w:val="000000"/>
        </w:rPr>
      </w:pPr>
      <w:bookmarkStart w:id="57" w:name="_Toc15396620"/>
      <w:r>
        <w:rPr>
          <w:rFonts w:hint="eastAsia" w:ascii="仿宋" w:hAnsi="仿宋" w:eastAsia="仿宋"/>
          <w:b w:val="0"/>
          <w:color w:val="000000"/>
        </w:rPr>
        <w:t>二、收</w:t>
      </w:r>
      <w:r>
        <w:rPr>
          <w:rStyle w:val="21"/>
          <w:rFonts w:hint="eastAsia" w:ascii="仿宋" w:hAnsi="仿宋" w:eastAsia="仿宋"/>
          <w:b w:val="0"/>
          <w:bCs w:val="0"/>
        </w:rPr>
        <w:t>入总表</w:t>
      </w:r>
      <w:bookmarkEnd w:id="57"/>
    </w:p>
    <w:p>
      <w:pPr>
        <w:pStyle w:val="4"/>
        <w:rPr>
          <w:rFonts w:ascii="仿宋" w:hAnsi="仿宋" w:eastAsia="仿宋"/>
          <w:color w:val="000000"/>
        </w:rPr>
      </w:pPr>
      <w:bookmarkStart w:id="58" w:name="_Toc15396621"/>
      <w:r>
        <w:rPr>
          <w:rStyle w:val="21"/>
          <w:rFonts w:hint="eastAsia" w:ascii="仿宋" w:hAnsi="仿宋" w:eastAsia="仿宋"/>
          <w:b w:val="0"/>
          <w:bCs w:val="0"/>
        </w:rPr>
        <w:t>三、</w:t>
      </w:r>
      <w:r>
        <w:rPr>
          <w:rFonts w:hint="eastAsia" w:ascii="仿宋" w:hAnsi="仿宋" w:eastAsia="仿宋"/>
          <w:b w:val="0"/>
          <w:color w:val="000000"/>
        </w:rPr>
        <w:t>支</w:t>
      </w:r>
      <w:r>
        <w:rPr>
          <w:rStyle w:val="21"/>
          <w:rFonts w:hint="eastAsia" w:ascii="仿宋" w:hAnsi="仿宋" w:eastAsia="仿宋"/>
          <w:b w:val="0"/>
          <w:bCs w:val="0"/>
        </w:rPr>
        <w:t>出总表</w:t>
      </w:r>
      <w:bookmarkEnd w:id="58"/>
    </w:p>
    <w:p>
      <w:pPr>
        <w:pStyle w:val="4"/>
        <w:rPr>
          <w:rFonts w:ascii="仿宋" w:hAnsi="仿宋" w:eastAsia="仿宋"/>
          <w:b w:val="0"/>
          <w:color w:val="000000"/>
        </w:rPr>
      </w:pPr>
      <w:bookmarkStart w:id="59" w:name="_Toc15396622"/>
      <w:r>
        <w:rPr>
          <w:rStyle w:val="21"/>
          <w:rFonts w:hint="eastAsia" w:ascii="仿宋" w:hAnsi="仿宋" w:eastAsia="仿宋"/>
          <w:b w:val="0"/>
          <w:bCs w:val="0"/>
        </w:rPr>
        <w:t>四、</w:t>
      </w:r>
      <w:r>
        <w:rPr>
          <w:rFonts w:hint="eastAsia" w:ascii="仿宋" w:hAnsi="仿宋" w:eastAsia="仿宋"/>
          <w:b w:val="0"/>
          <w:color w:val="000000"/>
        </w:rPr>
        <w:t>财</w:t>
      </w:r>
      <w:r>
        <w:rPr>
          <w:rStyle w:val="21"/>
          <w:rFonts w:hint="eastAsia" w:ascii="仿宋" w:hAnsi="仿宋" w:eastAsia="仿宋"/>
          <w:b w:val="0"/>
          <w:bCs w:val="0"/>
        </w:rPr>
        <w:t>政拨款收入支出决算总表</w:t>
      </w:r>
      <w:bookmarkEnd w:id="59"/>
    </w:p>
    <w:p>
      <w:pPr>
        <w:pStyle w:val="4"/>
        <w:rPr>
          <w:rFonts w:ascii="仿宋" w:hAnsi="仿宋" w:eastAsia="仿宋"/>
          <w:color w:val="000000"/>
        </w:rPr>
      </w:pPr>
      <w:bookmarkStart w:id="60" w:name="_Toc15396623"/>
      <w:r>
        <w:rPr>
          <w:rStyle w:val="21"/>
          <w:rFonts w:hint="eastAsia" w:ascii="仿宋" w:hAnsi="仿宋" w:eastAsia="仿宋"/>
          <w:b w:val="0"/>
          <w:bCs w:val="0"/>
        </w:rPr>
        <w:t>五、</w:t>
      </w:r>
      <w:r>
        <w:rPr>
          <w:rFonts w:hint="eastAsia" w:ascii="仿宋" w:hAnsi="仿宋" w:eastAsia="仿宋"/>
          <w:b w:val="0"/>
          <w:color w:val="000000"/>
        </w:rPr>
        <w:t>财</w:t>
      </w:r>
      <w:r>
        <w:rPr>
          <w:rStyle w:val="21"/>
          <w:rFonts w:hint="eastAsia" w:ascii="仿宋" w:hAnsi="仿宋" w:eastAsia="仿宋"/>
          <w:b w:val="0"/>
          <w:bCs w:val="0"/>
        </w:rPr>
        <w:t>政拨款支出决算明细表（政府经济分类科目）</w:t>
      </w:r>
      <w:bookmarkEnd w:id="60"/>
    </w:p>
    <w:p>
      <w:pPr>
        <w:pStyle w:val="4"/>
        <w:rPr>
          <w:rFonts w:ascii="仿宋" w:hAnsi="仿宋" w:eastAsia="仿宋"/>
          <w:color w:val="000000"/>
        </w:rPr>
      </w:pPr>
      <w:bookmarkStart w:id="61" w:name="_Toc15396624"/>
      <w:r>
        <w:rPr>
          <w:rStyle w:val="21"/>
          <w:rFonts w:hint="eastAsia" w:ascii="仿宋" w:hAnsi="仿宋" w:eastAsia="仿宋"/>
          <w:b w:val="0"/>
          <w:bCs w:val="0"/>
        </w:rPr>
        <w:t>六、</w:t>
      </w:r>
      <w:r>
        <w:rPr>
          <w:rFonts w:hint="eastAsia" w:ascii="仿宋" w:hAnsi="仿宋" w:eastAsia="仿宋"/>
          <w:b w:val="0"/>
          <w:color w:val="000000"/>
        </w:rPr>
        <w:t>一</w:t>
      </w:r>
      <w:r>
        <w:rPr>
          <w:rStyle w:val="21"/>
          <w:rFonts w:hint="eastAsia" w:ascii="仿宋" w:hAnsi="仿宋" w:eastAsia="仿宋"/>
          <w:b w:val="0"/>
          <w:bCs w:val="0"/>
        </w:rPr>
        <w:t>般公共预算财政拨款支出决算表</w:t>
      </w:r>
      <w:bookmarkEnd w:id="61"/>
    </w:p>
    <w:p>
      <w:pPr>
        <w:pStyle w:val="4"/>
        <w:rPr>
          <w:rFonts w:ascii="仿宋" w:hAnsi="仿宋" w:eastAsia="仿宋"/>
          <w:color w:val="000000"/>
        </w:rPr>
      </w:pPr>
      <w:bookmarkStart w:id="62" w:name="_Toc15396625"/>
      <w:r>
        <w:rPr>
          <w:rStyle w:val="21"/>
          <w:rFonts w:hint="eastAsia" w:ascii="仿宋" w:hAnsi="仿宋" w:eastAsia="仿宋"/>
          <w:b w:val="0"/>
          <w:bCs w:val="0"/>
        </w:rPr>
        <w:t>七、</w:t>
      </w:r>
      <w:r>
        <w:rPr>
          <w:rFonts w:hint="eastAsia" w:ascii="仿宋" w:hAnsi="仿宋" w:eastAsia="仿宋"/>
          <w:b w:val="0"/>
          <w:color w:val="000000"/>
        </w:rPr>
        <w:t>一</w:t>
      </w:r>
      <w:r>
        <w:rPr>
          <w:rStyle w:val="21"/>
          <w:rFonts w:hint="eastAsia" w:ascii="仿宋" w:hAnsi="仿宋" w:eastAsia="仿宋"/>
          <w:b w:val="0"/>
          <w:bCs w:val="0"/>
        </w:rPr>
        <w:t>般公共预算财政拨款支出决算明细表</w:t>
      </w:r>
      <w:bookmarkEnd w:id="62"/>
    </w:p>
    <w:p>
      <w:pPr>
        <w:pStyle w:val="4"/>
        <w:rPr>
          <w:rFonts w:ascii="仿宋" w:hAnsi="仿宋" w:eastAsia="仿宋"/>
          <w:color w:val="000000"/>
        </w:rPr>
      </w:pPr>
      <w:bookmarkStart w:id="63" w:name="_Toc15396626"/>
      <w:r>
        <w:rPr>
          <w:rStyle w:val="21"/>
          <w:rFonts w:hint="eastAsia" w:ascii="仿宋" w:hAnsi="仿宋" w:eastAsia="仿宋"/>
          <w:b w:val="0"/>
          <w:bCs w:val="0"/>
        </w:rPr>
        <w:t>八、</w:t>
      </w:r>
      <w:r>
        <w:rPr>
          <w:rFonts w:hint="eastAsia" w:ascii="仿宋" w:hAnsi="仿宋" w:eastAsia="仿宋"/>
          <w:b w:val="0"/>
          <w:color w:val="000000"/>
        </w:rPr>
        <w:t>一</w:t>
      </w:r>
      <w:r>
        <w:rPr>
          <w:rStyle w:val="21"/>
          <w:rFonts w:hint="eastAsia" w:ascii="仿宋" w:hAnsi="仿宋" w:eastAsia="仿宋"/>
          <w:b w:val="0"/>
          <w:bCs w:val="0"/>
        </w:rPr>
        <w:t>般公共预算财政拨款基本支出决算表</w:t>
      </w:r>
      <w:bookmarkEnd w:id="63"/>
    </w:p>
    <w:p>
      <w:pPr>
        <w:pStyle w:val="4"/>
        <w:rPr>
          <w:rFonts w:ascii="仿宋" w:hAnsi="仿宋" w:eastAsia="仿宋"/>
          <w:color w:val="000000"/>
        </w:rPr>
      </w:pPr>
      <w:bookmarkStart w:id="64" w:name="_Toc15396627"/>
      <w:r>
        <w:rPr>
          <w:rStyle w:val="21"/>
          <w:rFonts w:hint="eastAsia" w:ascii="仿宋" w:hAnsi="仿宋" w:eastAsia="仿宋"/>
          <w:b w:val="0"/>
          <w:bCs w:val="0"/>
        </w:rPr>
        <w:t>九、</w:t>
      </w:r>
      <w:r>
        <w:rPr>
          <w:rFonts w:hint="eastAsia" w:ascii="仿宋" w:hAnsi="仿宋" w:eastAsia="仿宋"/>
          <w:b w:val="0"/>
          <w:color w:val="000000"/>
        </w:rPr>
        <w:t>一</w:t>
      </w:r>
      <w:r>
        <w:rPr>
          <w:rStyle w:val="21"/>
          <w:rFonts w:hint="eastAsia" w:ascii="仿宋" w:hAnsi="仿宋" w:eastAsia="仿宋"/>
          <w:b w:val="0"/>
          <w:bCs w:val="0"/>
        </w:rPr>
        <w:t>般公共预算财政拨款项目支出决算表</w:t>
      </w:r>
      <w:bookmarkEnd w:id="64"/>
    </w:p>
    <w:p>
      <w:pPr>
        <w:pStyle w:val="4"/>
        <w:rPr>
          <w:rFonts w:ascii="仿宋" w:hAnsi="仿宋" w:eastAsia="仿宋"/>
          <w:color w:val="000000"/>
        </w:rPr>
      </w:pPr>
      <w:bookmarkStart w:id="65" w:name="_Toc15396628"/>
      <w:r>
        <w:rPr>
          <w:rStyle w:val="21"/>
          <w:rFonts w:hint="eastAsia" w:ascii="仿宋" w:hAnsi="仿宋" w:eastAsia="仿宋"/>
          <w:b w:val="0"/>
          <w:bCs w:val="0"/>
        </w:rPr>
        <w:t>十、</w:t>
      </w:r>
      <w:r>
        <w:rPr>
          <w:rFonts w:hint="eastAsia" w:ascii="仿宋" w:hAnsi="仿宋" w:eastAsia="仿宋"/>
          <w:b w:val="0"/>
          <w:color w:val="000000"/>
        </w:rPr>
        <w:t>一</w:t>
      </w:r>
      <w:r>
        <w:rPr>
          <w:rStyle w:val="21"/>
          <w:rFonts w:hint="eastAsia" w:ascii="仿宋" w:hAnsi="仿宋" w:eastAsia="仿宋"/>
          <w:b w:val="0"/>
          <w:bCs w:val="0"/>
        </w:rPr>
        <w:t>般公共预算财政拨款“三公”经费支出决算表</w:t>
      </w:r>
      <w:bookmarkEnd w:id="65"/>
    </w:p>
    <w:p>
      <w:pPr>
        <w:pStyle w:val="4"/>
        <w:rPr>
          <w:rFonts w:ascii="仿宋" w:hAnsi="仿宋" w:eastAsia="仿宋"/>
          <w:color w:val="000000"/>
        </w:rPr>
      </w:pPr>
      <w:bookmarkStart w:id="66" w:name="_Toc15396629"/>
      <w:r>
        <w:rPr>
          <w:rStyle w:val="21"/>
          <w:rFonts w:hint="eastAsia" w:ascii="仿宋" w:hAnsi="仿宋" w:eastAsia="仿宋"/>
          <w:b w:val="0"/>
          <w:bCs w:val="0"/>
        </w:rPr>
        <w:t>十一、</w:t>
      </w:r>
      <w:r>
        <w:rPr>
          <w:rFonts w:hint="eastAsia" w:ascii="仿宋" w:hAnsi="仿宋" w:eastAsia="仿宋"/>
          <w:b w:val="0"/>
          <w:color w:val="000000"/>
        </w:rPr>
        <w:t>政</w:t>
      </w:r>
      <w:r>
        <w:rPr>
          <w:rStyle w:val="21"/>
          <w:rFonts w:hint="eastAsia" w:ascii="仿宋" w:hAnsi="仿宋" w:eastAsia="仿宋"/>
          <w:b w:val="0"/>
          <w:bCs w:val="0"/>
        </w:rPr>
        <w:t>府性基金预算财政拨款收入支出决算表</w:t>
      </w:r>
      <w:bookmarkEnd w:id="66"/>
    </w:p>
    <w:p>
      <w:pPr>
        <w:pStyle w:val="4"/>
        <w:rPr>
          <w:rFonts w:ascii="仿宋" w:hAnsi="仿宋" w:eastAsia="仿宋"/>
          <w:color w:val="000000"/>
        </w:rPr>
      </w:pPr>
      <w:bookmarkStart w:id="67" w:name="_Toc15396630"/>
      <w:r>
        <w:rPr>
          <w:rStyle w:val="21"/>
          <w:rFonts w:hint="eastAsia" w:ascii="仿宋" w:hAnsi="仿宋" w:eastAsia="仿宋"/>
          <w:b w:val="0"/>
          <w:bCs w:val="0"/>
        </w:rPr>
        <w:t>十二、</w:t>
      </w:r>
      <w:r>
        <w:rPr>
          <w:rFonts w:hint="eastAsia" w:ascii="仿宋" w:hAnsi="仿宋" w:eastAsia="仿宋"/>
          <w:b w:val="0"/>
          <w:color w:val="000000"/>
        </w:rPr>
        <w:t>政</w:t>
      </w:r>
      <w:r>
        <w:rPr>
          <w:rStyle w:val="21"/>
          <w:rFonts w:hint="eastAsia" w:ascii="仿宋" w:hAnsi="仿宋" w:eastAsia="仿宋"/>
          <w:b w:val="0"/>
          <w:bCs w:val="0"/>
        </w:rPr>
        <w:t>府性基金预算财政拨款“三公”经费支出决算表</w:t>
      </w:r>
      <w:bookmarkEnd w:id="67"/>
    </w:p>
    <w:p>
      <w:pPr>
        <w:pStyle w:val="4"/>
        <w:rPr>
          <w:rFonts w:ascii="仿宋" w:hAnsi="仿宋" w:eastAsia="仿宋"/>
          <w:color w:val="000000"/>
        </w:rPr>
      </w:pPr>
      <w:bookmarkStart w:id="68" w:name="_Toc15396631"/>
      <w:r>
        <w:rPr>
          <w:rStyle w:val="21"/>
          <w:rFonts w:hint="eastAsia" w:ascii="仿宋" w:hAnsi="仿宋" w:eastAsia="仿宋"/>
          <w:b w:val="0"/>
          <w:bCs w:val="0"/>
        </w:rPr>
        <w:t>十三、</w:t>
      </w:r>
      <w:r>
        <w:rPr>
          <w:rFonts w:hint="eastAsia" w:ascii="仿宋" w:hAnsi="仿宋" w:eastAsia="仿宋"/>
          <w:b w:val="0"/>
          <w:color w:val="000000"/>
        </w:rPr>
        <w:t>国</w:t>
      </w:r>
      <w:r>
        <w:rPr>
          <w:rStyle w:val="21"/>
          <w:rFonts w:hint="eastAsia" w:ascii="仿宋" w:hAnsi="仿宋" w:eastAsia="仿宋"/>
          <w:b w:val="0"/>
          <w:bCs w:val="0"/>
        </w:rPr>
        <w:t>有资本经营预算支出决算表</w:t>
      </w:r>
      <w:bookmarkEnd w:id="68"/>
    </w:p>
    <w:p>
      <w:pPr>
        <w:keepNext/>
        <w:rPr>
          <w:rFonts w:hint="eastAsia" w:ascii="仿宋" w:hAnsi="仿宋" w:eastAsia="仿宋" w:cstheme="minorBidi"/>
          <w:b w:val="0"/>
          <w:bCs/>
          <w:color w:val="00000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WU0N2E3ZGYzMDc2MDc4N2JkMTM5NDIwNDNkNDRkNGEifQ=="/>
  </w:docVars>
  <w:rsids>
    <w:rsidRoot w:val="000B6C53"/>
    <w:rsid w:val="000B6C53"/>
    <w:rsid w:val="001316C2"/>
    <w:rsid w:val="001A3205"/>
    <w:rsid w:val="001D6C02"/>
    <w:rsid w:val="002B39A9"/>
    <w:rsid w:val="00346404"/>
    <w:rsid w:val="003D4A1C"/>
    <w:rsid w:val="004A3480"/>
    <w:rsid w:val="0060250A"/>
    <w:rsid w:val="008C7CE7"/>
    <w:rsid w:val="00921BC5"/>
    <w:rsid w:val="00CB6B8C"/>
    <w:rsid w:val="00E96049"/>
    <w:rsid w:val="061C44E7"/>
    <w:rsid w:val="12E54B42"/>
    <w:rsid w:val="142949F4"/>
    <w:rsid w:val="1D9E7B2A"/>
    <w:rsid w:val="20EA6D1B"/>
    <w:rsid w:val="21BD59B1"/>
    <w:rsid w:val="23244DE0"/>
    <w:rsid w:val="24CD373C"/>
    <w:rsid w:val="292B7F08"/>
    <w:rsid w:val="2E3C6EB4"/>
    <w:rsid w:val="2ECD4D5E"/>
    <w:rsid w:val="2F0971F1"/>
    <w:rsid w:val="2F533BAE"/>
    <w:rsid w:val="2F6117CB"/>
    <w:rsid w:val="30A83599"/>
    <w:rsid w:val="39B8407C"/>
    <w:rsid w:val="3AF06C8B"/>
    <w:rsid w:val="3B833FB4"/>
    <w:rsid w:val="51EC58FF"/>
    <w:rsid w:val="55C6623C"/>
    <w:rsid w:val="575729E9"/>
    <w:rsid w:val="59FB7CDF"/>
    <w:rsid w:val="65F42EB2"/>
    <w:rsid w:val="67E5382B"/>
    <w:rsid w:val="68371E3E"/>
    <w:rsid w:val="7B303E8C"/>
    <w:rsid w:val="7C467DF0"/>
    <w:rsid w:val="7FAC6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qFormat/>
    <w:uiPriority w:val="99"/>
    <w:pPr>
      <w:spacing w:beforeLines="30"/>
    </w:pPr>
    <w:rPr>
      <w:rFonts w:ascii="仿宋_GB2312" w:eastAsia="仿宋_GB2312"/>
      <w:kern w:val="0"/>
      <w:sz w:val="24"/>
      <w:szCs w:val="20"/>
    </w:rPr>
  </w:style>
  <w:style w:type="paragraph" w:styleId="7">
    <w:name w:val="Balloon Text"/>
    <w:basedOn w:val="1"/>
    <w:link w:val="17"/>
    <w:semiHidden/>
    <w:unhideWhenUsed/>
    <w:qFormat/>
    <w:uiPriority w:val="99"/>
    <w:rPr>
      <w:sz w:val="18"/>
      <w:szCs w:val="18"/>
    </w:rPr>
  </w:style>
  <w:style w:type="paragraph" w:styleId="8">
    <w:name w:val="footer"/>
    <w:basedOn w:val="1"/>
    <w:link w:val="19"/>
    <w:semiHidden/>
    <w:unhideWhenUsed/>
    <w:qFormat/>
    <w:uiPriority w:val="99"/>
    <w:pPr>
      <w:tabs>
        <w:tab w:val="center" w:pos="4153"/>
        <w:tab w:val="right" w:pos="8306"/>
      </w:tabs>
      <w:snapToGrid w:val="0"/>
      <w:jc w:val="left"/>
    </w:pPr>
    <w:rPr>
      <w:sz w:val="18"/>
      <w:szCs w:val="18"/>
    </w:rPr>
  </w:style>
  <w:style w:type="paragraph" w:styleId="9">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qFormat/>
    <w:uiPriority w:val="22"/>
    <w:rPr>
      <w:b/>
    </w:rPr>
  </w:style>
  <w:style w:type="character" w:styleId="15">
    <w:name w:val="page number"/>
    <w:basedOn w:val="13"/>
    <w:qFormat/>
    <w:uiPriority w:val="0"/>
  </w:style>
  <w:style w:type="character" w:styleId="16">
    <w:name w:val="Hyperlink"/>
    <w:unhideWhenUsed/>
    <w:qFormat/>
    <w:uiPriority w:val="99"/>
    <w:rPr>
      <w:color w:val="0000FF"/>
      <w:u w:val="single"/>
    </w:rPr>
  </w:style>
  <w:style w:type="character" w:customStyle="1" w:styleId="17">
    <w:name w:val="批注框文本 Char"/>
    <w:basedOn w:val="13"/>
    <w:link w:val="7"/>
    <w:semiHidden/>
    <w:qFormat/>
    <w:uiPriority w:val="99"/>
    <w:rPr>
      <w:sz w:val="18"/>
      <w:szCs w:val="18"/>
    </w:rPr>
  </w:style>
  <w:style w:type="character" w:customStyle="1" w:styleId="18">
    <w:name w:val="页眉 Char"/>
    <w:basedOn w:val="13"/>
    <w:link w:val="9"/>
    <w:semiHidden/>
    <w:qFormat/>
    <w:uiPriority w:val="99"/>
    <w:rPr>
      <w:sz w:val="18"/>
      <w:szCs w:val="18"/>
    </w:rPr>
  </w:style>
  <w:style w:type="character" w:customStyle="1" w:styleId="19">
    <w:name w:val="页脚 Char"/>
    <w:basedOn w:val="13"/>
    <w:link w:val="8"/>
    <w:semiHidden/>
    <w:qFormat/>
    <w:uiPriority w:val="99"/>
    <w:rPr>
      <w:sz w:val="18"/>
      <w:szCs w:val="18"/>
    </w:rPr>
  </w:style>
  <w:style w:type="character" w:customStyle="1" w:styleId="20">
    <w:name w:val="标题 1 Char"/>
    <w:link w:val="3"/>
    <w:qFormat/>
    <w:uiPriority w:val="9"/>
    <w:rPr>
      <w:b/>
      <w:bCs/>
      <w:kern w:val="44"/>
      <w:sz w:val="44"/>
      <w:szCs w:val="44"/>
    </w:rPr>
  </w:style>
  <w:style w:type="character" w:customStyle="1" w:styleId="21">
    <w:name w:val="标题 2 Char"/>
    <w:link w:val="4"/>
    <w:qFormat/>
    <w:uiPriority w:val="9"/>
    <w:rPr>
      <w:rFonts w:ascii="Cambria" w:hAnsi="Cambria"/>
      <w:b/>
      <w:bCs/>
      <w:sz w:val="32"/>
      <w:szCs w:val="32"/>
    </w:rPr>
  </w:style>
  <w:style w:type="paragraph" w:styleId="22">
    <w:name w:val="List Paragraph"/>
    <w:basedOn w:val="1"/>
    <w:qFormat/>
    <w:uiPriority w:val="34"/>
    <w:pPr>
      <w:ind w:firstLine="420" w:firstLineChars="200"/>
    </w:pPr>
  </w:style>
  <w:style w:type="paragraph" w:customStyle="1" w:styleId="23">
    <w:name w:val="Defaul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0132;&#26131;&#20013;&#24515;\&#36130;&#21153;\&#20915;&#31639;&#20844;&#24320;\&#20316;&#21442;&#32771;&#65306;&#39292;&#29366;&#65288;&#30452;&#26041;&#65289;&#22270;&#32472;&#21046;&#26041;&#27861;(1).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oleObject" Target="file:///D:\&#20132;&#26131;&#20013;&#24515;\&#36130;&#21153;\&#20915;&#31639;&#20844;&#24320;\&#20316;&#21442;&#32771;&#65306;&#39292;&#29366;&#65288;&#30452;&#26041;&#65289;&#22270;&#32472;&#21046;&#26041;&#27861;(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0132;&#26131;&#20013;&#24515;\&#36130;&#21153;\&#20915;&#31639;&#20844;&#24320;\&#20316;&#21442;&#32771;&#65306;&#39292;&#29366;&#65288;&#30452;&#26041;&#65289;&#22270;&#32472;&#21046;&#26041;&#27861;(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08\Documents\youduqt\16120025-100750-mclinrc\file\&#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132;&#26131;&#20013;&#24515;\&#36130;&#21153;\&#20915;&#31639;&#20844;&#24320;\&#20316;&#21442;&#32771;&#65306;&#39292;&#29366;&#65288;&#30452;&#26041;&#65289;&#22270;&#32472;&#21046;&#26041;&#27861;(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barChart>
        <c:barDir val="col"/>
        <c:grouping val="clustered"/>
        <c:varyColors val="0"/>
        <c:ser>
          <c:idx val="0"/>
          <c:order val="0"/>
          <c:tx>
            <c:strRef>
              <c:f>'[作参考：饼状（直方）图绘制方法(1).xls]收支决算总计变动情况-图1'!$A$4</c:f>
              <c:strCache>
                <c:ptCount val="1"/>
                <c:pt idx="0">
                  <c:v>沐川县公共资源交易服务中心收、支决算总计变动情况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176132013201321"/>
                  <c:y val="0.22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68726072607265"/>
                  <c:y val="0.342968727272727"/>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'[作参考：饼状（直方）图绘制方法(1).xls]收支决算总计变动情况-图1'!$A$1:$B$1</c:f>
              <c:strCache>
                <c:ptCount val="2"/>
                <c:pt idx="0">
                  <c:v>2021年收支</c:v>
                </c:pt>
                <c:pt idx="1">
                  <c:v>2022年收支</c:v>
                </c:pt>
              </c:strCache>
            </c:strRef>
          </c:cat>
          <c:val>
            <c:numRef>
              <c:f>'[作参考：饼状（直方）图绘制方法(1).xls]收支决算总计变动情况-图1'!$A$2:$B$2</c:f>
              <c:numCache>
                <c:formatCode>General</c:formatCode>
                <c:ptCount val="2"/>
                <c:pt idx="0">
                  <c:v>161.35</c:v>
                </c:pt>
                <c:pt idx="1">
                  <c:v>294</c:v>
                </c:pt>
              </c:numCache>
            </c:numRef>
          </c:val>
        </c:ser>
        <c:dLbls>
          <c:showLegendKey val="0"/>
          <c:showVal val="0"/>
          <c:showCatName val="0"/>
          <c:showSerName val="0"/>
          <c:showPercent val="0"/>
          <c:showBubbleSize val="0"/>
        </c:dLbls>
        <c:gapWidth val="150"/>
        <c:overlap val="0"/>
        <c:axId val="701480170"/>
        <c:axId val="254978044"/>
      </c:barChart>
      <c:catAx>
        <c:axId val="701480170"/>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254978044"/>
        <c:crosses val="autoZero"/>
        <c:auto val="1"/>
        <c:lblAlgn val="ctr"/>
        <c:lblOffset val="100"/>
        <c:noMultiLvlLbl val="0"/>
      </c:catAx>
      <c:valAx>
        <c:axId val="254978044"/>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01480170"/>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575"/>
          <c:y val="0.277"/>
          <c:w val="0.33325"/>
          <c:h val="0.56425"/>
        </c:manualLayout>
      </c:layout>
      <c:pieChart>
        <c:varyColors val="1"/>
        <c:ser>
          <c:idx val="0"/>
          <c:order val="0"/>
          <c:tx>
            <c:strRef>
              <c:f>'[作参考：饼状（直方）图绘制方法(1).xls]支出决算结构-图3'!$A$9</c:f>
              <c:strCache>
                <c:ptCount val="1"/>
                <c:pt idx="0">
                  <c:v>沐川县公共资源交易服务中心2022年支出决算结构图</c:v>
                </c:pt>
              </c:strCache>
            </c:strRef>
          </c:tx>
          <c:spPr>
            <a:solidFill>
              <a:srgbClr val="9999FF">
                <a:alpha val="100000"/>
              </a:srgbClr>
            </a:solidFill>
            <a:ln w="12700">
              <a:solidFill>
                <a:srgbClr val="000000">
                  <a:alpha val="100000"/>
                </a:srgbClr>
              </a:solidFill>
              <a:prstDash val="solid"/>
            </a:ln>
          </c:spPr>
          <c:explosion val="25"/>
          <c:dPt>
            <c:idx val="0"/>
            <c:bubble3D val="0"/>
            <c:explosion val="25"/>
            <c:spPr>
              <a:solidFill>
                <a:srgbClr val="9999FF">
                  <a:alpha val="100000"/>
                </a:srgbClr>
              </a:solidFill>
              <a:ln w="12700">
                <a:solidFill>
                  <a:srgbClr val="000000">
                    <a:alpha val="100000"/>
                  </a:srgbClr>
                </a:solidFill>
                <a:prstDash val="solid"/>
              </a:ln>
            </c:spPr>
          </c:dPt>
          <c:dPt>
            <c:idx val="1"/>
            <c:bubble3D val="0"/>
            <c:explosion val="25"/>
            <c:spPr>
              <a:solidFill>
                <a:srgbClr val="993366">
                  <a:alpha val="100000"/>
                </a:srgbClr>
              </a:solidFill>
              <a:ln w="12700">
                <a:solidFill>
                  <a:srgbClr val="000000">
                    <a:alpha val="100000"/>
                  </a:srgbClr>
                </a:solidFill>
                <a:prstDash val="solid"/>
              </a:ln>
            </c:spPr>
          </c:dPt>
          <c:dLbls>
            <c:numFmt formatCode="0.00%" sourceLinked="0"/>
            <c:spPr>
              <a:noFill/>
              <a:ln w="3175">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'[作参考：饼状（直方）图绘制方法(1).xls]支出决算结构-图3'!$A$1:$B$1</c:f>
              <c:strCache>
                <c:ptCount val="2"/>
                <c:pt idx="0">
                  <c:v>基本支出</c:v>
                </c:pt>
                <c:pt idx="1">
                  <c:v>项目支出</c:v>
                </c:pt>
              </c:strCache>
            </c:strRef>
          </c:cat>
          <c:val>
            <c:numRef>
              <c:f>'[作参考：饼状（直方）图绘制方法(1).xls]支出决算结构-图3'!$A$4:$B$4</c:f>
              <c:numCache>
                <c:formatCode>0.00%</c:formatCode>
                <c:ptCount val="2"/>
                <c:pt idx="0">
                  <c:v>0.9966</c:v>
                </c:pt>
                <c:pt idx="1">
                  <c:v>0.0034</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7905"/>
          <c:y val="0.456"/>
          <c:w val="0.1655"/>
          <c:h val="0.13525"/>
        </c:manualLayout>
      </c:layout>
      <c:overlay val="0"/>
      <c:spPr>
        <a:solidFill>
          <a:srgbClr val="FFFFFF">
            <a:alpha val="100000"/>
          </a:srgbClr>
        </a:solidFill>
        <a:ln w="3175">
          <a:noFill/>
        </a:ln>
      </c:spPr>
      <c:txPr>
        <a:bodyPr rot="0" spcFirstLastPara="0" vertOverflow="ellipsis" vert="horz" wrap="square" anchor="ctr" anchorCtr="1"/>
        <a:lstStyle/>
        <a:p>
          <a:pPr>
            <a:defRPr lang="zh-CN" sz="11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3175">
          <a:noFill/>
        </a:ln>
      </c:spPr>
      <c:txPr>
        <a:bodyPr rot="0" spcFirstLastPara="0" vertOverflow="ellipsis" vert="horz" wrap="square" anchor="ctr" anchorCtr="1"/>
        <a:lstStyle/>
        <a:p>
          <a:pPr>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0942574257425743"/>
          <c:y val="0.153333333333333"/>
          <c:w val="0.880660066006601"/>
          <c:h val="0.730222222222222"/>
        </c:manualLayout>
      </c:layout>
      <c:barChart>
        <c:barDir val="col"/>
        <c:grouping val="clustered"/>
        <c:varyColors val="0"/>
        <c:ser>
          <c:idx val="0"/>
          <c:order val="0"/>
          <c:tx>
            <c:strRef>
              <c:f>'[作参考：饼状（直方）图绘制方法(1).xls]财政拨款收入支出决算总计变动情况-图 (3)'!$A$4</c:f>
              <c:strCache>
                <c:ptCount val="1"/>
                <c:pt idx="0">
                  <c:v>沐川县公共资源交易服务中心财政拨款收入、支出决算总计变动情况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572171617161717"/>
                  <c:y val="0.033000242424242"/>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20949174917491"/>
                  <c:y val="0.0363020606060604"/>
                </c:manualLayout>
              </c:layout>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'[作参考：饼状（直方）图绘制方法(1).xls]财政拨款收入支出决算总计变动情况-图 (3)'!$A$1:$D$1</c:f>
              <c:strCache>
                <c:ptCount val="4"/>
                <c:pt idx="0">
                  <c:v>2021年收入</c:v>
                </c:pt>
                <c:pt idx="2">
                  <c:v>2022年支出</c:v>
                </c:pt>
              </c:strCache>
            </c:strRef>
          </c:cat>
          <c:val>
            <c:numRef>
              <c:f>'[作参考：饼状（直方）图绘制方法(1).xls]财政拨款收入支出决算总计变动情况-图 (3)'!$A$2:$D$2</c:f>
              <c:numCache>
                <c:formatCode>General</c:formatCode>
                <c:ptCount val="4"/>
                <c:pt idx="0">
                  <c:v>161.35</c:v>
                </c:pt>
                <c:pt idx="2">
                  <c:v>294</c:v>
                </c:pt>
              </c:numCache>
            </c:numRef>
          </c:val>
        </c:ser>
        <c:dLbls>
          <c:showLegendKey val="0"/>
          <c:showVal val="0"/>
          <c:showCatName val="0"/>
          <c:showSerName val="0"/>
          <c:showPercent val="0"/>
          <c:showBubbleSize val="0"/>
        </c:dLbls>
        <c:gapWidth val="150"/>
        <c:overlap val="0"/>
        <c:axId val="432059836"/>
        <c:axId val="323498368"/>
      </c:barChart>
      <c:catAx>
        <c:axId val="432059836"/>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323498368"/>
        <c:crosses val="autoZero"/>
        <c:auto val="1"/>
        <c:lblAlgn val="ctr"/>
        <c:lblOffset val="100"/>
        <c:noMultiLvlLbl val="0"/>
      </c:catAx>
      <c:valAx>
        <c:axId val="323498368"/>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432059836"/>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1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沐川县交易中心一般公共预算财政拨款支出决算变动情况</a:t>
            </a:r>
            <a:endParaRPr sz="11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overlay val="0"/>
      <c:spPr>
        <a:noFill/>
        <a:ln w="3175">
          <a:noFill/>
        </a:ln>
      </c:spPr>
    </c:title>
    <c:autoTitleDeleted val="0"/>
    <c:plotArea>
      <c:layout>
        <c:manualLayout>
          <c:layoutTarget val="inner"/>
          <c:xMode val="edge"/>
          <c:yMode val="edge"/>
          <c:x val="0.084"/>
          <c:y val="0.2285"/>
          <c:w val="0.832"/>
          <c:h val="0.68175"/>
        </c:manualLayout>
      </c:layout>
      <c:barChart>
        <c:barDir val="col"/>
        <c:grouping val="clustered"/>
        <c:varyColors val="0"/>
        <c:ser>
          <c:idx val="0"/>
          <c:order val="0"/>
          <c:spPr>
            <a:solidFill>
              <a:srgbClr val="9999FF">
                <a:alpha val="100000"/>
              </a:srgbClr>
            </a:solidFill>
            <a:ln w="12700">
              <a:solidFill>
                <a:srgbClr val="000000">
                  <a:alpha val="100000"/>
                </a:srgbClr>
              </a:solidFill>
              <a:prstDash val="solid"/>
            </a:ln>
          </c:spPr>
          <c:invertIfNegative val="0"/>
          <c:dLbls>
            <c:dLbl>
              <c:idx val="0"/>
              <c:layout>
                <c:manualLayout>
                  <c:x val="0"/>
                  <c:y val="0.244066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en-US" altLang="zh-CN"/>
                      <a:t>161.35</a:t>
                    </a:r>
                    <a:endParaRPr lang="en-US" altLang="zh-CN"/>
                  </a:p>
                </c:rich>
              </c:tx>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8"/>
                  <c:y val="0.347692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lang="en-US" altLang="zh-CN"/>
                      <a:t>294</a:t>
                    </a:r>
                    <a:endParaRPr lang="en-US" altLang="zh-CN"/>
                  </a:p>
                </c:rich>
              </c:tx>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w="3175">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'[作参考：饼状（直方）图绘制方法.xls]一般公共预算财政拨款支出决算变动情况-图5'!$A$1:$B$1</c:f>
              <c:numCache>
                <c:ptCount val="0"/>
              </c:numCache>
            </c:numRef>
          </c:cat>
          <c:val>
            <c:numRef>
              <c:f>'[作参考：饼状（直方）图绘制方法.xls]一般公共预算财政拨款支出决算变动情况-图5'!$A$2:$B$2</c:f>
              <c:numCache>
                <c:formatCode>General</c:formatCode>
                <c:ptCount val="2"/>
                <c:pt idx="0">
                  <c:v>193.73</c:v>
                </c:pt>
                <c:pt idx="1" c:formatCode="#,##0.00">
                  <c:v>161.35</c:v>
                </c:pt>
              </c:numCache>
            </c:numRef>
          </c:val>
        </c:ser>
        <c:dLbls>
          <c:showLegendKey val="0"/>
          <c:showVal val="0"/>
          <c:showCatName val="0"/>
          <c:showSerName val="0"/>
          <c:showPercent val="0"/>
          <c:showBubbleSize val="0"/>
        </c:dLbls>
        <c:gapWidth val="150"/>
        <c:overlap val="0"/>
        <c:axId val="775531253"/>
        <c:axId val="513177129"/>
      </c:barChart>
      <c:catAx>
        <c:axId val="775531253"/>
        <c:scaling>
          <c:orientation val="minMax"/>
        </c:scaling>
        <c:delete val="0"/>
        <c:axPos val="b"/>
        <c:majorTickMark val="in"/>
        <c:minorTickMark val="none"/>
        <c:tickLblPos val="nextTo"/>
        <c:spPr>
          <a:ln w="3175" cap="flat" cmpd="sng" algn="ctr">
            <a:solidFill>
              <a:srgbClr val="000000">
                <a:alpha val="100000"/>
              </a:srgbClr>
            </a:solidFill>
            <a:prstDash val="solid"/>
            <a:round/>
          </a:ln>
        </c:spPr>
        <c:txPr>
          <a:bodyPr rot="-60000000" spcFirstLastPara="0" vertOverflow="ellipsis" vert="horz" wrap="square" anchor="ctr" anchorCtr="1"/>
          <a:lstStyle/>
          <a:p>
            <a:pPr>
              <a:defRPr lang="zh-CN" sz="10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crossAx val="513177129"/>
        <c:crosses val="autoZero"/>
        <c:auto val="1"/>
        <c:lblAlgn val="ctr"/>
        <c:lblOffset val="100"/>
        <c:noMultiLvlLbl val="0"/>
      </c:catAx>
      <c:valAx>
        <c:axId val="513177129"/>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6000000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775531253"/>
        <c:crosses val="autoZero"/>
        <c:crossBetween val="between"/>
      </c:valAx>
      <c:spPr>
        <a:noFill/>
        <a:ln w="3175">
          <a:noFill/>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t>沐川县交易中心一般公共预算财政拨款支出决算结构图</a:t>
            </a:r>
            <a:endParaRPr sz="1200" b="1" i="0" u="none" strike="noStrike" baseline="0">
              <a:solidFill>
                <a:srgbClr val="000000">
                  <a:alpha val="100000"/>
                </a:srgbClr>
              </a:solidFill>
              <a:latin typeface="宋体" panose="02010600030101010101" charset="-122"/>
              <a:ea typeface="宋体" panose="02010600030101010101" charset="-122"/>
              <a:cs typeface="宋体" panose="02010600030101010101" charset="-122"/>
            </a:endParaRPr>
          </a:p>
        </c:rich>
      </c:tx>
      <c:layout>
        <c:manualLayout>
          <c:x val="-0.009"/>
          <c:y val="-0.01025"/>
        </c:manualLayout>
      </c:layout>
      <c:overlay val="0"/>
      <c:spPr>
        <a:noFill/>
        <a:ln w="3175">
          <a:noFill/>
        </a:ln>
      </c:spPr>
    </c:title>
    <c:autoTitleDeleted val="0"/>
    <c:plotArea>
      <c:layout>
        <c:manualLayout>
          <c:layoutTarget val="inner"/>
          <c:xMode val="edge"/>
          <c:yMode val="edge"/>
          <c:x val="0.1005"/>
          <c:y val="0.24925"/>
          <c:w val="0.445"/>
          <c:h val="0.67875"/>
        </c:manualLayout>
      </c:layout>
      <c:pieChart>
        <c:varyColors val="1"/>
        <c:ser>
          <c:idx val="0"/>
          <c:order val="0"/>
          <c:tx>
            <c:strRef>
              <c:f>'[作参考：饼状（直方）图绘制方法(1).xls]一般公共预算财政拨款支出决算结构-图6'!$A$8</c:f>
              <c:strCache>
                <c:ptCount val="1"/>
                <c:pt idx="0">
                  <c:v>沐川县公共资源交易服务中心一般公共预算财政拨款支出决算结构图</c:v>
                </c:pt>
              </c:strCache>
            </c:strRef>
          </c:tx>
          <c:spPr>
            <a:solidFill>
              <a:srgbClr val="9999FF">
                <a:alpha val="100000"/>
              </a:srgbClr>
            </a:solidFill>
            <a:ln w="12700">
              <a:solidFill>
                <a:srgbClr val="000000">
                  <a:alpha val="100000"/>
                </a:srgbClr>
              </a:solidFill>
              <a:prstDash val="solid"/>
            </a:ln>
          </c:spPr>
          <c:explosion val="0"/>
          <c:dPt>
            <c:idx val="0"/>
            <c:bubble3D val="0"/>
            <c:explosion val="0"/>
            <c:spPr>
              <a:solidFill>
                <a:srgbClr val="9999FF">
                  <a:alpha val="100000"/>
                </a:srgbClr>
              </a:solidFill>
              <a:ln w="3175">
                <a:solidFill>
                  <a:srgbClr val="000000">
                    <a:alpha val="100000"/>
                  </a:srgbClr>
                </a:solidFill>
                <a:prstDash val="solid"/>
              </a:ln>
            </c:spPr>
          </c:dPt>
          <c:dPt>
            <c:idx val="1"/>
            <c:bubble3D val="0"/>
            <c:explosion val="0"/>
            <c:spPr>
              <a:solidFill>
                <a:srgbClr val="993366">
                  <a:alpha val="100000"/>
                </a:srgbClr>
              </a:solidFill>
              <a:ln w="12700">
                <a:solidFill>
                  <a:srgbClr val="000000">
                    <a:alpha val="100000"/>
                  </a:srgbClr>
                </a:solidFill>
                <a:prstDash val="solid"/>
              </a:ln>
            </c:spPr>
          </c:dPt>
          <c:dPt>
            <c:idx val="2"/>
            <c:bubble3D val="0"/>
            <c:explosion val="0"/>
            <c:spPr>
              <a:solidFill>
                <a:srgbClr val="FFFFCC">
                  <a:alpha val="100000"/>
                </a:srgbClr>
              </a:solidFill>
              <a:ln w="12700">
                <a:solidFill>
                  <a:srgbClr val="000000">
                    <a:alpha val="100000"/>
                  </a:srgbClr>
                </a:solidFill>
                <a:prstDash val="solid"/>
              </a:ln>
            </c:spPr>
          </c:dPt>
          <c:dPt>
            <c:idx val="3"/>
            <c:bubble3D val="0"/>
            <c:explosion val="0"/>
            <c:spPr>
              <a:solidFill>
                <a:srgbClr val="CCFFFF">
                  <a:alpha val="100000"/>
                </a:srgbClr>
              </a:solidFill>
              <a:ln w="12700">
                <a:solidFill>
                  <a:srgbClr val="000000">
                    <a:alpha val="100000"/>
                  </a:srgbClr>
                </a:solidFill>
                <a:prstDash val="solid"/>
              </a:ln>
            </c:spPr>
          </c:dPt>
          <c:dPt>
            <c:idx val="4"/>
            <c:bubble3D val="0"/>
            <c:explosion val="0"/>
            <c:spPr>
              <a:solidFill>
                <a:srgbClr val="660066">
                  <a:alpha val="100000"/>
                </a:srgbClr>
              </a:solidFill>
              <a:ln w="12700">
                <a:solidFill>
                  <a:srgbClr val="000000">
                    <a:alpha val="100000"/>
                  </a:srgbClr>
                </a:solidFill>
                <a:prstDash val="solid"/>
              </a:ln>
            </c:spPr>
          </c:dPt>
          <c:dLbls>
            <c:dLbl>
              <c:idx val="0"/>
              <c:layout>
                <c:manualLayout>
                  <c:x val="-0.122825912977659"/>
                  <c:y val="-0.361740626182898"/>
                </c:manualLayout>
              </c:layout>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0%" sourceLinked="0"/>
            <c:spPr>
              <a:noFill/>
              <a:ln w="3175">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'[作参考：饼状（直方）图绘制方法(1).xls]一般公共预算财政拨款支出决算结构-图6'!$A$1:$E$1</c:f>
              <c:strCache>
                <c:ptCount val="5"/>
                <c:pt idx="0">
                  <c:v>2022年一般公共服务支出</c:v>
                </c:pt>
                <c:pt idx="2">
                  <c:v>2022年社会保障和就业支出</c:v>
                </c:pt>
                <c:pt idx="3">
                  <c:v>2022年医疗卫生支出</c:v>
                </c:pt>
                <c:pt idx="4">
                  <c:v>2022年住房保障支出</c:v>
                </c:pt>
              </c:strCache>
            </c:strRef>
          </c:cat>
          <c:val>
            <c:numRef>
              <c:f>'[作参考：饼状（直方）图绘制方法(1).xls]一般公共预算财政拨款支出决算结构-图6'!$A$2:$E$2</c:f>
              <c:numCache>
                <c:formatCode>General</c:formatCode>
                <c:ptCount val="5"/>
                <c:pt idx="0">
                  <c:v>254.96</c:v>
                </c:pt>
                <c:pt idx="1">
                  <c:v>0</c:v>
                </c:pt>
                <c:pt idx="2">
                  <c:v>13.63</c:v>
                </c:pt>
                <c:pt idx="3">
                  <c:v>6.53</c:v>
                </c:pt>
                <c:pt idx="4">
                  <c:v>17.89</c:v>
                </c:pt>
              </c:numCache>
            </c:numRef>
          </c:val>
        </c:ser>
        <c:dLbls>
          <c:showLegendKey val="0"/>
          <c:showVal val="0"/>
          <c:showCatName val="0"/>
          <c:showSerName val="0"/>
          <c:showPercent val="0"/>
          <c:showBubbleSize val="0"/>
          <c:showLeaderLines val="1"/>
        </c:dLbls>
        <c:firstSliceAng val="0"/>
      </c:pieChart>
      <c:spPr>
        <a:noFill/>
        <a:ln w="3175">
          <a:noFill/>
        </a:ln>
      </c:spPr>
    </c:plotArea>
    <c:legend>
      <c:legendPos val="r"/>
      <c:layout>
        <c:manualLayout>
          <c:xMode val="edge"/>
          <c:yMode val="edge"/>
          <c:x val="0.6555"/>
          <c:y val="0.28825"/>
          <c:w val="0.34425"/>
          <c:h val="0.5555"/>
        </c:manualLayout>
      </c:layout>
      <c:overlay val="0"/>
      <c:spPr>
        <a:solidFill>
          <a:srgbClr val="FFFFFF">
            <a:alpha val="100000"/>
          </a:srgbClr>
        </a:solidFill>
        <a:ln w="3175">
          <a:noFill/>
        </a:ln>
      </c:spPr>
      <c:txPr>
        <a:bodyPr rot="0" spcFirstLastPara="0" vertOverflow="ellipsis" vert="horz" wrap="square" anchor="ctr" anchorCtr="1"/>
        <a:lstStyle/>
        <a:p>
          <a:pPr>
            <a:defRPr lang="zh-CN" sz="1125"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3BFE6-DD55-4CD6-BC9A-F94FC106133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7535</Words>
  <Characters>8052</Characters>
  <Lines>79</Lines>
  <Paragraphs>22</Paragraphs>
  <TotalTime>155</TotalTime>
  <ScaleCrop>false</ScaleCrop>
  <LinksUpToDate>false</LinksUpToDate>
  <CharactersWithSpaces>11452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2020-09-07T08:10:00Z</dcterms:created>
  <dc:creator>User</dc:creator>
  <cp:lastModifiedBy>hp01</cp:lastModifiedBy>
  <dcterms:modified xsi:type="dcterms:W3CDTF">2023-10-09T06:12:56Z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A966E51807EE413AB7498B9715A33D50_12</vt:lpwstr>
  </property>
</Properties>
</file>