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ordWrap/>
        <w:topLinePunct w:val="0"/>
        <w:bidi w:val="0"/>
        <w:adjustRightInd w:val="0"/>
        <w:snapToGrid w:val="0"/>
        <w:spacing w:line="560" w:lineRule="exact"/>
        <w:jc w:val="center"/>
        <w:outlineLvl w:val="9"/>
        <w:rPr>
          <w:rFonts w:hint="default" w:ascii="Times New Roman" w:hAnsi="Times New Roman" w:eastAsia="方正小标宋简体" w:cs="Times New Roman"/>
          <w:color w:val="auto"/>
          <w:sz w:val="72"/>
          <w:szCs w:val="72"/>
          <w:highlight w:val="none"/>
        </w:rPr>
      </w:pPr>
      <w:bookmarkStart w:id="0" w:name="_Toc15377193"/>
      <w:bookmarkStart w:id="1" w:name="_Toc15378441"/>
      <w:bookmarkStart w:id="2" w:name="_Toc15396475"/>
      <w:bookmarkStart w:id="3" w:name="_Toc15377425"/>
      <w:bookmarkStart w:id="4" w:name="_Toc15396597"/>
      <w:bookmarkStart w:id="5" w:name="_Toc15306267"/>
    </w:p>
    <w:p>
      <w:pPr>
        <w:adjustRightInd w:val="0"/>
        <w:snapToGrid w:val="0"/>
        <w:spacing w:line="360" w:lineRule="auto"/>
        <w:jc w:val="center"/>
        <w:outlineLvl w:val="9"/>
        <w:rPr>
          <w:rFonts w:hint="default" w:ascii="Times New Roman" w:hAnsi="Times New Roman" w:eastAsia="方正小标宋简体" w:cs="Times New Roman"/>
          <w:color w:val="auto"/>
          <w:sz w:val="72"/>
          <w:szCs w:val="72"/>
          <w:highlight w:val="none"/>
        </w:rPr>
      </w:pPr>
    </w:p>
    <w:p>
      <w:pPr>
        <w:adjustRightInd w:val="0"/>
        <w:snapToGrid w:val="0"/>
        <w:spacing w:line="360" w:lineRule="auto"/>
        <w:jc w:val="center"/>
        <w:outlineLvl w:val="0"/>
        <w:rPr>
          <w:rFonts w:hint="default" w:ascii="Times New Roman" w:hAnsi="Times New Roman" w:eastAsia="方正小标宋简体" w:cs="Times New Roman"/>
          <w:color w:val="auto"/>
          <w:sz w:val="72"/>
          <w:szCs w:val="72"/>
          <w:highlight w:val="none"/>
        </w:rPr>
      </w:pPr>
      <w:bookmarkStart w:id="6" w:name="_Toc11402"/>
      <w:bookmarkStart w:id="7" w:name="_Toc7106"/>
      <w:r>
        <w:rPr>
          <w:rFonts w:hint="default" w:ascii="Times New Roman" w:hAnsi="Times New Roman" w:eastAsia="方正小标宋简体" w:cs="Times New Roman"/>
          <w:color w:val="auto"/>
          <w:sz w:val="72"/>
          <w:szCs w:val="72"/>
          <w:highlight w:val="none"/>
        </w:rPr>
        <w:t>20</w:t>
      </w:r>
      <w:r>
        <w:rPr>
          <w:rFonts w:hint="default" w:ascii="Times New Roman" w:hAnsi="Times New Roman" w:eastAsia="方正小标宋简体" w:cs="Times New Roman"/>
          <w:color w:val="auto"/>
          <w:sz w:val="72"/>
          <w:szCs w:val="72"/>
          <w:highlight w:val="none"/>
          <w:lang w:val="en-US" w:eastAsia="zh-CN"/>
        </w:rPr>
        <w:t>22</w:t>
      </w:r>
      <w:r>
        <w:rPr>
          <w:rFonts w:hint="default" w:ascii="Times New Roman" w:hAnsi="Times New Roman" w:eastAsia="方正小标宋简体" w:cs="Times New Roman"/>
          <w:color w:val="auto"/>
          <w:sz w:val="72"/>
          <w:szCs w:val="72"/>
          <w:highlight w:val="none"/>
        </w:rPr>
        <w:t>年度</w:t>
      </w:r>
      <w:bookmarkEnd w:id="0"/>
      <w:bookmarkEnd w:id="1"/>
      <w:bookmarkEnd w:id="2"/>
      <w:bookmarkEnd w:id="3"/>
      <w:bookmarkEnd w:id="4"/>
      <w:bookmarkEnd w:id="6"/>
      <w:bookmarkEnd w:id="7"/>
    </w:p>
    <w:p>
      <w:pPr>
        <w:adjustRightInd w:val="0"/>
        <w:snapToGrid w:val="0"/>
        <w:spacing w:line="360" w:lineRule="auto"/>
        <w:jc w:val="center"/>
        <w:outlineLvl w:val="0"/>
        <w:rPr>
          <w:rFonts w:hint="default" w:ascii="Times New Roman" w:hAnsi="Times New Roman" w:eastAsia="方正小标宋简体" w:cs="Times New Roman"/>
          <w:color w:val="auto"/>
          <w:sz w:val="72"/>
          <w:szCs w:val="72"/>
          <w:highlight w:val="none"/>
        </w:rPr>
      </w:pPr>
      <w:bookmarkStart w:id="8" w:name="_Toc21427"/>
      <w:bookmarkStart w:id="9" w:name="_Toc15396476"/>
      <w:bookmarkStart w:id="10" w:name="_Toc15261"/>
      <w:bookmarkStart w:id="11" w:name="_Toc15377426"/>
      <w:bookmarkStart w:id="12" w:name="_Toc15378442"/>
      <w:bookmarkStart w:id="13" w:name="_Toc15377194"/>
      <w:bookmarkStart w:id="14" w:name="_Toc15396598"/>
      <w:r>
        <w:rPr>
          <w:rFonts w:hint="default" w:ascii="Times New Roman" w:hAnsi="Times New Roman" w:eastAsia="方正小标宋简体" w:cs="Times New Roman"/>
          <w:color w:val="auto"/>
          <w:sz w:val="72"/>
          <w:szCs w:val="72"/>
          <w:highlight w:val="none"/>
          <w:lang w:val="en-US" w:eastAsia="zh-CN"/>
        </w:rPr>
        <w:t>四川省</w:t>
      </w:r>
      <w:bookmarkEnd w:id="5"/>
      <w:bookmarkStart w:id="15" w:name="_Toc15306268"/>
      <w:r>
        <w:rPr>
          <w:rFonts w:hint="default" w:ascii="Times New Roman" w:hAnsi="Times New Roman" w:eastAsia="方正小标宋简体" w:cs="Times New Roman"/>
          <w:color w:val="auto"/>
          <w:sz w:val="72"/>
          <w:szCs w:val="72"/>
          <w:highlight w:val="none"/>
          <w:lang w:eastAsia="zh-CN"/>
        </w:rPr>
        <w:t>沐川县交通运输局</w:t>
      </w:r>
      <w:r>
        <w:rPr>
          <w:rFonts w:hint="default" w:ascii="Times New Roman" w:hAnsi="Times New Roman" w:eastAsia="方正小标宋简体" w:cs="Times New Roman"/>
          <w:color w:val="auto"/>
          <w:sz w:val="72"/>
          <w:szCs w:val="72"/>
          <w:highlight w:val="none"/>
        </w:rPr>
        <w:t>部门决算</w:t>
      </w:r>
      <w:bookmarkEnd w:id="8"/>
      <w:bookmarkEnd w:id="9"/>
      <w:bookmarkEnd w:id="10"/>
      <w:bookmarkEnd w:id="11"/>
      <w:bookmarkEnd w:id="12"/>
      <w:bookmarkEnd w:id="13"/>
      <w:bookmarkEnd w:id="14"/>
      <w:bookmarkEnd w:id="15"/>
    </w:p>
    <w:p>
      <w:pPr>
        <w:keepNext w:val="0"/>
        <w:keepLines w:val="0"/>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color w:val="auto"/>
          <w:sz w:val="32"/>
          <w:szCs w:val="32"/>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pageBreakBefore w:val="0"/>
        <w:widowControl/>
        <w:wordWrap/>
        <w:topLinePunct w:val="0"/>
        <w:bidi w:val="0"/>
        <w:spacing w:line="560" w:lineRule="exact"/>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目录</w:t>
      </w:r>
    </w:p>
    <w:p>
      <w:pPr>
        <w:pStyle w:val="12"/>
        <w:pageBreakBefore w:val="0"/>
        <w:wordWrap/>
        <w:topLinePunct w:val="0"/>
        <w:bidi w:val="0"/>
        <w:spacing w:line="560" w:lineRule="exact"/>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公开时间：20</w:t>
      </w:r>
      <w:r>
        <w:rPr>
          <w:rFonts w:hint="default" w:ascii="Times New Roman" w:hAnsi="Times New Roman" w:eastAsia="楷体" w:cs="Times New Roman"/>
          <w:color w:val="auto"/>
          <w:sz w:val="32"/>
          <w:szCs w:val="32"/>
          <w:highlight w:val="none"/>
          <w:lang w:val="en-US" w:eastAsia="zh-CN"/>
        </w:rPr>
        <w:t>23</w:t>
      </w:r>
      <w:r>
        <w:rPr>
          <w:rFonts w:hint="default" w:ascii="Times New Roman" w:hAnsi="Times New Roman" w:eastAsia="楷体" w:cs="Times New Roman"/>
          <w:color w:val="auto"/>
          <w:sz w:val="32"/>
          <w:szCs w:val="32"/>
          <w:highlight w:val="none"/>
        </w:rPr>
        <w:t>年</w:t>
      </w:r>
      <w:r>
        <w:rPr>
          <w:rFonts w:hint="eastAsia" w:ascii="Times New Roman" w:hAnsi="Times New Roman" w:eastAsia="楷体" w:cs="Times New Roman"/>
          <w:color w:val="auto"/>
          <w:sz w:val="32"/>
          <w:szCs w:val="32"/>
          <w:highlight w:val="none"/>
          <w:lang w:val="en-US" w:eastAsia="zh-CN"/>
        </w:rPr>
        <w:t>10</w:t>
      </w:r>
      <w:r>
        <w:rPr>
          <w:rFonts w:hint="default" w:ascii="Times New Roman" w:hAnsi="Times New Roman" w:eastAsia="楷体" w:cs="Times New Roman"/>
          <w:color w:val="auto"/>
          <w:sz w:val="32"/>
          <w:szCs w:val="32"/>
          <w:highlight w:val="none"/>
        </w:rPr>
        <w:t>月</w:t>
      </w:r>
      <w:r>
        <w:rPr>
          <w:rFonts w:hint="eastAsia" w:ascii="Times New Roman" w:hAnsi="Times New Roman" w:eastAsia="楷体" w:cs="Times New Roman"/>
          <w:color w:val="auto"/>
          <w:sz w:val="32"/>
          <w:szCs w:val="32"/>
          <w:highlight w:val="none"/>
          <w:lang w:val="en-US" w:eastAsia="zh-CN"/>
        </w:rPr>
        <w:t>13</w:t>
      </w:r>
      <w:r>
        <w:rPr>
          <w:rFonts w:hint="default" w:ascii="Times New Roman" w:hAnsi="Times New Roman" w:eastAsia="楷体" w:cs="Times New Roman"/>
          <w:color w:val="auto"/>
          <w:sz w:val="32"/>
          <w:szCs w:val="32"/>
          <w:highlight w:val="none"/>
        </w:rPr>
        <w:t>日</w:t>
      </w:r>
    </w:p>
    <w:p>
      <w:pPr>
        <w:pageBreakBefore w:val="0"/>
        <w:wordWrap/>
        <w:topLinePunct w:val="0"/>
        <w:bidi w:val="0"/>
        <w:spacing w:line="560" w:lineRule="exact"/>
        <w:jc w:val="center"/>
        <w:rPr>
          <w:rFonts w:hint="default" w:ascii="Times New Roman" w:hAnsi="Times New Roman" w:cs="Times New Roman"/>
          <w:color w:val="auto"/>
          <w:sz w:val="24"/>
          <w:szCs w:val="32"/>
          <w:highlight w:val="lightGray"/>
          <w:lang w:val="en-US" w:eastAsia="zh-CN"/>
        </w:rPr>
      </w:pPr>
      <w:bookmarkStart w:id="135" w:name="_GoBack"/>
      <w:bookmarkEnd w:id="135"/>
    </w:p>
    <w:sdt>
      <w:sdtPr>
        <w:rPr>
          <w:rFonts w:hint="default" w:ascii="Times New Roman" w:hAnsi="Times New Roman" w:eastAsia="宋体" w:cs="Times New Roman"/>
          <w:kern w:val="2"/>
          <w:sz w:val="21"/>
          <w:szCs w:val="24"/>
          <w:lang w:val="en-US" w:eastAsia="zh-CN" w:bidi="ar-SA"/>
        </w:rPr>
        <w:id w:val="147458198"/>
        <w15:color w:val="DBDBDB"/>
        <w:docPartObj>
          <w:docPartGallery w:val="Table of Contents"/>
          <w:docPartUnique/>
        </w:docPartObj>
      </w:sdtPr>
      <w:sdtEndPr>
        <w:rPr>
          <w:rFonts w:hint="default" w:ascii="Times New Roman" w:hAnsi="Times New Roman" w:eastAsia="宋体" w:cs="Times New Roman"/>
          <w:b/>
          <w:kern w:val="2"/>
          <w:sz w:val="21"/>
          <w:szCs w:val="24"/>
          <w:lang w:val="en-US" w:eastAsia="zh-CN" w:bidi="ar-SA"/>
        </w:rPr>
      </w:sdtEndPr>
      <w:sdtContent>
        <w:p>
          <w:pPr>
            <w:rPr>
              <w:rFonts w:hint="default" w:ascii="Times New Roman" w:hAnsi="Times New Roman" w:cs="Times New Roman"/>
            </w:rPr>
          </w:pPr>
          <w:bookmarkStart w:id="16" w:name="_Toc15377196"/>
          <w:bookmarkStart w:id="17" w:name="_Toc15396599"/>
          <w:r>
            <w:rPr>
              <w:rFonts w:hint="default" w:ascii="Times New Roman" w:hAnsi="Times New Roman" w:cs="Times New Roman"/>
            </w:rPr>
            <w:fldChar w:fldCharType="begin"/>
          </w:r>
          <w:r>
            <w:rPr>
              <w:rFonts w:hint="default" w:ascii="Times New Roman" w:hAnsi="Times New Roman" w:cs="Times New Roman"/>
            </w:rPr>
            <w:instrText xml:space="preserve">TOC \o "1-2" \h \u </w:instrText>
          </w:r>
          <w:r>
            <w:rPr>
              <w:rFonts w:hint="default" w:ascii="Times New Roman" w:hAnsi="Times New Roman" w:cs="Times New Roman"/>
            </w:rPr>
            <w:fldChar w:fldCharType="separate"/>
          </w:r>
        </w:p>
        <w:p>
          <w:pPr>
            <w:pStyle w:val="12"/>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_Toc17783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highlight w:val="none"/>
            </w:rPr>
            <w:t xml:space="preserve">第一部分 </w:t>
          </w:r>
          <w:r>
            <w:rPr>
              <w:rFonts w:hint="default" w:ascii="Times New Roman" w:hAnsi="Times New Roman" w:eastAsia="仿宋_GB2312" w:cs="Times New Roman"/>
              <w:bCs w:val="0"/>
              <w:sz w:val="21"/>
              <w:szCs w:val="21"/>
              <w:highlight w:val="none"/>
            </w:rPr>
            <w:t>部门概况</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_Toc17783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1</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_Toc28319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highlight w:val="none"/>
              <w:lang w:val="en-US" w:eastAsia="zh-CN"/>
            </w:rPr>
            <w:t>一、</w:t>
          </w:r>
          <w:r>
            <w:rPr>
              <w:rFonts w:hint="default" w:ascii="Times New Roman" w:hAnsi="Times New Roman" w:eastAsia="仿宋_GB2312" w:cs="Times New Roman"/>
              <w:sz w:val="21"/>
              <w:szCs w:val="21"/>
              <w:highlight w:val="none"/>
              <w:lang w:eastAsia="zh-CN"/>
            </w:rPr>
            <w:t>部门职责</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_Toc28319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1</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_Toc6977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highlight w:val="none"/>
            </w:rPr>
            <w:t>二、机</w:t>
          </w:r>
          <w:r>
            <w:rPr>
              <w:rFonts w:hint="default" w:ascii="Times New Roman" w:hAnsi="Times New Roman" w:eastAsia="仿宋_GB2312" w:cs="Times New Roman"/>
              <w:bCs w:val="0"/>
              <w:sz w:val="21"/>
              <w:szCs w:val="21"/>
              <w:highlight w:val="none"/>
            </w:rPr>
            <w:t>构设置</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_Toc6977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3</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2"/>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_Toc29375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bCs/>
              <w:sz w:val="21"/>
              <w:szCs w:val="21"/>
              <w:highlight w:val="none"/>
            </w:rPr>
            <w:t xml:space="preserve">第二部分 </w:t>
          </w:r>
          <w:r>
            <w:rPr>
              <w:rFonts w:hint="default" w:ascii="Times New Roman" w:hAnsi="Times New Roman" w:eastAsia="仿宋_GB2312" w:cs="Times New Roman"/>
              <w:bCs/>
              <w:sz w:val="21"/>
              <w:szCs w:val="21"/>
              <w:highlight w:val="none"/>
              <w:lang w:val="en-US" w:eastAsia="zh-CN"/>
            </w:rPr>
            <w:t>2022年度</w:t>
          </w:r>
          <w:r>
            <w:rPr>
              <w:rFonts w:hint="default" w:ascii="Times New Roman" w:hAnsi="Times New Roman" w:eastAsia="仿宋_GB2312" w:cs="Times New Roman"/>
              <w:bCs/>
              <w:sz w:val="21"/>
              <w:szCs w:val="21"/>
              <w:highlight w:val="none"/>
            </w:rPr>
            <w:t>部门决算情况说明</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_Toc29375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_Toc4875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highlight w:val="none"/>
              <w:lang w:val="en-US" w:eastAsia="zh-CN"/>
            </w:rPr>
            <w:t>一、</w:t>
          </w:r>
          <w:r>
            <w:rPr>
              <w:rFonts w:hint="default" w:ascii="Times New Roman" w:hAnsi="Times New Roman" w:eastAsia="仿宋_GB2312" w:cs="Times New Roman"/>
              <w:sz w:val="21"/>
              <w:szCs w:val="21"/>
              <w:highlight w:val="none"/>
            </w:rPr>
            <w:t>收入支出决算总体情况说明</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_Toc4875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_Toc16640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highlight w:val="none"/>
              <w:lang w:val="en-US" w:eastAsia="zh-CN"/>
            </w:rPr>
            <w:t>二、</w:t>
          </w:r>
          <w:r>
            <w:rPr>
              <w:rFonts w:hint="default" w:ascii="Times New Roman" w:hAnsi="Times New Roman" w:eastAsia="仿宋_GB2312" w:cs="Times New Roman"/>
              <w:sz w:val="21"/>
              <w:szCs w:val="21"/>
              <w:highlight w:val="none"/>
            </w:rPr>
            <w:t>收入决算情况说明</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_Toc16640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_Toc16396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highlight w:val="none"/>
              <w:lang w:val="en-US" w:eastAsia="zh-CN"/>
            </w:rPr>
            <w:t>三、</w:t>
          </w:r>
          <w:r>
            <w:rPr>
              <w:rFonts w:hint="default" w:ascii="Times New Roman" w:hAnsi="Times New Roman" w:eastAsia="仿宋_GB2312" w:cs="Times New Roman"/>
              <w:sz w:val="21"/>
              <w:szCs w:val="21"/>
              <w:highlight w:val="none"/>
            </w:rPr>
            <w:t>支出决算情况说明</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_Toc16396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5</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_Toc7375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highlight w:val="none"/>
            </w:rPr>
            <w:t>四、财政拨款收入支出决算总体情况说明</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_Toc7375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5</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_Toc23251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highlight w:val="none"/>
            </w:rPr>
            <w:t>五、一般公共预算财政拨款支出决算情况说明</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_Toc23251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6</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_Toc9252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highlight w:val="none"/>
            </w:rPr>
            <w:t>六、一般公共预算财政拨款基本支出决算情况说明</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_Toc9252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9</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_Toc17163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highlight w:val="none"/>
            </w:rPr>
            <w:t>七、财政拨款“三公”经费支出决算情况说明</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_Toc17163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9</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_Toc9973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highlight w:val="none"/>
            </w:rPr>
            <w:t>八、政府性基金预算支出决算情况说明</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_Toc9973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11</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_Toc26055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 xml:space="preserve">九、 </w:t>
          </w:r>
          <w:r>
            <w:rPr>
              <w:rFonts w:hint="default" w:ascii="Times New Roman" w:hAnsi="Times New Roman" w:eastAsia="仿宋_GB2312" w:cs="Times New Roman"/>
              <w:sz w:val="21"/>
              <w:szCs w:val="21"/>
              <w:highlight w:val="none"/>
            </w:rPr>
            <w:t>国有资本经营预算支出决算情况说明</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_Toc26055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11</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_Toc9300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 xml:space="preserve">十、 </w:t>
          </w:r>
          <w:r>
            <w:rPr>
              <w:rFonts w:hint="default" w:ascii="Times New Roman" w:hAnsi="Times New Roman" w:eastAsia="仿宋_GB2312" w:cs="Times New Roman"/>
              <w:sz w:val="21"/>
              <w:szCs w:val="21"/>
              <w:highlight w:val="none"/>
            </w:rPr>
            <w:t>其他重要事项的情况说明</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_Toc9300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11</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2"/>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_Toc1939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highlight w:val="none"/>
              <w:lang w:val="en-US" w:eastAsia="zh-CN"/>
            </w:rPr>
            <w:t xml:space="preserve">第三部分 </w:t>
          </w:r>
          <w:r>
            <w:rPr>
              <w:rFonts w:hint="default" w:ascii="Times New Roman" w:hAnsi="Times New Roman" w:eastAsia="仿宋_GB2312" w:cs="Times New Roman"/>
              <w:sz w:val="21"/>
              <w:szCs w:val="21"/>
              <w:highlight w:val="none"/>
            </w:rPr>
            <w:t>名词解释</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_Toc1939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14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2"/>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_Toc4435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highlight w:val="none"/>
            </w:rPr>
            <w:t>第四部分 附件</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_Toc4435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18</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2"/>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_Toc12253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highlight w:val="none"/>
            </w:rPr>
            <w:t>第五部分 附表</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_Toc12253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_Toc995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highlight w:val="none"/>
            </w:rPr>
            <w:t>一、收</w:t>
          </w:r>
          <w:r>
            <w:rPr>
              <w:rFonts w:hint="default" w:ascii="Times New Roman" w:hAnsi="Times New Roman" w:eastAsia="仿宋_GB2312" w:cs="Times New Roman"/>
              <w:bCs w:val="0"/>
              <w:sz w:val="21"/>
              <w:szCs w:val="21"/>
              <w:highlight w:val="none"/>
            </w:rPr>
            <w:t>入支出决算总表</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_Toc995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_Toc19898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highlight w:val="none"/>
            </w:rPr>
            <w:t>二、收</w:t>
          </w:r>
          <w:r>
            <w:rPr>
              <w:rFonts w:hint="default" w:ascii="Times New Roman" w:hAnsi="Times New Roman" w:eastAsia="仿宋_GB2312" w:cs="Times New Roman"/>
              <w:bCs w:val="0"/>
              <w:sz w:val="21"/>
              <w:szCs w:val="21"/>
              <w:highlight w:val="none"/>
            </w:rPr>
            <w:t>入决算表</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_Toc19898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_Toc30059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bCs w:val="0"/>
              <w:sz w:val="21"/>
              <w:szCs w:val="21"/>
              <w:highlight w:val="none"/>
            </w:rPr>
            <w:t>三、</w:t>
          </w:r>
          <w:r>
            <w:rPr>
              <w:rFonts w:hint="default" w:ascii="Times New Roman" w:hAnsi="Times New Roman" w:eastAsia="仿宋_GB2312" w:cs="Times New Roman"/>
              <w:sz w:val="21"/>
              <w:szCs w:val="21"/>
              <w:highlight w:val="none"/>
            </w:rPr>
            <w:t>支</w:t>
          </w:r>
          <w:r>
            <w:rPr>
              <w:rFonts w:hint="default" w:ascii="Times New Roman" w:hAnsi="Times New Roman" w:eastAsia="仿宋_GB2312" w:cs="Times New Roman"/>
              <w:bCs w:val="0"/>
              <w:sz w:val="21"/>
              <w:szCs w:val="21"/>
              <w:highlight w:val="none"/>
            </w:rPr>
            <w:t>出决算表</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_Toc30059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_Toc10730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bCs w:val="0"/>
              <w:sz w:val="21"/>
              <w:szCs w:val="21"/>
              <w:highlight w:val="none"/>
            </w:rPr>
            <w:t>四、</w:t>
          </w:r>
          <w:r>
            <w:rPr>
              <w:rFonts w:hint="default" w:ascii="Times New Roman" w:hAnsi="Times New Roman" w:eastAsia="仿宋_GB2312" w:cs="Times New Roman"/>
              <w:sz w:val="21"/>
              <w:szCs w:val="21"/>
              <w:highlight w:val="none"/>
            </w:rPr>
            <w:t>财</w:t>
          </w:r>
          <w:r>
            <w:rPr>
              <w:rFonts w:hint="default" w:ascii="Times New Roman" w:hAnsi="Times New Roman" w:eastAsia="仿宋_GB2312" w:cs="Times New Roman"/>
              <w:bCs w:val="0"/>
              <w:sz w:val="21"/>
              <w:szCs w:val="21"/>
              <w:highlight w:val="none"/>
            </w:rPr>
            <w:t>政拨款收入支出决算总表</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_Toc10730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_Toc6186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bCs w:val="0"/>
              <w:sz w:val="21"/>
              <w:szCs w:val="21"/>
              <w:highlight w:val="none"/>
            </w:rPr>
            <w:t>五、</w:t>
          </w:r>
          <w:r>
            <w:rPr>
              <w:rFonts w:hint="default" w:ascii="Times New Roman" w:hAnsi="Times New Roman" w:eastAsia="仿宋_GB2312" w:cs="Times New Roman"/>
              <w:sz w:val="21"/>
              <w:szCs w:val="21"/>
              <w:highlight w:val="none"/>
            </w:rPr>
            <w:t>财</w:t>
          </w:r>
          <w:r>
            <w:rPr>
              <w:rFonts w:hint="default" w:ascii="Times New Roman" w:hAnsi="Times New Roman" w:eastAsia="仿宋_GB2312" w:cs="Times New Roman"/>
              <w:bCs w:val="0"/>
              <w:sz w:val="21"/>
              <w:szCs w:val="21"/>
              <w:highlight w:val="none"/>
            </w:rPr>
            <w:t>政拨款支出决算明细表</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_Toc6186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_Toc16097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bCs w:val="0"/>
              <w:sz w:val="21"/>
              <w:szCs w:val="21"/>
              <w:highlight w:val="none"/>
            </w:rPr>
            <w:t>六、</w:t>
          </w:r>
          <w:r>
            <w:rPr>
              <w:rFonts w:hint="default" w:ascii="Times New Roman" w:hAnsi="Times New Roman" w:eastAsia="仿宋_GB2312" w:cs="Times New Roman"/>
              <w:sz w:val="21"/>
              <w:szCs w:val="21"/>
              <w:highlight w:val="none"/>
            </w:rPr>
            <w:t>一</w:t>
          </w:r>
          <w:r>
            <w:rPr>
              <w:rFonts w:hint="default" w:ascii="Times New Roman" w:hAnsi="Times New Roman" w:eastAsia="仿宋_GB2312" w:cs="Times New Roman"/>
              <w:bCs w:val="0"/>
              <w:sz w:val="21"/>
              <w:szCs w:val="21"/>
              <w:highlight w:val="none"/>
            </w:rPr>
            <w:t>般公共预算财政拨款支出决算表</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_Toc16097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_Toc30788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bCs w:val="0"/>
              <w:sz w:val="21"/>
              <w:szCs w:val="21"/>
              <w:highlight w:val="none"/>
            </w:rPr>
            <w:t>七、</w:t>
          </w:r>
          <w:r>
            <w:rPr>
              <w:rFonts w:hint="default" w:ascii="Times New Roman" w:hAnsi="Times New Roman" w:eastAsia="仿宋_GB2312" w:cs="Times New Roman"/>
              <w:sz w:val="21"/>
              <w:szCs w:val="21"/>
              <w:highlight w:val="none"/>
            </w:rPr>
            <w:t>一</w:t>
          </w:r>
          <w:r>
            <w:rPr>
              <w:rFonts w:hint="default" w:ascii="Times New Roman" w:hAnsi="Times New Roman" w:eastAsia="仿宋_GB2312" w:cs="Times New Roman"/>
              <w:bCs w:val="0"/>
              <w:sz w:val="21"/>
              <w:szCs w:val="21"/>
              <w:highlight w:val="none"/>
            </w:rPr>
            <w:t>般公共预算财政拨款支出决算明细表</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_Toc30788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_Toc32177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bCs w:val="0"/>
              <w:sz w:val="21"/>
              <w:szCs w:val="21"/>
              <w:highlight w:val="none"/>
            </w:rPr>
            <w:t>八、</w:t>
          </w:r>
          <w:r>
            <w:rPr>
              <w:rFonts w:hint="default" w:ascii="Times New Roman" w:hAnsi="Times New Roman" w:eastAsia="仿宋_GB2312" w:cs="Times New Roman"/>
              <w:sz w:val="21"/>
              <w:szCs w:val="21"/>
              <w:highlight w:val="none"/>
            </w:rPr>
            <w:t>一</w:t>
          </w:r>
          <w:r>
            <w:rPr>
              <w:rFonts w:hint="default" w:ascii="Times New Roman" w:hAnsi="Times New Roman" w:eastAsia="仿宋_GB2312" w:cs="Times New Roman"/>
              <w:bCs w:val="0"/>
              <w:sz w:val="21"/>
              <w:szCs w:val="21"/>
              <w:highlight w:val="none"/>
            </w:rPr>
            <w:t>般公共预算财政拨款基本支出决算表</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_Toc32177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_Toc27161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bCs w:val="0"/>
              <w:sz w:val="21"/>
              <w:szCs w:val="21"/>
              <w:highlight w:val="none"/>
            </w:rPr>
            <w:t>九、</w:t>
          </w:r>
          <w:r>
            <w:rPr>
              <w:rFonts w:hint="default" w:ascii="Times New Roman" w:hAnsi="Times New Roman" w:eastAsia="仿宋_GB2312" w:cs="Times New Roman"/>
              <w:sz w:val="21"/>
              <w:szCs w:val="21"/>
              <w:highlight w:val="none"/>
            </w:rPr>
            <w:t>一</w:t>
          </w:r>
          <w:r>
            <w:rPr>
              <w:rFonts w:hint="default" w:ascii="Times New Roman" w:hAnsi="Times New Roman" w:eastAsia="仿宋_GB2312" w:cs="Times New Roman"/>
              <w:bCs w:val="0"/>
              <w:sz w:val="21"/>
              <w:szCs w:val="21"/>
              <w:highlight w:val="none"/>
            </w:rPr>
            <w:t>般公共预算财政拨款项目支出决算表</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_Toc27161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_Toc14981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bCs w:val="0"/>
              <w:sz w:val="21"/>
              <w:szCs w:val="21"/>
              <w:highlight w:val="none"/>
            </w:rPr>
            <w:t>十、</w:t>
          </w:r>
          <w:r>
            <w:rPr>
              <w:rFonts w:hint="default" w:ascii="Times New Roman" w:hAnsi="Times New Roman" w:eastAsia="仿宋_GB2312" w:cs="Times New Roman"/>
              <w:sz w:val="21"/>
              <w:szCs w:val="21"/>
              <w:highlight w:val="none"/>
            </w:rPr>
            <w:t>政</w:t>
          </w:r>
          <w:r>
            <w:rPr>
              <w:rFonts w:hint="default" w:ascii="Times New Roman" w:hAnsi="Times New Roman" w:eastAsia="仿宋_GB2312" w:cs="Times New Roman"/>
              <w:bCs w:val="0"/>
              <w:sz w:val="21"/>
              <w:szCs w:val="21"/>
              <w:highlight w:val="none"/>
            </w:rPr>
            <w:t>府性基金预算财政拨款收入支出决算表</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_Toc14981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_Toc9547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bCs w:val="0"/>
              <w:sz w:val="21"/>
              <w:szCs w:val="21"/>
              <w:highlight w:val="none"/>
            </w:rPr>
            <w:t>十一、</w:t>
          </w:r>
          <w:r>
            <w:rPr>
              <w:rFonts w:hint="default" w:ascii="Times New Roman" w:hAnsi="Times New Roman" w:eastAsia="仿宋_GB2312" w:cs="Times New Roman"/>
              <w:sz w:val="21"/>
              <w:szCs w:val="21"/>
              <w:highlight w:val="none"/>
            </w:rPr>
            <w:t>国</w:t>
          </w:r>
          <w:r>
            <w:rPr>
              <w:rFonts w:hint="default" w:ascii="Times New Roman" w:hAnsi="Times New Roman" w:eastAsia="仿宋_GB2312" w:cs="Times New Roman"/>
              <w:bCs w:val="0"/>
              <w:sz w:val="21"/>
              <w:szCs w:val="21"/>
              <w:highlight w:val="none"/>
            </w:rPr>
            <w:t>有资本经营预算</w:t>
          </w:r>
          <w:r>
            <w:rPr>
              <w:rFonts w:hint="default" w:ascii="Times New Roman" w:hAnsi="Times New Roman" w:eastAsia="仿宋_GB2312" w:cs="Times New Roman"/>
              <w:bCs w:val="0"/>
              <w:sz w:val="21"/>
              <w:szCs w:val="21"/>
              <w:highlight w:val="none"/>
              <w:lang w:eastAsia="zh-CN"/>
            </w:rPr>
            <w:t>财政拨款收入</w:t>
          </w:r>
          <w:r>
            <w:rPr>
              <w:rFonts w:hint="default" w:ascii="Times New Roman" w:hAnsi="Times New Roman" w:eastAsia="仿宋_GB2312" w:cs="Times New Roman"/>
              <w:bCs w:val="0"/>
              <w:sz w:val="21"/>
              <w:szCs w:val="21"/>
              <w:highlight w:val="none"/>
            </w:rPr>
            <w:t>支出决算表</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_Toc9547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_Toc14862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bCs w:val="0"/>
              <w:sz w:val="21"/>
              <w:szCs w:val="21"/>
              <w:highlight w:val="none"/>
            </w:rPr>
            <w:t>十二、</w:t>
          </w:r>
          <w:r>
            <w:rPr>
              <w:rFonts w:hint="default" w:ascii="Times New Roman" w:hAnsi="Times New Roman" w:eastAsia="仿宋_GB2312" w:cs="Times New Roman"/>
              <w:bCs w:val="0"/>
              <w:sz w:val="21"/>
              <w:szCs w:val="21"/>
              <w:highlight w:val="none"/>
              <w:lang w:eastAsia="zh-CN"/>
            </w:rPr>
            <w:t>国有资本经营预算财政拨款支出决算表</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_Toc14862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pStyle w:val="13"/>
            <w:tabs>
              <w:tab w:val="right" w:leader="dot" w:pos="8306"/>
              <w:tab w:val="clear" w:pos="8296"/>
            </w:tabs>
            <w:rPr>
              <w:rFonts w:hint="default" w:ascii="Times New Roman" w:hAnsi="Times New Roman" w:cs="Times New Roman"/>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HYPERLINK \l _Toc240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bCs w:val="0"/>
              <w:sz w:val="21"/>
              <w:szCs w:val="21"/>
              <w:highlight w:val="none"/>
            </w:rPr>
            <w:t>十三、</w:t>
          </w:r>
          <w:r>
            <w:rPr>
              <w:rFonts w:hint="default" w:ascii="Times New Roman" w:hAnsi="Times New Roman" w:eastAsia="仿宋_GB2312" w:cs="Times New Roman"/>
              <w:bCs w:val="0"/>
              <w:sz w:val="21"/>
              <w:szCs w:val="21"/>
              <w:highlight w:val="none"/>
              <w:lang w:eastAsia="zh-CN"/>
            </w:rPr>
            <w:t>财政拨款“三公”经费支出决算表</w:t>
          </w:r>
          <w:r>
            <w:rPr>
              <w:rFonts w:hint="default" w:ascii="Times New Roman" w:hAnsi="Times New Roman" w:eastAsia="仿宋_GB2312" w:cs="Times New Roman"/>
              <w:sz w:val="21"/>
              <w:szCs w:val="21"/>
            </w:rPr>
            <w:tab/>
          </w: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 PAGEREF _Toc240 \h </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rPr>
            <w:t>44</w:t>
          </w:r>
          <w:r>
            <w:rPr>
              <w:rFonts w:hint="default" w:ascii="Times New Roman" w:hAnsi="Times New Roman" w:eastAsia="仿宋_GB2312" w:cs="Times New Roman"/>
              <w:sz w:val="21"/>
              <w:szCs w:val="21"/>
            </w:rPr>
            <w:fldChar w:fldCharType="end"/>
          </w:r>
          <w:r>
            <w:rPr>
              <w:rFonts w:hint="default" w:ascii="Times New Roman" w:hAnsi="Times New Roman" w:eastAsia="仿宋_GB2312" w:cs="Times New Roman"/>
              <w:sz w:val="21"/>
              <w:szCs w:val="21"/>
            </w:rPr>
            <w:fldChar w:fldCharType="end"/>
          </w:r>
        </w:p>
        <w:p>
          <w:pPr>
            <w:spacing w:before="0" w:beforeLines="0" w:after="0" w:afterLines="0" w:line="240" w:lineRule="auto"/>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b/>
            </w:rPr>
            <w:fldChar w:fldCharType="end"/>
          </w:r>
        </w:p>
      </w:sdtContent>
    </w:sdt>
    <w:p>
      <w:pPr>
        <w:pStyle w:val="3"/>
        <w:pageBreakBefore w:val="0"/>
        <w:wordWrap/>
        <w:topLinePunct w:val="0"/>
        <w:bidi w:val="0"/>
        <w:spacing w:line="560" w:lineRule="exact"/>
        <w:jc w:val="center"/>
        <w:rPr>
          <w:rFonts w:hint="default" w:ascii="Times New Roman" w:hAnsi="Times New Roman" w:eastAsia="黑体" w:cs="Times New Roman"/>
          <w:b w:val="0"/>
          <w:color w:val="auto"/>
          <w:sz w:val="32"/>
          <w:szCs w:val="32"/>
          <w:highlight w:val="none"/>
        </w:rPr>
        <w:sectPr>
          <w:footerReference r:id="rId5" w:type="default"/>
          <w:pgSz w:w="11906" w:h="16838"/>
          <w:pgMar w:top="1440" w:right="1800" w:bottom="1440" w:left="1800" w:header="851" w:footer="992" w:gutter="0"/>
          <w:pgNumType w:fmt="decimal" w:start="1"/>
          <w:cols w:space="425" w:num="1"/>
          <w:docGrid w:type="lines" w:linePitch="312" w:charSpace="0"/>
        </w:sectPr>
      </w:pPr>
    </w:p>
    <w:p>
      <w:pPr>
        <w:pStyle w:val="3"/>
        <w:pageBreakBefore w:val="0"/>
        <w:wordWrap/>
        <w:topLinePunct w:val="0"/>
        <w:bidi w:val="0"/>
        <w:spacing w:line="560" w:lineRule="exact"/>
        <w:jc w:val="center"/>
        <w:rPr>
          <w:rFonts w:hint="default" w:ascii="Times New Roman" w:hAnsi="Times New Roman" w:eastAsia="黑体" w:cs="Times New Roman"/>
          <w:color w:val="auto"/>
          <w:sz w:val="32"/>
          <w:szCs w:val="32"/>
          <w:highlight w:val="none"/>
        </w:rPr>
      </w:pPr>
      <w:bookmarkStart w:id="18" w:name="_Toc17783"/>
      <w:r>
        <w:rPr>
          <w:rFonts w:hint="default" w:ascii="Times New Roman" w:hAnsi="Times New Roman" w:eastAsia="黑体" w:cs="Times New Roman"/>
          <w:b w:val="0"/>
          <w:color w:val="auto"/>
          <w:sz w:val="32"/>
          <w:szCs w:val="32"/>
          <w:highlight w:val="none"/>
        </w:rPr>
        <w:t xml:space="preserve">第一部分 </w:t>
      </w:r>
      <w:r>
        <w:rPr>
          <w:rStyle w:val="30"/>
          <w:rFonts w:hint="default" w:ascii="Times New Roman" w:hAnsi="Times New Roman" w:eastAsia="黑体" w:cs="Times New Roman"/>
          <w:b w:val="0"/>
          <w:bCs w:val="0"/>
          <w:color w:val="auto"/>
          <w:sz w:val="32"/>
          <w:szCs w:val="32"/>
          <w:highlight w:val="none"/>
        </w:rPr>
        <w:t>部门概况</w:t>
      </w:r>
      <w:bookmarkEnd w:id="16"/>
      <w:bookmarkEnd w:id="17"/>
      <w:bookmarkEnd w:id="18"/>
    </w:p>
    <w:p>
      <w:pPr>
        <w:pStyle w:val="4"/>
        <w:keepNext/>
        <w:keepLines/>
        <w:pageBreakBefore w:val="0"/>
        <w:widowControl w:val="0"/>
        <w:numPr>
          <w:ilvl w:val="0"/>
          <w:numId w:val="0"/>
        </w:numPr>
        <w:kinsoku/>
        <w:wordWrap/>
        <w:overflowPunct/>
        <w:topLinePunct w:val="0"/>
        <w:autoSpaceDE/>
        <w:autoSpaceDN/>
        <w:bidi w:val="0"/>
        <w:adjustRightInd/>
        <w:snapToGrid/>
        <w:spacing w:line="560" w:lineRule="exact"/>
        <w:textAlignment w:val="auto"/>
        <w:outlineLvl w:val="1"/>
        <w:rPr>
          <w:rFonts w:hint="default" w:ascii="Times New Roman" w:hAnsi="Times New Roman" w:cs="Times New Roman"/>
          <w:lang w:eastAsia="zh-CN"/>
        </w:rPr>
      </w:pPr>
      <w:bookmarkStart w:id="19" w:name="_Toc28319"/>
      <w:r>
        <w:rPr>
          <w:rFonts w:hint="default" w:ascii="Times New Roman" w:hAnsi="Times New Roman" w:eastAsia="黑体" w:cs="Times New Roman"/>
          <w:b w:val="0"/>
          <w:color w:val="auto"/>
          <w:highlight w:val="none"/>
          <w:lang w:val="en-US" w:eastAsia="zh-CN"/>
        </w:rPr>
        <w:t>一、</w:t>
      </w:r>
      <w:r>
        <w:rPr>
          <w:rFonts w:hint="default" w:ascii="Times New Roman" w:hAnsi="Times New Roman" w:eastAsia="黑体" w:cs="Times New Roman"/>
          <w:b w:val="0"/>
          <w:color w:val="auto"/>
          <w:highlight w:val="none"/>
          <w:lang w:eastAsia="zh-CN"/>
        </w:rPr>
        <w:t>部门职责</w:t>
      </w:r>
      <w:bookmarkEnd w:id="19"/>
    </w:p>
    <w:p>
      <w:pPr>
        <w:pageBreakBefore w:val="0"/>
        <w:kinsoku/>
        <w:wordWrap/>
        <w:overflowPunct/>
        <w:topLinePunct w:val="0"/>
        <w:autoSpaceDE w:val="0"/>
        <w:autoSpaceDN w:val="0"/>
        <w:bidi w:val="0"/>
        <w:adjustRightInd w:val="0"/>
        <w:spacing w:line="560" w:lineRule="exact"/>
        <w:ind w:firstLine="640" w:firstLineChars="200"/>
        <w:textAlignment w:val="auto"/>
        <w:rPr>
          <w:rFonts w:hint="default" w:ascii="Times New Roman" w:hAnsi="Times New Roman" w:eastAsia="仿宋_GB2312" w:cs="Times New Roman"/>
          <w:color w:val="000000"/>
          <w:sz w:val="32"/>
          <w:szCs w:val="32"/>
        </w:rPr>
      </w:pPr>
      <w:bookmarkStart w:id="20" w:name="_Toc15396601"/>
      <w:bookmarkStart w:id="21" w:name="_Toc15377200"/>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贯彻执行党和国家有关交通运输行业的方针、政策和法律、法规。研究拟订全县交通运输行业的规范性文件和政策措施。负责本系统、本部门依法行政工作。</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拟订全县运输业和物流业发展规划并组织实施。编制全县交通基础设施、城市公共交通、区域客货综合运输中长期发展规划并监督执行。负责全县交通行业综合统计、预测及信息引导工作。</w:t>
      </w:r>
    </w:p>
    <w:p>
      <w:pPr>
        <w:pageBreakBefore w:val="0"/>
        <w:kinsoku/>
        <w:wordWrap/>
        <w:overflowPunct/>
        <w:topLinePunct w:val="0"/>
        <w:autoSpaceDE w:val="0"/>
        <w:autoSpaceDN w:val="0"/>
        <w:bidi w:val="0"/>
        <w:adjustRightInd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贯彻执行国家有关交通科技政策，指导实施交通行业计量、质量、技术标准和规范工作。拟订全县交通科技政策、技术标准，组织重大科技开发，推动行业科技创新和进步。负责拟订全县公路养护、农村公路建设的信息化、智能化建设规划并组织实施。</w:t>
      </w:r>
    </w:p>
    <w:p>
      <w:pPr>
        <w:pageBreakBefore w:val="0"/>
        <w:kinsoku/>
        <w:wordWrap/>
        <w:overflowPunct/>
        <w:topLinePunct w:val="0"/>
        <w:autoSpaceDE w:val="0"/>
        <w:autoSpaceDN w:val="0"/>
        <w:bidi w:val="0"/>
        <w:adjustRightInd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负责全县公路和水路交通运输（含客货运输市场、物流市场、汽车、航舶技术检测和维修市场、运输服务市场、搬运装卸市场以及汽车驾驶学校和驾驶员培训工作）行业管理，维护交通运输行业平等竞争秩序，指导城乡客、货运输的衔接协调工作。承担全县出租汽车、公交汽车运输行业的管理责任。指导地方交通运输行业优化结构、协调发展。对重大节假日旅客运输和抢险物资、救灾物资、重点物资运输进行必要的调控。</w:t>
      </w:r>
    </w:p>
    <w:p>
      <w:pPr>
        <w:pageBreakBefore w:val="0"/>
        <w:kinsoku/>
        <w:wordWrap/>
        <w:overflowPunct/>
        <w:topLinePunct w:val="0"/>
        <w:autoSpaceDE w:val="0"/>
        <w:autoSpaceDN w:val="0"/>
        <w:bidi w:val="0"/>
        <w:adjustRightInd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负责全县公路和水路交通建设（含客货运输和旅游运输场站建设）行业管理，维护交通建设行业平等竞争秩序。组织实施国家、省、市、县重点公路和水路工程建设，监督全县交通建设项目实施。负责“四好”农村路建设管理，推行“路长制”工作。做好全县农村公路建设的统一规划、协调、验收、管理等工作，指导乡镇具体组织实施。</w:t>
      </w:r>
    </w:p>
    <w:p>
      <w:pPr>
        <w:pageBreakBefore w:val="0"/>
        <w:kinsoku/>
        <w:wordWrap/>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负责水上交通安全监管。负责水上交通管制，监督管理水上港航设施的建设养护及规费稽征、船舶检验、船舶登记和防止污染、救助打捞、通讯导航、危险品运输工作。负责船员培训和发证的归口管理工作。负责渔船检验和监督管理工作。负责港口、码头、航道建设、使用岸线布局的行业管理。负责指导水运市场规划、运力投放管理工作。</w:t>
      </w:r>
    </w:p>
    <w:p>
      <w:pPr>
        <w:pageBreakBefore w:val="0"/>
        <w:kinsoku/>
        <w:wordWrap/>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负责道路运输安全监管。监督指导全县道路运输源头安全、公路工程建设及养护安全和交通企事业单位内部安全，督促法人安全责任制的落实。组织协调全县交通行业重特大责任事故应急救援和突发事件的处置，牵头负责一般责任事故调查处理，组织参与重特大事故调查处理工作。</w:t>
      </w:r>
    </w:p>
    <w:p>
      <w:pPr>
        <w:pageBreakBefore w:val="0"/>
        <w:kinsoku/>
        <w:wordWrap/>
        <w:overflowPunct/>
        <w:topLinePunct w:val="0"/>
        <w:autoSpaceDE w:val="0"/>
        <w:autoSpaceDN w:val="0"/>
        <w:bidi w:val="0"/>
        <w:adjustRightInd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指导交通行业的体制改革，负责交通特许经营企业的管理，建立健全规范的交通行业财务管理与会计核算体系，监督管理全县交通行业国有资产。开展省际、市际、县际交通经济技术合作与交通工作。</w:t>
      </w:r>
    </w:p>
    <w:p>
      <w:pPr>
        <w:pageBreakBefore w:val="0"/>
        <w:kinsoku/>
        <w:wordWrap/>
        <w:overflowPunct/>
        <w:topLinePunct w:val="0"/>
        <w:autoSpaceDE w:val="0"/>
        <w:autoSpaceDN w:val="0"/>
        <w:bidi w:val="0"/>
        <w:adjustRightInd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负责全县交通战备管理。承担全县重大国防交通运输工作的组织协调和监督检查，承担抢险救灾等突发事件的交通保障任务和交通战备物资运输必要的调控。</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10．</w:t>
      </w:r>
      <w:r>
        <w:rPr>
          <w:rFonts w:hint="default" w:ascii="Times New Roman" w:hAnsi="Times New Roman" w:eastAsia="仿宋_GB2312" w:cs="Times New Roman"/>
          <w:color w:val="000000"/>
          <w:sz w:val="32"/>
          <w:szCs w:val="32"/>
        </w:rPr>
        <w:t>协调配合相关部门开展本行业违法违规事件的调查处理工作。</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color w:val="000000"/>
          <w:sz w:val="32"/>
          <w:szCs w:val="32"/>
          <w:lang w:val="en-US" w:eastAsia="zh-CN"/>
        </w:rPr>
        <w:t>11．</w:t>
      </w:r>
      <w:r>
        <w:rPr>
          <w:rFonts w:hint="default" w:ascii="Times New Roman" w:hAnsi="Times New Roman" w:eastAsia="仿宋_GB2312" w:cs="Times New Roman"/>
          <w:color w:val="000000"/>
          <w:sz w:val="32"/>
          <w:szCs w:val="32"/>
        </w:rPr>
        <w:t>负责职责范围内的安全生产和职业健康、生态环境保护等工作。</w:t>
      </w:r>
    </w:p>
    <w:p>
      <w:pPr>
        <w:pageBreakBefore w:val="0"/>
        <w:kinsoku/>
        <w:wordWrap/>
        <w:overflowPunct/>
        <w:topLinePunct w:val="0"/>
        <w:bidi w:val="0"/>
        <w:spacing w:line="560" w:lineRule="exact"/>
        <w:ind w:firstLine="640" w:firstLineChars="200"/>
        <w:contextualSpacing/>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12．</w:t>
      </w:r>
      <w:r>
        <w:rPr>
          <w:rFonts w:hint="default" w:ascii="Times New Roman" w:hAnsi="Times New Roman" w:eastAsia="仿宋_GB2312" w:cs="Times New Roman"/>
          <w:color w:val="000000"/>
          <w:sz w:val="32"/>
          <w:szCs w:val="32"/>
        </w:rPr>
        <w:t>完成县委、县政府交办的其他工作。</w:t>
      </w:r>
    </w:p>
    <w:p>
      <w:pPr>
        <w:pageBreakBefore w:val="0"/>
        <w:kinsoku/>
        <w:wordWrap/>
        <w:overflowPunct/>
        <w:topLinePunct w:val="0"/>
        <w:bidi w:val="0"/>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color w:val="000000"/>
          <w:sz w:val="32"/>
          <w:szCs w:val="32"/>
          <w:lang w:val="en-US" w:eastAsia="zh-CN"/>
        </w:rPr>
        <w:t>13．</w:t>
      </w:r>
      <w:r>
        <w:rPr>
          <w:rFonts w:hint="default" w:ascii="Times New Roman" w:hAnsi="Times New Roman" w:eastAsia="仿宋_GB2312" w:cs="Times New Roman"/>
          <w:color w:val="000000"/>
          <w:sz w:val="32"/>
          <w:szCs w:val="32"/>
        </w:rPr>
        <w:t>职能转变</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统筹推进承担行政职能的事业单位改革。县公路路政管理大队不再承担公路路政管理等行政职责。县道路运输管理所不再承担道路运输管理等行政职责。县航务管理处（县地方海事处）不再承担航务管理等行政职责。上述行政职责交由县交通运输局机关有关内设机构承担。</w:t>
      </w:r>
    </w:p>
    <w:p>
      <w:pPr>
        <w:pStyle w:val="4"/>
        <w:pageBreakBefore w:val="0"/>
        <w:wordWrap/>
        <w:topLinePunct w:val="0"/>
        <w:bidi w:val="0"/>
        <w:spacing w:line="560" w:lineRule="exact"/>
        <w:rPr>
          <w:rStyle w:val="31"/>
          <w:rFonts w:hint="default" w:ascii="Times New Roman" w:hAnsi="Times New Roman" w:cs="Times New Roman"/>
          <w:b w:val="0"/>
          <w:bCs w:val="0"/>
          <w:color w:val="auto"/>
          <w:highlight w:val="none"/>
        </w:rPr>
      </w:pPr>
      <w:bookmarkStart w:id="22" w:name="_Toc6977"/>
      <w:r>
        <w:rPr>
          <w:rFonts w:hint="default" w:ascii="Times New Roman" w:hAnsi="Times New Roman" w:eastAsia="黑体" w:cs="Times New Roman"/>
          <w:b w:val="0"/>
          <w:color w:val="auto"/>
          <w:highlight w:val="none"/>
        </w:rPr>
        <w:t>二、机</w:t>
      </w:r>
      <w:r>
        <w:rPr>
          <w:rStyle w:val="31"/>
          <w:rFonts w:hint="default" w:ascii="Times New Roman" w:hAnsi="Times New Roman" w:eastAsia="黑体" w:cs="Times New Roman"/>
          <w:b w:val="0"/>
          <w:bCs w:val="0"/>
          <w:color w:val="auto"/>
          <w:highlight w:val="none"/>
        </w:rPr>
        <w:t>构设置</w:t>
      </w:r>
      <w:bookmarkEnd w:id="20"/>
      <w:bookmarkEnd w:id="21"/>
      <w:bookmarkEnd w:id="22"/>
    </w:p>
    <w:p>
      <w:pPr>
        <w:pageBreakBefore w:val="0"/>
        <w:wordWrap/>
        <w:topLinePunct w:val="0"/>
        <w:bidi w:val="0"/>
        <w:spacing w:line="560" w:lineRule="exact"/>
        <w:ind w:left="0" w:leftChars="0"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沐川县交通运输局</w:t>
      </w:r>
      <w:r>
        <w:rPr>
          <w:rFonts w:hint="default" w:ascii="Times New Roman" w:hAnsi="Times New Roman" w:eastAsia="仿宋_GB2312" w:cs="Times New Roman"/>
          <w:color w:val="auto"/>
          <w:sz w:val="32"/>
          <w:szCs w:val="32"/>
          <w:highlight w:val="none"/>
        </w:rPr>
        <w:t>下属二级</w:t>
      </w:r>
      <w:r>
        <w:rPr>
          <w:rFonts w:hint="default" w:ascii="Times New Roman" w:hAnsi="Times New Roman" w:eastAsia="仿宋_GB2312" w:cs="Times New Roman"/>
          <w:color w:val="auto"/>
          <w:sz w:val="32"/>
          <w:szCs w:val="32"/>
          <w:highlight w:val="none"/>
          <w:lang w:eastAsia="zh-CN"/>
        </w:rPr>
        <w:t>预算</w:t>
      </w:r>
      <w:r>
        <w:rPr>
          <w:rFonts w:hint="default" w:ascii="Times New Roman" w:hAnsi="Times New Roman" w:eastAsia="仿宋_GB2312" w:cs="Times New Roman"/>
          <w:color w:val="auto"/>
          <w:sz w:val="32"/>
          <w:szCs w:val="32"/>
          <w:highlight w:val="none"/>
        </w:rPr>
        <w:t>单位</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个，其中</w:t>
      </w:r>
      <w:r>
        <w:rPr>
          <w:rFonts w:hint="default" w:ascii="Times New Roman" w:hAnsi="Times New Roman" w:eastAsia="仿宋_GB2312" w:cs="Times New Roman"/>
          <w:color w:val="auto"/>
          <w:sz w:val="32"/>
          <w:szCs w:val="32"/>
          <w:highlight w:val="none"/>
          <w:lang w:eastAsia="zh-CN"/>
        </w:rPr>
        <w:t>行政单位</w:t>
      </w:r>
      <w:r>
        <w:rPr>
          <w:rFonts w:hint="default" w:ascii="Times New Roman" w:hAnsi="Times New Roman" w:eastAsia="仿宋_GB2312" w:cs="Times New Roman"/>
          <w:color w:val="auto"/>
          <w:sz w:val="32"/>
          <w:szCs w:val="32"/>
          <w:highlight w:val="none"/>
          <w:lang w:val="en-US" w:eastAsia="zh-CN"/>
        </w:rPr>
        <w:t>0个，</w:t>
      </w:r>
      <w:r>
        <w:rPr>
          <w:rFonts w:hint="default" w:ascii="Times New Roman" w:hAnsi="Times New Roman" w:eastAsia="仿宋_GB2312" w:cs="Times New Roman"/>
          <w:color w:val="auto"/>
          <w:sz w:val="32"/>
          <w:szCs w:val="32"/>
          <w:highlight w:val="none"/>
        </w:rPr>
        <w:t>参照公务员法管理的事业单位</w:t>
      </w:r>
      <w:r>
        <w:rPr>
          <w:rFonts w:hint="default" w:ascii="Times New Roman" w:hAnsi="Times New Roman" w:eastAsia="仿宋_GB2312" w:cs="Times New Roman"/>
          <w:bCs/>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个</w:t>
      </w:r>
      <w:r>
        <w:rPr>
          <w:rFonts w:hint="default" w:ascii="Times New Roman" w:hAnsi="Times New Roman" w:eastAsia="仿宋_GB2312" w:cs="Times New Roman"/>
          <w:color w:val="auto"/>
          <w:sz w:val="32"/>
          <w:szCs w:val="32"/>
          <w:highlight w:val="none"/>
          <w:lang w:eastAsia="zh-CN"/>
        </w:rPr>
        <w:t>（沐川县</w:t>
      </w:r>
      <w:r>
        <w:rPr>
          <w:rFonts w:hint="default" w:ascii="Times New Roman" w:hAnsi="Times New Roman" w:eastAsia="仿宋_GB2312" w:cs="Times New Roman"/>
          <w:color w:val="000000" w:themeColor="text1"/>
          <w:sz w:val="32"/>
          <w:szCs w:val="32"/>
          <w14:textFill>
            <w14:solidFill>
              <w14:schemeClr w14:val="tx1"/>
            </w14:solidFill>
          </w14:textFill>
        </w:rPr>
        <w:t>道路运输和港航服务中心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，其他事业单位</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个</w:t>
      </w:r>
      <w:r>
        <w:rPr>
          <w:rFonts w:hint="default" w:ascii="Times New Roman" w:hAnsi="Times New Roman" w:eastAsia="仿宋_GB2312" w:cs="Times New Roman"/>
          <w:color w:val="auto"/>
          <w:sz w:val="32"/>
          <w:szCs w:val="32"/>
          <w:highlight w:val="none"/>
          <w:lang w:eastAsia="zh-CN"/>
        </w:rPr>
        <w:t>（沐川县</w:t>
      </w:r>
      <w:r>
        <w:rPr>
          <w:rFonts w:hint="default" w:ascii="Times New Roman" w:hAnsi="Times New Roman" w:eastAsia="仿宋_GB2312" w:cs="Times New Roman"/>
          <w:color w:val="000000" w:themeColor="text1"/>
          <w:sz w:val="32"/>
          <w:szCs w:val="32"/>
          <w14:textFill>
            <w14:solidFill>
              <w14:schemeClr w14:val="tx1"/>
            </w14:solidFill>
          </w14:textFill>
        </w:rPr>
        <w:t>交通规划勘察设计所、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沐川</w:t>
      </w:r>
      <w:r>
        <w:rPr>
          <w:rFonts w:hint="default" w:ascii="Times New Roman" w:hAnsi="Times New Roman" w:eastAsia="仿宋_GB2312" w:cs="Times New Roman"/>
          <w:color w:val="000000" w:themeColor="text1"/>
          <w:sz w:val="32"/>
          <w:szCs w:val="32"/>
          <w14:textFill>
            <w14:solidFill>
              <w14:schemeClr w14:val="tx1"/>
            </w14:solidFill>
          </w14:textFill>
        </w:rPr>
        <w:t>县交通工程建设质量监督站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sz w:val="32"/>
          <w:szCs w:val="32"/>
          <w:lang w:eastAsia="zh-CN"/>
        </w:rPr>
        <w:t>沐川县</w:t>
      </w:r>
      <w:r>
        <w:rPr>
          <w:rFonts w:hint="default" w:ascii="Times New Roman" w:hAnsi="Times New Roman" w:eastAsia="仿宋_GB2312" w:cs="Times New Roman"/>
          <w:color w:val="000000"/>
          <w:sz w:val="32"/>
          <w:szCs w:val="32"/>
        </w:rPr>
        <w:t>公路建设服务中心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p>
    <w:p>
      <w:pPr>
        <w:pStyle w:val="6"/>
        <w:pageBreakBefore w:val="0"/>
        <w:numPr>
          <w:ilvl w:val="0"/>
          <w:numId w:val="0"/>
        </w:numPr>
        <w:wordWrap/>
        <w:topLinePunct w:val="0"/>
        <w:bidi w:val="0"/>
        <w:adjustRightInd w:val="0"/>
        <w:snapToGrid w:val="0"/>
        <w:spacing w:before="93" w:line="560" w:lineRule="exact"/>
        <w:ind w:left="12" w:leftChars="0" w:firstLine="627" w:firstLineChars="196"/>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auto"/>
          <w:sz w:val="32"/>
          <w:szCs w:val="32"/>
          <w:highlight w:val="none"/>
        </w:rPr>
        <w:t>纳入</w:t>
      </w:r>
      <w:r>
        <w:rPr>
          <w:rFonts w:hint="default" w:ascii="Times New Roman" w:hAnsi="Times New Roman" w:eastAsia="仿宋_GB2312" w:cs="Times New Roman"/>
          <w:color w:val="auto"/>
          <w:sz w:val="32"/>
          <w:szCs w:val="32"/>
          <w:highlight w:val="none"/>
          <w:lang w:eastAsia="zh-CN"/>
        </w:rPr>
        <w:t>沐川县交通运输局</w:t>
      </w: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年度部门决算编制范围的二级预算单位包括：</w:t>
      </w:r>
      <w:r>
        <w:rPr>
          <w:rFonts w:hint="default" w:ascii="Times New Roman" w:hAnsi="Times New Roman" w:eastAsia="仿宋_GB2312" w:cs="Times New Roman"/>
          <w:color w:val="000000"/>
          <w:sz w:val="32"/>
          <w:szCs w:val="32"/>
          <w:lang w:eastAsia="zh-CN"/>
        </w:rPr>
        <w:t>沐川县</w:t>
      </w:r>
      <w:r>
        <w:rPr>
          <w:rFonts w:hint="default" w:ascii="Times New Roman" w:hAnsi="Times New Roman" w:eastAsia="仿宋_GB2312" w:cs="Times New Roman"/>
          <w:color w:val="000000"/>
          <w:sz w:val="32"/>
          <w:szCs w:val="32"/>
        </w:rPr>
        <w:t>公路建设服务中心</w:t>
      </w:r>
      <w:r>
        <w:rPr>
          <w:rFonts w:hint="default" w:ascii="Times New Roman" w:hAnsi="Times New Roman" w:eastAsia="仿宋_GB2312" w:cs="Times New Roman"/>
          <w:color w:val="000000"/>
          <w:sz w:val="32"/>
          <w:szCs w:val="32"/>
          <w:lang w:eastAsia="zh-CN"/>
        </w:rPr>
        <w:t>。</w:t>
      </w:r>
    </w:p>
    <w:p>
      <w:pPr>
        <w:pStyle w:val="6"/>
        <w:pageBreakBefore w:val="0"/>
        <w:wordWrap/>
        <w:topLinePunct w:val="0"/>
        <w:bidi w:val="0"/>
        <w:adjustRightInd w:val="0"/>
        <w:snapToGrid w:val="0"/>
        <w:spacing w:before="93" w:line="560" w:lineRule="exact"/>
        <w:ind w:firstLine="1120" w:firstLineChars="350"/>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sz w:val="32"/>
          <w:szCs w:val="32"/>
          <w:highlight w:val="none"/>
        </w:rPr>
        <w:br w:type="page"/>
      </w:r>
    </w:p>
    <w:p>
      <w:pPr>
        <w:pStyle w:val="3"/>
        <w:pageBreakBefore w:val="0"/>
        <w:wordWrap/>
        <w:topLinePunct w:val="0"/>
        <w:bidi w:val="0"/>
        <w:spacing w:line="560" w:lineRule="exact"/>
        <w:ind w:right="440"/>
        <w:jc w:val="center"/>
        <w:rPr>
          <w:rFonts w:hint="default" w:ascii="Times New Roman" w:hAnsi="Times New Roman" w:cs="Times New Roman"/>
          <w:color w:val="auto"/>
          <w:highlight w:val="none"/>
        </w:rPr>
      </w:pPr>
      <w:bookmarkStart w:id="23" w:name="_Toc15377204"/>
      <w:bookmarkStart w:id="24" w:name="_Toc15396602"/>
      <w:r>
        <w:rPr>
          <w:rFonts w:hint="default" w:ascii="Times New Roman" w:hAnsi="Times New Roman" w:eastAsia="黑体" w:cs="Times New Roman"/>
          <w:b w:val="0"/>
          <w:bCs/>
          <w:color w:val="auto"/>
          <w:sz w:val="32"/>
          <w:szCs w:val="32"/>
          <w:highlight w:val="none"/>
          <w:lang w:val="en-US" w:eastAsia="zh-CN"/>
        </w:rPr>
        <w:t xml:space="preserve"> </w:t>
      </w:r>
      <w:bookmarkStart w:id="25" w:name="_Toc29375"/>
      <w:r>
        <w:rPr>
          <w:rFonts w:hint="default" w:ascii="Times New Roman" w:hAnsi="Times New Roman" w:eastAsia="黑体" w:cs="Times New Roman"/>
          <w:b w:val="0"/>
          <w:bCs/>
          <w:color w:val="auto"/>
          <w:sz w:val="32"/>
          <w:szCs w:val="32"/>
          <w:highlight w:val="none"/>
        </w:rPr>
        <w:t xml:space="preserve">第二部分 </w:t>
      </w:r>
      <w:r>
        <w:rPr>
          <w:rFonts w:hint="default" w:ascii="Times New Roman" w:hAnsi="Times New Roman" w:eastAsia="黑体" w:cs="Times New Roman"/>
          <w:b w:val="0"/>
          <w:bCs/>
          <w:color w:val="auto"/>
          <w:sz w:val="32"/>
          <w:szCs w:val="32"/>
          <w:highlight w:val="none"/>
          <w:lang w:val="en-US" w:eastAsia="zh-CN"/>
        </w:rPr>
        <w:t>2022年度</w:t>
      </w:r>
      <w:r>
        <w:rPr>
          <w:rStyle w:val="30"/>
          <w:rFonts w:hint="default" w:ascii="Times New Roman" w:hAnsi="Times New Roman" w:eastAsia="黑体" w:cs="Times New Roman"/>
          <w:b w:val="0"/>
          <w:bCs/>
          <w:color w:val="auto"/>
          <w:sz w:val="32"/>
          <w:szCs w:val="32"/>
          <w:highlight w:val="none"/>
        </w:rPr>
        <w:t>部门决算情况说明</w:t>
      </w:r>
      <w:bookmarkEnd w:id="23"/>
      <w:bookmarkEnd w:id="24"/>
      <w:bookmarkEnd w:id="25"/>
    </w:p>
    <w:p>
      <w:pPr>
        <w:pStyle w:val="2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Style w:val="31"/>
          <w:rFonts w:hint="default" w:ascii="Times New Roman" w:hAnsi="Times New Roman" w:eastAsia="黑体" w:cs="Times New Roman"/>
          <w:b w:val="0"/>
          <w:color w:val="auto"/>
          <w:highlight w:val="none"/>
        </w:rPr>
      </w:pPr>
      <w:bookmarkStart w:id="26" w:name="_Toc15377205"/>
      <w:bookmarkStart w:id="27" w:name="_Toc4875"/>
      <w:bookmarkStart w:id="28" w:name="_Toc15396603"/>
      <w:r>
        <w:rPr>
          <w:rFonts w:hint="default" w:ascii="Times New Roman" w:hAnsi="Times New Roman" w:eastAsia="黑体" w:cs="Times New Roman"/>
          <w:color w:val="auto"/>
          <w:sz w:val="32"/>
          <w:szCs w:val="32"/>
          <w:highlight w:val="none"/>
          <w:lang w:val="en-US" w:eastAsia="zh-CN"/>
        </w:rPr>
        <w:t>一、</w:t>
      </w:r>
      <w:r>
        <w:rPr>
          <w:rFonts w:hint="default" w:ascii="Times New Roman" w:hAnsi="Times New Roman" w:eastAsia="黑体" w:cs="Times New Roman"/>
          <w:color w:val="auto"/>
          <w:sz w:val="32"/>
          <w:szCs w:val="32"/>
          <w:highlight w:val="none"/>
        </w:rPr>
        <w:t>收</w:t>
      </w:r>
      <w:r>
        <w:rPr>
          <w:rStyle w:val="31"/>
          <w:rFonts w:hint="default" w:ascii="Times New Roman" w:hAnsi="Times New Roman" w:eastAsia="黑体" w:cs="Times New Roman"/>
          <w:b w:val="0"/>
          <w:color w:val="auto"/>
          <w:highlight w:val="none"/>
        </w:rPr>
        <w:t>入支出决算总体情况说明</w:t>
      </w:r>
      <w:bookmarkEnd w:id="26"/>
      <w:bookmarkEnd w:id="27"/>
      <w:bookmarkEnd w:id="28"/>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left"/>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年度收、支总计</w:t>
      </w:r>
      <w:r>
        <w:rPr>
          <w:rFonts w:hint="default" w:ascii="Times New Roman" w:hAnsi="Times New Roman" w:eastAsia="仿宋_GB2312" w:cs="Times New Roman"/>
          <w:color w:val="auto"/>
          <w:sz w:val="32"/>
          <w:szCs w:val="32"/>
          <w:highlight w:val="none"/>
          <w:lang w:eastAsia="zh-CN"/>
        </w:rPr>
        <w:t>均为</w:t>
      </w:r>
      <w:r>
        <w:rPr>
          <w:rFonts w:hint="default" w:ascii="Times New Roman" w:hAnsi="Times New Roman" w:eastAsia="仿宋_GB2312" w:cs="Times New Roman"/>
          <w:color w:val="auto"/>
          <w:sz w:val="32"/>
          <w:szCs w:val="32"/>
          <w:highlight w:val="none"/>
          <w:lang w:val="en-US" w:eastAsia="zh-CN"/>
        </w:rPr>
        <w:t>13041.35</w:t>
      </w:r>
      <w:r>
        <w:rPr>
          <w:rFonts w:hint="default" w:ascii="Times New Roman" w:hAnsi="Times New Roman" w:eastAsia="仿宋_GB2312" w:cs="Times New Roman"/>
          <w:color w:val="auto"/>
          <w:sz w:val="32"/>
          <w:szCs w:val="32"/>
          <w:highlight w:val="none"/>
        </w:rPr>
        <w:t>万元。与20</w:t>
      </w: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000000"/>
          <w:sz w:val="32"/>
          <w:szCs w:val="32"/>
          <w:lang w:val="en-US" w:eastAsia="zh-CN"/>
        </w:rPr>
        <w:t>16814.09万元</w:t>
      </w:r>
      <w:r>
        <w:rPr>
          <w:rFonts w:hint="default" w:ascii="Times New Roman" w:hAnsi="Times New Roman" w:eastAsia="仿宋_GB2312" w:cs="Times New Roman"/>
          <w:color w:val="auto"/>
          <w:sz w:val="32"/>
          <w:szCs w:val="32"/>
          <w:highlight w:val="none"/>
        </w:rPr>
        <w:t>相比，收、支总计各减少</w:t>
      </w:r>
      <w:r>
        <w:rPr>
          <w:rFonts w:hint="default" w:ascii="Times New Roman" w:hAnsi="Times New Roman" w:eastAsia="仿宋_GB2312" w:cs="Times New Roman"/>
          <w:color w:val="auto"/>
          <w:sz w:val="32"/>
          <w:szCs w:val="32"/>
          <w:highlight w:val="none"/>
          <w:lang w:val="en-US" w:eastAsia="zh-CN"/>
        </w:rPr>
        <w:t>3772.74</w:t>
      </w:r>
      <w:r>
        <w:rPr>
          <w:rFonts w:hint="default" w:ascii="Times New Roman" w:hAnsi="Times New Roman" w:eastAsia="仿宋_GB2312" w:cs="Times New Roman"/>
          <w:color w:val="auto"/>
          <w:sz w:val="32"/>
          <w:szCs w:val="32"/>
          <w:highlight w:val="none"/>
        </w:rPr>
        <w:t>万元，下降</w:t>
      </w:r>
      <w:r>
        <w:rPr>
          <w:rFonts w:hint="default" w:ascii="Times New Roman" w:hAnsi="Times New Roman" w:eastAsia="仿宋_GB2312" w:cs="Times New Roman"/>
          <w:color w:val="auto"/>
          <w:sz w:val="32"/>
          <w:szCs w:val="32"/>
          <w:highlight w:val="none"/>
          <w:lang w:val="en-US" w:eastAsia="zh-CN"/>
        </w:rPr>
        <w:t>22.43</w:t>
      </w:r>
      <w:r>
        <w:rPr>
          <w:rFonts w:hint="default" w:ascii="Times New Roman" w:hAnsi="Times New Roman" w:eastAsia="仿宋_GB2312" w:cs="Times New Roman"/>
          <w:color w:val="auto"/>
          <w:sz w:val="32"/>
          <w:szCs w:val="32"/>
          <w:highlight w:val="none"/>
        </w:rPr>
        <w:t>%。主要变动原因是</w:t>
      </w:r>
      <w:r>
        <w:rPr>
          <w:rFonts w:hint="default" w:ascii="Times New Roman" w:hAnsi="Times New Roman" w:eastAsia="仿宋_GB2312" w:cs="Times New Roman"/>
          <w:color w:val="auto"/>
          <w:sz w:val="32"/>
          <w:szCs w:val="32"/>
          <w:highlight w:val="none"/>
          <w:lang w:eastAsia="zh-CN"/>
        </w:rPr>
        <w:t>项目减少。</w:t>
      </w:r>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（图1：收、支决算总计变动情况图）（柱状图）</w:t>
      </w: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_GB2312" w:cs="Times New Roman"/>
          <w:color w:val="000000"/>
          <w:sz w:val="32"/>
          <w:szCs w:val="32"/>
        </w:rPr>
        <w:drawing>
          <wp:anchor distT="0" distB="0" distL="114300" distR="114300" simplePos="0" relativeHeight="251659264" behindDoc="1" locked="0" layoutInCell="1" allowOverlap="1">
            <wp:simplePos x="0" y="0"/>
            <wp:positionH relativeFrom="column">
              <wp:posOffset>41275</wp:posOffset>
            </wp:positionH>
            <wp:positionV relativeFrom="paragraph">
              <wp:posOffset>161290</wp:posOffset>
            </wp:positionV>
            <wp:extent cx="4956810" cy="2794635"/>
            <wp:effectExtent l="4445" t="4445" r="10795" b="20320"/>
            <wp:wrapTight wrapText="bothSides">
              <wp:wrapPolygon>
                <wp:start x="-19" y="-34"/>
                <wp:lineTo x="-19" y="21463"/>
                <wp:lineTo x="21564" y="21463"/>
                <wp:lineTo x="21564" y="-34"/>
                <wp:lineTo x="-19" y="-34"/>
              </wp:wrapPolygon>
            </wp:wrapTight>
            <wp:docPr id="14" name="对象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Style w:val="29"/>
        <w:pageBreakBefore w:val="0"/>
        <w:numPr>
          <w:ilvl w:val="0"/>
          <w:numId w:val="0"/>
        </w:numPr>
        <w:wordWrap/>
        <w:topLinePunct w:val="0"/>
        <w:bidi w:val="0"/>
        <w:spacing w:line="560" w:lineRule="exact"/>
        <w:ind w:left="640" w:leftChars="0"/>
        <w:outlineLvl w:val="1"/>
        <w:rPr>
          <w:rStyle w:val="31"/>
          <w:rFonts w:hint="default" w:ascii="Times New Roman" w:hAnsi="Times New Roman" w:eastAsia="黑体" w:cs="Times New Roman"/>
          <w:b w:val="0"/>
          <w:color w:val="auto"/>
          <w:highlight w:val="none"/>
        </w:rPr>
      </w:pPr>
      <w:bookmarkStart w:id="29" w:name="_Toc15396604"/>
      <w:bookmarkStart w:id="30" w:name="_Toc16640"/>
      <w:bookmarkStart w:id="31" w:name="_Toc15377206"/>
      <w:r>
        <w:rPr>
          <w:rFonts w:hint="default" w:ascii="Times New Roman" w:hAnsi="Times New Roman" w:eastAsia="黑体" w:cs="Times New Roman"/>
          <w:color w:val="auto"/>
          <w:sz w:val="32"/>
          <w:szCs w:val="32"/>
          <w:highlight w:val="none"/>
          <w:lang w:val="en-US" w:eastAsia="zh-CN"/>
        </w:rPr>
        <w:t>二、</w:t>
      </w:r>
      <w:r>
        <w:rPr>
          <w:rFonts w:hint="default" w:ascii="Times New Roman" w:hAnsi="Times New Roman" w:eastAsia="黑体" w:cs="Times New Roman"/>
          <w:color w:val="auto"/>
          <w:sz w:val="32"/>
          <w:szCs w:val="32"/>
          <w:highlight w:val="none"/>
        </w:rPr>
        <w:t>收</w:t>
      </w:r>
      <w:r>
        <w:rPr>
          <w:rStyle w:val="31"/>
          <w:rFonts w:hint="default" w:ascii="Times New Roman" w:hAnsi="Times New Roman" w:eastAsia="黑体" w:cs="Times New Roman"/>
          <w:b w:val="0"/>
          <w:color w:val="auto"/>
          <w:highlight w:val="none"/>
        </w:rPr>
        <w:t>入决算情况说明</w:t>
      </w:r>
      <w:bookmarkEnd w:id="29"/>
      <w:bookmarkEnd w:id="30"/>
      <w:bookmarkEnd w:id="31"/>
    </w:p>
    <w:p>
      <w:pPr>
        <w:pageBreakBefore w:val="0"/>
        <w:wordWrap/>
        <w:topLinePunct w:val="0"/>
        <w:bidi w:val="0"/>
        <w:spacing w:line="560" w:lineRule="exact"/>
        <w:ind w:firstLine="640" w:firstLineChars="200"/>
        <w:outlineLvl w:val="1"/>
        <w:rPr>
          <w:rFonts w:hint="default" w:ascii="Times New Roman" w:hAnsi="Times New Roman" w:eastAsia="仿宋_GB2312" w:cs="Times New Roman"/>
          <w:b w:val="0"/>
          <w:bCs w:val="0"/>
          <w:color w:val="auto"/>
          <w:sz w:val="32"/>
          <w:szCs w:val="32"/>
          <w:highlight w:val="none"/>
        </w:rPr>
      </w:pPr>
      <w:bookmarkStart w:id="32" w:name="_Toc16642"/>
      <w:bookmarkStart w:id="33" w:name="_Toc2938"/>
      <w:r>
        <w:rPr>
          <w:rFonts w:hint="default" w:ascii="Times New Roman" w:hAnsi="Times New Roman" w:eastAsia="仿宋_GB2312" w:cs="Times New Roman"/>
          <w:b w:val="0"/>
          <w:bCs w:val="0"/>
          <w:color w:val="auto"/>
          <w:sz w:val="32"/>
          <w:szCs w:val="32"/>
          <w:highlight w:val="none"/>
        </w:rPr>
        <w:t>20</w:t>
      </w:r>
      <w:r>
        <w:rPr>
          <w:rFonts w:hint="default" w:ascii="Times New Roman" w:hAnsi="Times New Roman" w:eastAsia="仿宋_GB2312" w:cs="Times New Roman"/>
          <w:b w:val="0"/>
          <w:bCs w:val="0"/>
          <w:color w:val="auto"/>
          <w:sz w:val="32"/>
          <w:szCs w:val="32"/>
          <w:highlight w:val="none"/>
          <w:lang w:val="en-US" w:eastAsia="zh-CN"/>
        </w:rPr>
        <w:t>22</w:t>
      </w:r>
      <w:r>
        <w:rPr>
          <w:rFonts w:hint="default" w:ascii="Times New Roman" w:hAnsi="Times New Roman" w:eastAsia="仿宋_GB2312" w:cs="Times New Roman"/>
          <w:b w:val="0"/>
          <w:bCs w:val="0"/>
          <w:color w:val="auto"/>
          <w:sz w:val="32"/>
          <w:szCs w:val="32"/>
          <w:highlight w:val="none"/>
        </w:rPr>
        <w:t>年本年收入合计</w:t>
      </w:r>
      <w:r>
        <w:rPr>
          <w:rFonts w:hint="default" w:ascii="Times New Roman" w:hAnsi="Times New Roman" w:eastAsia="仿宋_GB2312" w:cs="Times New Roman"/>
          <w:b w:val="0"/>
          <w:bCs w:val="0"/>
          <w:color w:val="auto"/>
          <w:sz w:val="32"/>
          <w:szCs w:val="32"/>
          <w:highlight w:val="none"/>
          <w:lang w:val="en-US" w:eastAsia="zh-CN"/>
        </w:rPr>
        <w:t>11068.63</w:t>
      </w:r>
      <w:r>
        <w:rPr>
          <w:rFonts w:hint="default" w:ascii="Times New Roman" w:hAnsi="Times New Roman" w:eastAsia="仿宋_GB2312" w:cs="Times New Roman"/>
          <w:b w:val="0"/>
          <w:bCs w:val="0"/>
          <w:color w:val="auto"/>
          <w:sz w:val="32"/>
          <w:szCs w:val="32"/>
          <w:highlight w:val="none"/>
        </w:rPr>
        <w:t>万元</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其中：一般公共预算财政拨款收入</w:t>
      </w:r>
      <w:r>
        <w:rPr>
          <w:rFonts w:hint="default" w:ascii="Times New Roman" w:hAnsi="Times New Roman" w:eastAsia="仿宋_GB2312" w:cs="Times New Roman"/>
          <w:b w:val="0"/>
          <w:bCs w:val="0"/>
          <w:color w:val="auto"/>
          <w:sz w:val="32"/>
          <w:szCs w:val="32"/>
          <w:highlight w:val="none"/>
          <w:lang w:val="en-US" w:eastAsia="zh-CN"/>
        </w:rPr>
        <w:t>5932.59</w:t>
      </w:r>
      <w:r>
        <w:rPr>
          <w:rFonts w:hint="default" w:ascii="Times New Roman" w:hAnsi="Times New Roman" w:eastAsia="仿宋_GB2312" w:cs="Times New Roman"/>
          <w:b w:val="0"/>
          <w:bCs w:val="0"/>
          <w:color w:val="auto"/>
          <w:sz w:val="32"/>
          <w:szCs w:val="32"/>
          <w:highlight w:val="none"/>
        </w:rPr>
        <w:t>万元，占</w:t>
      </w:r>
      <w:r>
        <w:rPr>
          <w:rFonts w:hint="default" w:ascii="Times New Roman" w:hAnsi="Times New Roman" w:eastAsia="仿宋_GB2312" w:cs="Times New Roman"/>
          <w:b w:val="0"/>
          <w:bCs w:val="0"/>
          <w:color w:val="auto"/>
          <w:sz w:val="32"/>
          <w:szCs w:val="32"/>
          <w:highlight w:val="none"/>
          <w:lang w:val="en-US" w:eastAsia="zh-CN"/>
        </w:rPr>
        <w:t>53.60</w:t>
      </w:r>
      <w:r>
        <w:rPr>
          <w:rFonts w:hint="default" w:ascii="Times New Roman" w:hAnsi="Times New Roman" w:eastAsia="仿宋_GB2312" w:cs="Times New Roman"/>
          <w:b w:val="0"/>
          <w:bCs w:val="0"/>
          <w:color w:val="auto"/>
          <w:sz w:val="32"/>
          <w:szCs w:val="32"/>
          <w:highlight w:val="none"/>
        </w:rPr>
        <w:t>%；政府性基金预算财政拨款收入</w:t>
      </w:r>
      <w:r>
        <w:rPr>
          <w:rFonts w:hint="default" w:ascii="Times New Roman" w:hAnsi="Times New Roman" w:eastAsia="仿宋_GB2312" w:cs="Times New Roman"/>
          <w:b w:val="0"/>
          <w:bCs w:val="0"/>
          <w:color w:val="auto"/>
          <w:sz w:val="32"/>
          <w:szCs w:val="32"/>
          <w:highlight w:val="none"/>
          <w:lang w:val="en-US" w:eastAsia="zh-CN"/>
        </w:rPr>
        <w:t>4925</w:t>
      </w:r>
      <w:r>
        <w:rPr>
          <w:rFonts w:hint="default" w:ascii="Times New Roman" w:hAnsi="Times New Roman" w:eastAsia="仿宋_GB2312" w:cs="Times New Roman"/>
          <w:b w:val="0"/>
          <w:bCs w:val="0"/>
          <w:color w:val="auto"/>
          <w:sz w:val="32"/>
          <w:szCs w:val="32"/>
          <w:highlight w:val="none"/>
        </w:rPr>
        <w:t>万元，占</w:t>
      </w:r>
      <w:r>
        <w:rPr>
          <w:rFonts w:hint="default" w:ascii="Times New Roman" w:hAnsi="Times New Roman" w:eastAsia="仿宋_GB2312" w:cs="Times New Roman"/>
          <w:b w:val="0"/>
          <w:bCs w:val="0"/>
          <w:color w:val="auto"/>
          <w:sz w:val="32"/>
          <w:szCs w:val="32"/>
          <w:highlight w:val="none"/>
          <w:lang w:val="en-US" w:eastAsia="zh-CN"/>
        </w:rPr>
        <w:t>44.50</w:t>
      </w:r>
      <w:r>
        <w:rPr>
          <w:rFonts w:hint="default" w:ascii="Times New Roman" w:hAnsi="Times New Roman" w:eastAsia="仿宋_GB2312" w:cs="Times New Roman"/>
          <w:b w:val="0"/>
          <w:bCs w:val="0"/>
          <w:color w:val="auto"/>
          <w:sz w:val="32"/>
          <w:szCs w:val="32"/>
          <w:highlight w:val="none"/>
        </w:rPr>
        <w:t>%；其他收入</w:t>
      </w:r>
      <w:r>
        <w:rPr>
          <w:rFonts w:hint="default" w:ascii="Times New Roman" w:hAnsi="Times New Roman" w:eastAsia="仿宋_GB2312" w:cs="Times New Roman"/>
          <w:b w:val="0"/>
          <w:bCs w:val="0"/>
          <w:color w:val="auto"/>
          <w:sz w:val="32"/>
          <w:szCs w:val="32"/>
          <w:highlight w:val="none"/>
          <w:lang w:val="en-US" w:eastAsia="zh-CN"/>
        </w:rPr>
        <w:t>211.04</w:t>
      </w:r>
      <w:r>
        <w:rPr>
          <w:rFonts w:hint="default" w:ascii="Times New Roman" w:hAnsi="Times New Roman" w:eastAsia="仿宋_GB2312" w:cs="Times New Roman"/>
          <w:b w:val="0"/>
          <w:bCs w:val="0"/>
          <w:color w:val="auto"/>
          <w:sz w:val="32"/>
          <w:szCs w:val="32"/>
          <w:highlight w:val="none"/>
        </w:rPr>
        <w:t>万元，占</w:t>
      </w:r>
      <w:r>
        <w:rPr>
          <w:rFonts w:hint="default" w:ascii="Times New Roman" w:hAnsi="Times New Roman" w:eastAsia="仿宋_GB2312" w:cs="Times New Roman"/>
          <w:b w:val="0"/>
          <w:bCs w:val="0"/>
          <w:color w:val="auto"/>
          <w:sz w:val="32"/>
          <w:szCs w:val="32"/>
          <w:highlight w:val="none"/>
          <w:lang w:val="en-US" w:eastAsia="zh-CN"/>
        </w:rPr>
        <w:t>1.9</w:t>
      </w:r>
      <w:r>
        <w:rPr>
          <w:rFonts w:hint="default" w:ascii="Times New Roman" w:hAnsi="Times New Roman" w:eastAsia="仿宋_GB2312" w:cs="Times New Roman"/>
          <w:b w:val="0"/>
          <w:bCs w:val="0"/>
          <w:color w:val="auto"/>
          <w:sz w:val="32"/>
          <w:szCs w:val="32"/>
          <w:highlight w:val="none"/>
        </w:rPr>
        <w:t>%。</w:t>
      </w:r>
      <w:bookmarkEnd w:id="32"/>
      <w:bookmarkEnd w:id="33"/>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（注：数据来源于财决01表</w:t>
      </w:r>
      <w:r>
        <w:rPr>
          <w:rFonts w:hint="default" w:ascii="Times New Roman" w:hAnsi="Times New Roman" w:eastAsia="仿宋_GB2312" w:cs="Times New Roman"/>
          <w:b w:val="0"/>
          <w:bCs w:val="0"/>
          <w:color w:val="auto"/>
          <w:sz w:val="32"/>
          <w:szCs w:val="32"/>
          <w:highlight w:val="none"/>
          <w:lang w:eastAsia="zh-CN"/>
        </w:rPr>
        <w:t>，仅罗列本部门涉及的收入。</w:t>
      </w:r>
      <w:r>
        <w:rPr>
          <w:rFonts w:hint="default" w:ascii="Times New Roman" w:hAnsi="Times New Roman" w:eastAsia="仿宋_GB2312" w:cs="Times New Roman"/>
          <w:b w:val="0"/>
          <w:bCs w:val="0"/>
          <w:color w:val="auto"/>
          <w:sz w:val="32"/>
          <w:szCs w:val="32"/>
          <w:highlight w:val="none"/>
        </w:rPr>
        <w:t>）</w:t>
      </w:r>
    </w:p>
    <w:p>
      <w:pPr>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（图2：收入决算结构图）（饼状图）</w:t>
      </w:r>
    </w:p>
    <w:p>
      <w:pPr>
        <w:pageBreakBefore w:val="0"/>
        <w:wordWrap/>
        <w:topLinePunct w:val="0"/>
        <w:bidi w:val="0"/>
        <w:spacing w:line="560" w:lineRule="exact"/>
        <w:ind w:firstLine="420" w:firstLineChars="200"/>
        <w:rPr>
          <w:rFonts w:hint="default" w:ascii="Times New Roman" w:hAnsi="Times New Roman" w:eastAsia="仿宋" w:cs="Times New Roman"/>
          <w:color w:val="auto"/>
          <w:sz w:val="32"/>
          <w:szCs w:val="32"/>
          <w:highlight w:val="none"/>
        </w:rPr>
      </w:pPr>
      <w:r>
        <w:rPr>
          <w:rFonts w:hint="default" w:ascii="Times New Roman" w:hAnsi="Times New Roman" w:cs="Times New Roman"/>
        </w:rPr>
        <w:drawing>
          <wp:anchor distT="0" distB="635" distL="114300" distR="114300" simplePos="0" relativeHeight="251660288" behindDoc="1" locked="0" layoutInCell="1" allowOverlap="1">
            <wp:simplePos x="0" y="0"/>
            <wp:positionH relativeFrom="column">
              <wp:posOffset>509905</wp:posOffset>
            </wp:positionH>
            <wp:positionV relativeFrom="paragraph">
              <wp:posOffset>174625</wp:posOffset>
            </wp:positionV>
            <wp:extent cx="4486275" cy="2713355"/>
            <wp:effectExtent l="4445" t="4445" r="5080" b="6350"/>
            <wp:wrapTight wrapText="bothSides">
              <wp:wrapPolygon>
                <wp:start x="-21" y="-35"/>
                <wp:lineTo x="-21" y="21499"/>
                <wp:lineTo x="21533" y="21499"/>
                <wp:lineTo x="21533" y="-35"/>
                <wp:lineTo x="-21" y="-35"/>
              </wp:wrapPolygon>
            </wp:wrapTight>
            <wp:docPr id="3" name="对象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p>
    <w:p>
      <w:pPr>
        <w:pStyle w:val="29"/>
        <w:pageBreakBefore w:val="0"/>
        <w:numPr>
          <w:ilvl w:val="0"/>
          <w:numId w:val="0"/>
        </w:numPr>
        <w:wordWrap/>
        <w:topLinePunct w:val="0"/>
        <w:bidi w:val="0"/>
        <w:spacing w:line="560" w:lineRule="exact"/>
        <w:ind w:left="640" w:leftChars="0"/>
        <w:outlineLvl w:val="1"/>
        <w:rPr>
          <w:rStyle w:val="31"/>
          <w:rFonts w:hint="default" w:ascii="Times New Roman" w:hAnsi="Times New Roman" w:eastAsia="黑体" w:cs="Times New Roman"/>
          <w:b w:val="0"/>
          <w:color w:val="auto"/>
          <w:highlight w:val="none"/>
        </w:rPr>
      </w:pPr>
      <w:bookmarkStart w:id="34" w:name="_Toc15377207"/>
      <w:bookmarkStart w:id="35" w:name="_Toc16396"/>
      <w:bookmarkStart w:id="36" w:name="_Toc15396605"/>
      <w:r>
        <w:rPr>
          <w:rFonts w:hint="default"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支</w:t>
      </w:r>
      <w:r>
        <w:rPr>
          <w:rStyle w:val="31"/>
          <w:rFonts w:hint="default" w:ascii="Times New Roman" w:hAnsi="Times New Roman" w:eastAsia="黑体" w:cs="Times New Roman"/>
          <w:b w:val="0"/>
          <w:color w:val="auto"/>
          <w:highlight w:val="none"/>
        </w:rPr>
        <w:t>出决算情况说明</w:t>
      </w:r>
      <w:bookmarkEnd w:id="34"/>
      <w:bookmarkEnd w:id="35"/>
      <w:bookmarkEnd w:id="36"/>
    </w:p>
    <w:p>
      <w:pPr>
        <w:pageBreakBefore w:val="0"/>
        <w:wordWrap/>
        <w:topLinePunct w:val="0"/>
        <w:bidi w:val="0"/>
        <w:spacing w:line="560" w:lineRule="exact"/>
        <w:ind w:firstLine="640" w:firstLineChars="200"/>
        <w:outlineLvl w:val="1"/>
        <w:rPr>
          <w:rFonts w:hint="default" w:ascii="Times New Roman" w:hAnsi="Times New Roman" w:eastAsia="仿宋_GB2312" w:cs="Times New Roman"/>
          <w:color w:val="auto"/>
          <w:sz w:val="32"/>
          <w:szCs w:val="32"/>
          <w:highlight w:val="none"/>
        </w:rPr>
      </w:pPr>
      <w:bookmarkStart w:id="37" w:name="_Toc24844"/>
      <w:bookmarkStart w:id="38" w:name="_Toc12202"/>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年本年支出合计</w:t>
      </w:r>
      <w:r>
        <w:rPr>
          <w:rFonts w:hint="default" w:ascii="Times New Roman" w:hAnsi="Times New Roman" w:eastAsia="仿宋_GB2312" w:cs="Times New Roman"/>
          <w:color w:val="auto"/>
          <w:sz w:val="32"/>
          <w:szCs w:val="32"/>
          <w:highlight w:val="none"/>
          <w:lang w:val="en-US" w:eastAsia="zh-CN"/>
        </w:rPr>
        <w:t>13041.35</w:t>
      </w:r>
      <w:r>
        <w:rPr>
          <w:rFonts w:hint="default" w:ascii="Times New Roman" w:hAnsi="Times New Roman" w:eastAsia="仿宋_GB2312" w:cs="Times New Roman"/>
          <w:color w:val="auto"/>
          <w:sz w:val="32"/>
          <w:szCs w:val="32"/>
          <w:highlight w:val="none"/>
        </w:rPr>
        <w:t>万元，其中：基本支出</w:t>
      </w:r>
      <w:r>
        <w:rPr>
          <w:rFonts w:hint="default" w:ascii="Times New Roman" w:hAnsi="Times New Roman" w:eastAsia="仿宋_GB2312" w:cs="Times New Roman"/>
          <w:color w:val="auto"/>
          <w:sz w:val="32"/>
          <w:szCs w:val="32"/>
          <w:highlight w:val="none"/>
          <w:lang w:val="en-US" w:eastAsia="zh-CN"/>
        </w:rPr>
        <w:t>2111.21</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16.19</w:t>
      </w:r>
      <w:r>
        <w:rPr>
          <w:rFonts w:hint="default" w:ascii="Times New Roman" w:hAnsi="Times New Roman" w:eastAsia="仿宋_GB2312" w:cs="Times New Roman"/>
          <w:color w:val="auto"/>
          <w:sz w:val="32"/>
          <w:szCs w:val="32"/>
          <w:highlight w:val="none"/>
        </w:rPr>
        <w:t>%；项目支出</w:t>
      </w:r>
      <w:r>
        <w:rPr>
          <w:rFonts w:hint="default" w:ascii="Times New Roman" w:hAnsi="Times New Roman" w:eastAsia="仿宋_GB2312" w:cs="Times New Roman"/>
          <w:color w:val="auto"/>
          <w:sz w:val="32"/>
          <w:szCs w:val="32"/>
          <w:highlight w:val="none"/>
          <w:lang w:val="en-US" w:eastAsia="zh-CN"/>
        </w:rPr>
        <w:t>10930.15</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83.81</w:t>
      </w:r>
      <w:r>
        <w:rPr>
          <w:rFonts w:hint="default" w:ascii="Times New Roman" w:hAnsi="Times New Roman" w:eastAsia="仿宋_GB2312" w:cs="Times New Roman"/>
          <w:color w:val="auto"/>
          <w:sz w:val="32"/>
          <w:szCs w:val="32"/>
          <w:highlight w:val="none"/>
        </w:rPr>
        <w:t>%。</w:t>
      </w:r>
      <w:bookmarkEnd w:id="37"/>
      <w:bookmarkEnd w:id="38"/>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（图3：支出决算结构图）（饼状图）</w:t>
      </w:r>
    </w:p>
    <w:p>
      <w:pPr>
        <w:pageBreakBefore w:val="0"/>
        <w:wordWrap/>
        <w:topLinePunct w:val="0"/>
        <w:bidi w:val="0"/>
        <w:spacing w:line="560" w:lineRule="exact"/>
        <w:ind w:firstLine="420" w:firstLineChars="200"/>
        <w:rPr>
          <w:rFonts w:hint="default" w:ascii="Times New Roman" w:hAnsi="Times New Roman" w:eastAsia="仿宋" w:cs="Times New Roman"/>
          <w:color w:val="auto"/>
          <w:sz w:val="32"/>
          <w:szCs w:val="32"/>
          <w:highlight w:val="none"/>
        </w:rPr>
      </w:pPr>
      <w:r>
        <w:rPr>
          <w:rFonts w:hint="default" w:ascii="Times New Roman" w:hAnsi="Times New Roman" w:cs="Times New Roman"/>
        </w:rPr>
        <w:drawing>
          <wp:anchor distT="0" distB="0" distL="114300" distR="114300" simplePos="0" relativeHeight="251661312" behindDoc="1" locked="0" layoutInCell="1" allowOverlap="1">
            <wp:simplePos x="0" y="0"/>
            <wp:positionH relativeFrom="column">
              <wp:posOffset>359410</wp:posOffset>
            </wp:positionH>
            <wp:positionV relativeFrom="paragraph">
              <wp:posOffset>144780</wp:posOffset>
            </wp:positionV>
            <wp:extent cx="4243070" cy="2334895"/>
            <wp:effectExtent l="4445" t="4445" r="19685" b="22860"/>
            <wp:wrapTight wrapText="bothSides">
              <wp:wrapPolygon>
                <wp:start x="-23" y="-41"/>
                <wp:lineTo x="-23" y="21459"/>
                <wp:lineTo x="21506" y="21459"/>
                <wp:lineTo x="21506" y="-41"/>
                <wp:lineTo x="-23" y="-41"/>
              </wp:wrapPolygon>
            </wp:wrapTight>
            <wp:docPr id="4" name="对象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p>
    <w:p>
      <w:pPr>
        <w:pageBreakBefore w:val="0"/>
        <w:wordWrap/>
        <w:topLinePunct w:val="0"/>
        <w:bidi w:val="0"/>
        <w:spacing w:line="560" w:lineRule="exact"/>
        <w:ind w:firstLine="640" w:firstLineChars="200"/>
        <w:outlineLvl w:val="1"/>
        <w:rPr>
          <w:rStyle w:val="31"/>
          <w:rFonts w:hint="default" w:ascii="Times New Roman" w:hAnsi="Times New Roman" w:eastAsia="黑体" w:cs="Times New Roman"/>
          <w:b w:val="0"/>
          <w:color w:val="auto"/>
          <w:highlight w:val="none"/>
        </w:rPr>
      </w:pPr>
      <w:bookmarkStart w:id="39" w:name="_Toc7375"/>
      <w:bookmarkStart w:id="40" w:name="_Toc15396606"/>
      <w:bookmarkStart w:id="41" w:name="_Toc15377208"/>
      <w:r>
        <w:rPr>
          <w:rFonts w:hint="default" w:ascii="Times New Roman" w:hAnsi="Times New Roman" w:eastAsia="黑体" w:cs="Times New Roman"/>
          <w:color w:val="auto"/>
          <w:sz w:val="32"/>
          <w:szCs w:val="32"/>
          <w:highlight w:val="none"/>
        </w:rPr>
        <w:t>四、财</w:t>
      </w:r>
      <w:r>
        <w:rPr>
          <w:rStyle w:val="31"/>
          <w:rFonts w:hint="default" w:ascii="Times New Roman" w:hAnsi="Times New Roman" w:eastAsia="黑体" w:cs="Times New Roman"/>
          <w:b w:val="0"/>
          <w:color w:val="auto"/>
          <w:highlight w:val="none"/>
        </w:rPr>
        <w:t>政拨款收入支出决算总体情况说明</w:t>
      </w:r>
      <w:bookmarkEnd w:id="39"/>
      <w:bookmarkEnd w:id="40"/>
      <w:bookmarkEnd w:id="41"/>
    </w:p>
    <w:p>
      <w:pPr>
        <w:pageBreakBefore w:val="0"/>
        <w:wordWrap/>
        <w:topLinePunct w:val="0"/>
        <w:bidi w:val="0"/>
        <w:spacing w:line="560" w:lineRule="exact"/>
        <w:ind w:firstLine="64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年财政拨款收、支总计</w:t>
      </w:r>
      <w:r>
        <w:rPr>
          <w:rFonts w:hint="default" w:ascii="Times New Roman" w:hAnsi="Times New Roman" w:eastAsia="仿宋_GB2312" w:cs="Times New Roman"/>
          <w:color w:val="auto"/>
          <w:sz w:val="32"/>
          <w:szCs w:val="32"/>
          <w:highlight w:val="none"/>
          <w:lang w:eastAsia="zh-CN"/>
        </w:rPr>
        <w:t>均为</w:t>
      </w:r>
      <w:r>
        <w:rPr>
          <w:rFonts w:hint="default" w:ascii="Times New Roman" w:hAnsi="Times New Roman" w:eastAsia="仿宋_GB2312" w:cs="Times New Roman"/>
          <w:color w:val="auto"/>
          <w:sz w:val="32"/>
          <w:szCs w:val="32"/>
          <w:highlight w:val="none"/>
          <w:lang w:val="en-US" w:eastAsia="zh-CN"/>
        </w:rPr>
        <w:t>12830.31</w:t>
      </w:r>
      <w:r>
        <w:rPr>
          <w:rFonts w:hint="default" w:ascii="Times New Roman" w:hAnsi="Times New Roman" w:eastAsia="仿宋_GB2312" w:cs="Times New Roman"/>
          <w:color w:val="auto"/>
          <w:sz w:val="32"/>
          <w:szCs w:val="32"/>
          <w:highlight w:val="none"/>
        </w:rPr>
        <w:t>万元。与20</w:t>
      </w: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000000"/>
          <w:sz w:val="32"/>
          <w:szCs w:val="32"/>
          <w:lang w:val="en-US" w:eastAsia="zh-CN"/>
        </w:rPr>
        <w:t>15510.51</w:t>
      </w:r>
      <w:r>
        <w:rPr>
          <w:rFonts w:hint="default" w:ascii="Times New Roman" w:hAnsi="Times New Roman" w:eastAsia="仿宋_GB2312" w:cs="Times New Roman"/>
          <w:color w:val="auto"/>
          <w:sz w:val="32"/>
          <w:szCs w:val="32"/>
          <w:highlight w:val="none"/>
        </w:rPr>
        <w:t>相比，财政拨款收、支总计各减少</w:t>
      </w:r>
      <w:r>
        <w:rPr>
          <w:rFonts w:hint="default" w:ascii="Times New Roman" w:hAnsi="Times New Roman" w:eastAsia="仿宋_GB2312" w:cs="Times New Roman"/>
          <w:color w:val="auto"/>
          <w:sz w:val="32"/>
          <w:szCs w:val="32"/>
          <w:highlight w:val="none"/>
          <w:lang w:val="en-US" w:eastAsia="zh-CN"/>
        </w:rPr>
        <w:t>2680.20</w:t>
      </w:r>
      <w:r>
        <w:rPr>
          <w:rFonts w:hint="default" w:ascii="Times New Roman" w:hAnsi="Times New Roman" w:eastAsia="仿宋_GB2312" w:cs="Times New Roman"/>
          <w:color w:val="auto"/>
          <w:sz w:val="32"/>
          <w:szCs w:val="32"/>
          <w:highlight w:val="none"/>
        </w:rPr>
        <w:t>万元，下降</w:t>
      </w:r>
      <w:r>
        <w:rPr>
          <w:rFonts w:hint="default" w:ascii="Times New Roman" w:hAnsi="Times New Roman" w:eastAsia="仿宋_GB2312" w:cs="Times New Roman"/>
          <w:color w:val="auto"/>
          <w:sz w:val="32"/>
          <w:szCs w:val="32"/>
          <w:highlight w:val="none"/>
          <w:lang w:val="en-US" w:eastAsia="zh-CN"/>
        </w:rPr>
        <w:t>17.28</w:t>
      </w:r>
      <w:r>
        <w:rPr>
          <w:rFonts w:hint="default" w:ascii="Times New Roman" w:hAnsi="Times New Roman" w:eastAsia="仿宋_GB2312" w:cs="Times New Roman"/>
          <w:color w:val="auto"/>
          <w:sz w:val="32"/>
          <w:szCs w:val="32"/>
          <w:highlight w:val="none"/>
        </w:rPr>
        <w:t>%。主要变动原因是</w:t>
      </w:r>
      <w:r>
        <w:rPr>
          <w:rFonts w:hint="default" w:ascii="Times New Roman" w:hAnsi="Times New Roman" w:eastAsia="仿宋_GB2312" w:cs="Times New Roman"/>
          <w:color w:val="auto"/>
          <w:sz w:val="32"/>
          <w:szCs w:val="32"/>
          <w:highlight w:val="none"/>
          <w:lang w:eastAsia="zh-CN"/>
        </w:rPr>
        <w:t>项目减少。</w:t>
      </w:r>
    </w:p>
    <w:p>
      <w:pPr>
        <w:pageBreakBefore w:val="0"/>
        <w:wordWrap/>
        <w:topLinePunct w:val="0"/>
        <w:bidi w:val="0"/>
        <w:spacing w:line="560" w:lineRule="exact"/>
        <w:ind w:firstLine="640" w:firstLineChars="200"/>
        <w:rPr>
          <w:rFonts w:hint="default" w:ascii="Times New Roman" w:hAnsi="Times New Roman" w:eastAsia="仿宋_GB2312" w:cs="Times New Roman"/>
          <w:b/>
          <w:color w:val="auto"/>
          <w:sz w:val="32"/>
          <w:szCs w:val="32"/>
          <w:highlight w:val="none"/>
        </w:rPr>
      </w:pPr>
      <w:r>
        <w:rPr>
          <w:rFonts w:hint="default" w:ascii="Times New Roman" w:hAnsi="Times New Roman" w:eastAsia="仿宋_GB2312" w:cs="Times New Roman"/>
          <w:color w:val="auto"/>
          <w:sz w:val="32"/>
          <w:szCs w:val="32"/>
          <w:highlight w:val="none"/>
        </w:rPr>
        <w:t>（图4：财政拨款收、支决算总计变动情况）（柱状图）</w:t>
      </w:r>
    </w:p>
    <w:p>
      <w:pPr>
        <w:pageBreakBefore w:val="0"/>
        <w:wordWrap/>
        <w:topLinePunct w:val="0"/>
        <w:bidi w:val="0"/>
        <w:spacing w:line="560" w:lineRule="exact"/>
        <w:ind w:firstLine="640"/>
        <w:outlineLvl w:val="1"/>
        <w:rPr>
          <w:rStyle w:val="31"/>
          <w:rFonts w:hint="default" w:ascii="Times New Roman" w:hAnsi="Times New Roman" w:eastAsia="黑体" w:cs="Times New Roman"/>
          <w:b w:val="0"/>
          <w:color w:val="auto"/>
          <w:highlight w:val="none"/>
        </w:rPr>
      </w:pPr>
      <w:bookmarkStart w:id="42" w:name="_Toc23251"/>
      <w:r>
        <w:rPr>
          <w:rFonts w:hint="default" w:ascii="Times New Roman" w:hAnsi="Times New Roman" w:eastAsia="仿宋" w:cs="Times New Roman"/>
          <w:b/>
          <w:color w:val="00B050"/>
          <w:sz w:val="32"/>
          <w:szCs w:val="32"/>
        </w:rPr>
        <w:drawing>
          <wp:anchor distT="0" distB="0" distL="114300" distR="114300" simplePos="0" relativeHeight="251662336" behindDoc="1" locked="0" layoutInCell="1" allowOverlap="1">
            <wp:simplePos x="0" y="0"/>
            <wp:positionH relativeFrom="column">
              <wp:posOffset>297180</wp:posOffset>
            </wp:positionH>
            <wp:positionV relativeFrom="paragraph">
              <wp:posOffset>56515</wp:posOffset>
            </wp:positionV>
            <wp:extent cx="4899025" cy="2762250"/>
            <wp:effectExtent l="4445" t="4445" r="11430" b="14605"/>
            <wp:wrapTight wrapText="bothSides">
              <wp:wrapPolygon>
                <wp:start x="-20" y="-35"/>
                <wp:lineTo x="-20" y="21565"/>
                <wp:lineTo x="21566" y="21565"/>
                <wp:lineTo x="21566" y="-35"/>
                <wp:lineTo x="-20" y="-35"/>
              </wp:wrapPolygon>
            </wp:wrapTight>
            <wp:docPr id="15" name="对象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bookmarkStart w:id="43" w:name="_Toc15377209"/>
      <w:bookmarkStart w:id="44" w:name="_Toc15396607"/>
      <w:r>
        <w:rPr>
          <w:rFonts w:hint="default" w:ascii="Times New Roman" w:hAnsi="Times New Roman" w:eastAsia="黑体" w:cs="Times New Roman"/>
          <w:color w:val="auto"/>
          <w:sz w:val="32"/>
          <w:szCs w:val="32"/>
          <w:highlight w:val="none"/>
        </w:rPr>
        <w:t>五、</w:t>
      </w:r>
      <w:r>
        <w:rPr>
          <w:rFonts w:hint="default" w:ascii="Times New Roman" w:hAnsi="Times New Roman" w:eastAsia="黑体" w:cs="Times New Roman"/>
          <w:b/>
          <w:color w:val="auto"/>
          <w:sz w:val="32"/>
          <w:szCs w:val="32"/>
          <w:highlight w:val="none"/>
        </w:rPr>
        <w:t>一</w:t>
      </w:r>
      <w:r>
        <w:rPr>
          <w:rStyle w:val="31"/>
          <w:rFonts w:hint="default" w:ascii="Times New Roman" w:hAnsi="Times New Roman" w:eastAsia="黑体" w:cs="Times New Roman"/>
          <w:b w:val="0"/>
          <w:color w:val="auto"/>
          <w:highlight w:val="none"/>
        </w:rPr>
        <w:t>般公共预算财政拨款支出决算情况说明</w:t>
      </w:r>
      <w:bookmarkEnd w:id="42"/>
      <w:bookmarkEnd w:id="43"/>
      <w:bookmarkEnd w:id="44"/>
    </w:p>
    <w:p>
      <w:pPr>
        <w:pageBreakBefore w:val="0"/>
        <w:wordWrap/>
        <w:topLinePunct w:val="0"/>
        <w:bidi w:val="0"/>
        <w:spacing w:line="560" w:lineRule="exact"/>
        <w:ind w:firstLine="643" w:firstLineChars="200"/>
        <w:outlineLvl w:val="2"/>
        <w:rPr>
          <w:rFonts w:hint="default" w:ascii="Times New Roman" w:hAnsi="Times New Roman" w:eastAsia="楷体" w:cs="Times New Roman"/>
          <w:b/>
          <w:color w:val="auto"/>
          <w:sz w:val="32"/>
          <w:szCs w:val="32"/>
          <w:highlight w:val="none"/>
        </w:rPr>
      </w:pPr>
      <w:bookmarkStart w:id="45" w:name="_Toc15377210"/>
      <w:r>
        <w:rPr>
          <w:rFonts w:hint="default" w:ascii="Times New Roman" w:hAnsi="Times New Roman" w:eastAsia="楷体" w:cs="Times New Roman"/>
          <w:b/>
          <w:color w:val="auto"/>
          <w:sz w:val="32"/>
          <w:szCs w:val="32"/>
          <w:highlight w:val="none"/>
        </w:rPr>
        <w:t>（一）一般公共预算财政拨款支出决算总体情况</w:t>
      </w:r>
      <w:bookmarkEnd w:id="45"/>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年一般公共预算财政拨款支出</w:t>
      </w:r>
      <w:r>
        <w:rPr>
          <w:rFonts w:hint="default" w:ascii="Times New Roman" w:hAnsi="Times New Roman" w:eastAsia="仿宋_GB2312" w:cs="Times New Roman"/>
          <w:color w:val="000000"/>
          <w:kern w:val="2"/>
          <w:sz w:val="32"/>
          <w:szCs w:val="24"/>
          <w:lang w:val="zh-CN"/>
        </w:rPr>
        <w:t>7,882.59</w:t>
      </w:r>
      <w:r>
        <w:rPr>
          <w:rFonts w:hint="default" w:ascii="Times New Roman" w:hAnsi="Times New Roman" w:eastAsia="仿宋_GB2312" w:cs="Times New Roman"/>
          <w:color w:val="auto"/>
          <w:sz w:val="32"/>
          <w:szCs w:val="32"/>
          <w:highlight w:val="none"/>
        </w:rPr>
        <w:t>万元，占本年支出合计的</w:t>
      </w:r>
      <w:r>
        <w:rPr>
          <w:rFonts w:hint="default" w:ascii="Times New Roman" w:hAnsi="Times New Roman" w:eastAsia="仿宋_GB2312" w:cs="Times New Roman"/>
          <w:color w:val="auto"/>
          <w:sz w:val="32"/>
          <w:szCs w:val="32"/>
          <w:highlight w:val="none"/>
          <w:lang w:val="en-US" w:eastAsia="zh-CN"/>
        </w:rPr>
        <w:t>60.4</w:t>
      </w:r>
      <w:r>
        <w:rPr>
          <w:rFonts w:hint="default" w:ascii="Times New Roman" w:hAnsi="Times New Roman" w:eastAsia="仿宋_GB2312" w:cs="Times New Roman"/>
          <w:color w:val="auto"/>
          <w:sz w:val="32"/>
          <w:szCs w:val="32"/>
          <w:highlight w:val="none"/>
        </w:rPr>
        <w:t>%。与20</w:t>
      </w: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000000"/>
          <w:sz w:val="32"/>
          <w:szCs w:val="32"/>
          <w:lang w:val="en-US" w:eastAsia="zh-CN"/>
        </w:rPr>
        <w:t>13869.41万元</w:t>
      </w:r>
      <w:r>
        <w:rPr>
          <w:rFonts w:hint="default" w:ascii="Times New Roman" w:hAnsi="Times New Roman" w:eastAsia="仿宋_GB2312" w:cs="Times New Roman"/>
          <w:color w:val="auto"/>
          <w:sz w:val="32"/>
          <w:szCs w:val="32"/>
          <w:highlight w:val="none"/>
        </w:rPr>
        <w:t>相比，一般公共预算财政拨款</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减少</w:t>
      </w:r>
      <w:r>
        <w:rPr>
          <w:rFonts w:hint="default" w:ascii="Times New Roman" w:hAnsi="Times New Roman" w:eastAsia="仿宋_GB2312" w:cs="Times New Roman"/>
          <w:color w:val="auto"/>
          <w:sz w:val="32"/>
          <w:szCs w:val="32"/>
          <w:highlight w:val="none"/>
          <w:lang w:val="en-US" w:eastAsia="zh-CN"/>
        </w:rPr>
        <w:t>5986.82</w:t>
      </w:r>
      <w:r>
        <w:rPr>
          <w:rFonts w:hint="default" w:ascii="Times New Roman" w:hAnsi="Times New Roman" w:eastAsia="仿宋_GB2312" w:cs="Times New Roman"/>
          <w:color w:val="auto"/>
          <w:sz w:val="32"/>
          <w:szCs w:val="32"/>
          <w:highlight w:val="none"/>
        </w:rPr>
        <w:t>万元，下降</w:t>
      </w:r>
      <w:r>
        <w:rPr>
          <w:rFonts w:hint="default" w:ascii="Times New Roman" w:hAnsi="Times New Roman" w:eastAsia="仿宋_GB2312" w:cs="Times New Roman"/>
          <w:color w:val="auto"/>
          <w:sz w:val="32"/>
          <w:szCs w:val="32"/>
          <w:highlight w:val="none"/>
          <w:lang w:val="en-US" w:eastAsia="zh-CN"/>
        </w:rPr>
        <w:t>43.16</w:t>
      </w:r>
      <w:r>
        <w:rPr>
          <w:rFonts w:hint="default" w:ascii="Times New Roman" w:hAnsi="Times New Roman" w:eastAsia="仿宋_GB2312" w:cs="Times New Roman"/>
          <w:color w:val="auto"/>
          <w:sz w:val="32"/>
          <w:szCs w:val="32"/>
          <w:highlight w:val="none"/>
        </w:rPr>
        <w:t>%。主要变动原因是</w:t>
      </w:r>
      <w:r>
        <w:rPr>
          <w:rFonts w:hint="default" w:ascii="Times New Roman" w:hAnsi="Times New Roman" w:eastAsia="仿宋_GB2312" w:cs="Times New Roman"/>
          <w:color w:val="auto"/>
          <w:sz w:val="32"/>
          <w:szCs w:val="32"/>
          <w:highlight w:val="none"/>
          <w:lang w:eastAsia="zh-CN"/>
        </w:rPr>
        <w:t>项目减少。</w:t>
      </w:r>
    </w:p>
    <w:p>
      <w:pPr>
        <w:pageBreakBefore w:val="0"/>
        <w:wordWrap/>
        <w:topLinePunct w:val="0"/>
        <w:bidi w:val="0"/>
        <w:spacing w:line="560" w:lineRule="exact"/>
        <w:ind w:firstLine="643"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00B050"/>
          <w:sz w:val="32"/>
          <w:szCs w:val="32"/>
        </w:rPr>
        <w:drawing>
          <wp:anchor distT="0" distB="0" distL="114300" distR="114300" simplePos="0" relativeHeight="251664384" behindDoc="1" locked="0" layoutInCell="1" allowOverlap="1">
            <wp:simplePos x="0" y="0"/>
            <wp:positionH relativeFrom="column">
              <wp:posOffset>603885</wp:posOffset>
            </wp:positionH>
            <wp:positionV relativeFrom="paragraph">
              <wp:posOffset>752475</wp:posOffset>
            </wp:positionV>
            <wp:extent cx="3992880" cy="2251710"/>
            <wp:effectExtent l="4445" t="4445" r="41275" b="48895"/>
            <wp:wrapTight wrapText="bothSides">
              <wp:wrapPolygon>
                <wp:start x="-24" y="-43"/>
                <wp:lineTo x="-24" y="21521"/>
                <wp:lineTo x="21514" y="21521"/>
                <wp:lineTo x="21514" y="-43"/>
                <wp:lineTo x="-24" y="-43"/>
              </wp:wrapPolygon>
            </wp:wrapTight>
            <wp:docPr id="1" name="对象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default" w:ascii="Times New Roman" w:hAnsi="Times New Roman" w:eastAsia="仿宋_GB2312" w:cs="Times New Roman"/>
          <w:color w:val="auto"/>
          <w:sz w:val="32"/>
          <w:szCs w:val="32"/>
          <w:highlight w:val="none"/>
        </w:rPr>
        <w:t>（图5：一般公共预算财政拨款支出决算变动情况）（柱状图）</w:t>
      </w: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3" w:firstLineChars="200"/>
        <w:outlineLvl w:val="2"/>
        <w:rPr>
          <w:rFonts w:hint="default" w:ascii="Times New Roman" w:hAnsi="Times New Roman" w:eastAsia="楷体" w:cs="Times New Roman"/>
          <w:b/>
          <w:color w:val="auto"/>
          <w:sz w:val="32"/>
          <w:szCs w:val="32"/>
          <w:highlight w:val="none"/>
        </w:rPr>
      </w:pPr>
      <w:bookmarkStart w:id="46" w:name="_Toc15377211"/>
      <w:r>
        <w:rPr>
          <w:rFonts w:hint="default" w:ascii="Times New Roman" w:hAnsi="Times New Roman" w:eastAsia="楷体" w:cs="Times New Roman"/>
          <w:b/>
          <w:color w:val="auto"/>
          <w:sz w:val="32"/>
          <w:szCs w:val="32"/>
          <w:highlight w:val="none"/>
        </w:rPr>
        <w:t>（二）一般公共预算财政拨款支出决算结构情况</w:t>
      </w:r>
      <w:bookmarkEnd w:id="46"/>
    </w:p>
    <w:p>
      <w:pPr>
        <w:pageBreakBefore w:val="0"/>
        <w:wordWrap/>
        <w:topLinePunct w:val="0"/>
        <w:bidi w:val="0"/>
        <w:spacing w:line="560" w:lineRule="exact"/>
        <w:ind w:firstLine="640"/>
        <w:rPr>
          <w:rFonts w:hint="default" w:ascii="Times New Roman" w:hAnsi="Times New Roman" w:eastAsia="仿宋_GB2312" w:cs="Times New Roman"/>
          <w:b w:val="0"/>
          <w:bCs w:val="0"/>
          <w:color w:val="auto"/>
          <w:sz w:val="18"/>
          <w:szCs w:val="18"/>
          <w:highlight w:val="yellow"/>
        </w:rPr>
      </w:pPr>
      <w:r>
        <w:rPr>
          <w:rFonts w:hint="default" w:ascii="Times New Roman" w:hAnsi="Times New Roman" w:eastAsia="仿宋_GB2312" w:cs="Times New Roman"/>
          <w:b w:val="0"/>
          <w:bCs w:val="0"/>
          <w:color w:val="auto"/>
          <w:sz w:val="32"/>
          <w:szCs w:val="32"/>
          <w:highlight w:val="none"/>
        </w:rPr>
        <w:t>20</w:t>
      </w:r>
      <w:r>
        <w:rPr>
          <w:rFonts w:hint="default" w:ascii="Times New Roman" w:hAnsi="Times New Roman" w:eastAsia="仿宋_GB2312" w:cs="Times New Roman"/>
          <w:b w:val="0"/>
          <w:bCs w:val="0"/>
          <w:color w:val="auto"/>
          <w:sz w:val="32"/>
          <w:szCs w:val="32"/>
          <w:highlight w:val="none"/>
          <w:lang w:val="en-US" w:eastAsia="zh-CN"/>
        </w:rPr>
        <w:t>22</w:t>
      </w:r>
      <w:r>
        <w:rPr>
          <w:rFonts w:hint="default" w:ascii="Times New Roman" w:hAnsi="Times New Roman" w:eastAsia="仿宋_GB2312" w:cs="Times New Roman"/>
          <w:b w:val="0"/>
          <w:bCs w:val="0"/>
          <w:color w:val="auto"/>
          <w:sz w:val="32"/>
          <w:szCs w:val="32"/>
          <w:highlight w:val="none"/>
        </w:rPr>
        <w:t>年一般公共预算财政拨款支出</w:t>
      </w:r>
      <w:r>
        <w:rPr>
          <w:rFonts w:hint="default" w:ascii="Times New Roman" w:hAnsi="Times New Roman" w:eastAsia="仿宋_GB2312" w:cs="Times New Roman"/>
          <w:b w:val="0"/>
          <w:bCs w:val="0"/>
          <w:color w:val="auto"/>
          <w:sz w:val="32"/>
          <w:szCs w:val="32"/>
          <w:highlight w:val="none"/>
          <w:lang w:val="en-US" w:eastAsia="zh-CN"/>
        </w:rPr>
        <w:t>7882.59</w:t>
      </w:r>
      <w:r>
        <w:rPr>
          <w:rFonts w:hint="default" w:ascii="Times New Roman" w:hAnsi="Times New Roman" w:eastAsia="仿宋_GB2312" w:cs="Times New Roman"/>
          <w:b w:val="0"/>
          <w:bCs w:val="0"/>
          <w:color w:val="auto"/>
          <w:sz w:val="32"/>
          <w:szCs w:val="32"/>
          <w:highlight w:val="none"/>
        </w:rPr>
        <w:t>万元，主要用于以下方面:社会保障和就业支出</w:t>
      </w:r>
      <w:r>
        <w:rPr>
          <w:rFonts w:hint="default" w:ascii="Times New Roman" w:hAnsi="Times New Roman" w:eastAsia="仿宋_GB2312" w:cs="Times New Roman"/>
          <w:b w:val="0"/>
          <w:bCs w:val="0"/>
          <w:color w:val="auto"/>
          <w:sz w:val="32"/>
          <w:szCs w:val="32"/>
          <w:highlight w:val="none"/>
          <w:lang w:val="en-US" w:eastAsia="zh-CN"/>
        </w:rPr>
        <w:t>164.46</w:t>
      </w:r>
      <w:r>
        <w:rPr>
          <w:rFonts w:hint="default" w:ascii="Times New Roman" w:hAnsi="Times New Roman" w:eastAsia="仿宋_GB2312" w:cs="Times New Roman"/>
          <w:b w:val="0"/>
          <w:bCs w:val="0"/>
          <w:color w:val="auto"/>
          <w:sz w:val="32"/>
          <w:szCs w:val="32"/>
          <w:highlight w:val="none"/>
        </w:rPr>
        <w:t>万元，占</w:t>
      </w:r>
      <w:r>
        <w:rPr>
          <w:rFonts w:hint="default" w:ascii="Times New Roman" w:hAnsi="Times New Roman" w:eastAsia="仿宋_GB2312" w:cs="Times New Roman"/>
          <w:b w:val="0"/>
          <w:bCs w:val="0"/>
          <w:color w:val="auto"/>
          <w:sz w:val="32"/>
          <w:szCs w:val="32"/>
          <w:highlight w:val="none"/>
          <w:lang w:val="en-US" w:eastAsia="zh-CN"/>
        </w:rPr>
        <w:t>2.08</w:t>
      </w:r>
      <w:r>
        <w:rPr>
          <w:rFonts w:hint="default" w:ascii="Times New Roman" w:hAnsi="Times New Roman" w:eastAsia="仿宋_GB2312" w:cs="Times New Roman"/>
          <w:b w:val="0"/>
          <w:bCs w:val="0"/>
          <w:color w:val="auto"/>
          <w:sz w:val="32"/>
          <w:szCs w:val="32"/>
          <w:highlight w:val="none"/>
        </w:rPr>
        <w:t>%；卫生健康支出</w:t>
      </w:r>
      <w:r>
        <w:rPr>
          <w:rFonts w:hint="default" w:ascii="Times New Roman" w:hAnsi="Times New Roman" w:eastAsia="仿宋_GB2312" w:cs="Times New Roman"/>
          <w:b w:val="0"/>
          <w:bCs w:val="0"/>
          <w:color w:val="auto"/>
          <w:sz w:val="32"/>
          <w:szCs w:val="32"/>
          <w:highlight w:val="none"/>
          <w:lang w:val="en-US" w:eastAsia="zh-CN"/>
        </w:rPr>
        <w:t>73.33</w:t>
      </w:r>
      <w:r>
        <w:rPr>
          <w:rFonts w:hint="default" w:ascii="Times New Roman" w:hAnsi="Times New Roman" w:eastAsia="仿宋_GB2312" w:cs="Times New Roman"/>
          <w:b w:val="0"/>
          <w:bCs w:val="0"/>
          <w:color w:val="auto"/>
          <w:sz w:val="32"/>
          <w:szCs w:val="32"/>
          <w:highlight w:val="none"/>
        </w:rPr>
        <w:t>万元，占</w:t>
      </w:r>
      <w:r>
        <w:rPr>
          <w:rFonts w:hint="default" w:ascii="Times New Roman" w:hAnsi="Times New Roman" w:eastAsia="仿宋_GB2312" w:cs="Times New Roman"/>
          <w:b w:val="0"/>
          <w:bCs w:val="0"/>
          <w:color w:val="auto"/>
          <w:sz w:val="32"/>
          <w:szCs w:val="32"/>
          <w:highlight w:val="none"/>
          <w:lang w:val="en-US" w:eastAsia="zh-CN"/>
        </w:rPr>
        <w:t>0.93</w:t>
      </w: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lang w:eastAsia="zh-CN"/>
        </w:rPr>
        <w:t>节能环保</w:t>
      </w:r>
      <w:r>
        <w:rPr>
          <w:rFonts w:hint="default" w:ascii="Times New Roman" w:hAnsi="Times New Roman" w:eastAsia="仿宋_GB2312" w:cs="Times New Roman"/>
          <w:b w:val="0"/>
          <w:bCs w:val="0"/>
          <w:color w:val="auto"/>
          <w:sz w:val="32"/>
          <w:szCs w:val="32"/>
          <w:highlight w:val="none"/>
        </w:rPr>
        <w:t>支出</w:t>
      </w:r>
      <w:r>
        <w:rPr>
          <w:rFonts w:hint="default" w:ascii="Times New Roman" w:hAnsi="Times New Roman" w:eastAsia="仿宋_GB2312" w:cs="Times New Roman"/>
          <w:b w:val="0"/>
          <w:bCs w:val="0"/>
          <w:color w:val="auto"/>
          <w:sz w:val="32"/>
          <w:szCs w:val="32"/>
          <w:highlight w:val="none"/>
          <w:lang w:val="en-US" w:eastAsia="zh-CN"/>
        </w:rPr>
        <w:t>12</w:t>
      </w:r>
      <w:r>
        <w:rPr>
          <w:rFonts w:hint="default" w:ascii="Times New Roman" w:hAnsi="Times New Roman" w:eastAsia="仿宋_GB2312" w:cs="Times New Roman"/>
          <w:b w:val="0"/>
          <w:bCs w:val="0"/>
          <w:color w:val="auto"/>
          <w:sz w:val="32"/>
          <w:szCs w:val="32"/>
          <w:highlight w:val="none"/>
        </w:rPr>
        <w:t>万元，占</w:t>
      </w:r>
      <w:r>
        <w:rPr>
          <w:rFonts w:hint="default" w:ascii="Times New Roman" w:hAnsi="Times New Roman" w:eastAsia="仿宋_GB2312" w:cs="Times New Roman"/>
          <w:b w:val="0"/>
          <w:bCs w:val="0"/>
          <w:color w:val="auto"/>
          <w:sz w:val="32"/>
          <w:szCs w:val="32"/>
          <w:highlight w:val="none"/>
          <w:lang w:val="en-US" w:eastAsia="zh-CN"/>
        </w:rPr>
        <w:t>0.15</w:t>
      </w: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lang w:eastAsia="zh-CN"/>
        </w:rPr>
        <w:t>农林水</w:t>
      </w:r>
      <w:r>
        <w:rPr>
          <w:rFonts w:hint="default" w:ascii="Times New Roman" w:hAnsi="Times New Roman" w:eastAsia="仿宋_GB2312" w:cs="Times New Roman"/>
          <w:b w:val="0"/>
          <w:bCs w:val="0"/>
          <w:color w:val="auto"/>
          <w:sz w:val="32"/>
          <w:szCs w:val="32"/>
          <w:highlight w:val="none"/>
        </w:rPr>
        <w:t>支出</w:t>
      </w:r>
      <w:r>
        <w:rPr>
          <w:rFonts w:hint="default" w:ascii="Times New Roman" w:hAnsi="Times New Roman" w:eastAsia="仿宋_GB2312" w:cs="Times New Roman"/>
          <w:b w:val="0"/>
          <w:bCs w:val="0"/>
          <w:color w:val="auto"/>
          <w:sz w:val="32"/>
          <w:szCs w:val="32"/>
          <w:highlight w:val="none"/>
          <w:lang w:val="en-US" w:eastAsia="zh-CN"/>
        </w:rPr>
        <w:t>2620.02</w:t>
      </w:r>
      <w:r>
        <w:rPr>
          <w:rFonts w:hint="default" w:ascii="Times New Roman" w:hAnsi="Times New Roman" w:eastAsia="仿宋_GB2312" w:cs="Times New Roman"/>
          <w:b w:val="0"/>
          <w:bCs w:val="0"/>
          <w:color w:val="auto"/>
          <w:sz w:val="32"/>
          <w:szCs w:val="32"/>
          <w:highlight w:val="none"/>
        </w:rPr>
        <w:t>万元，占</w:t>
      </w:r>
      <w:r>
        <w:rPr>
          <w:rFonts w:hint="default" w:ascii="Times New Roman" w:hAnsi="Times New Roman" w:eastAsia="仿宋_GB2312" w:cs="Times New Roman"/>
          <w:b w:val="0"/>
          <w:bCs w:val="0"/>
          <w:color w:val="auto"/>
          <w:sz w:val="32"/>
          <w:szCs w:val="32"/>
          <w:highlight w:val="none"/>
          <w:lang w:val="en-US" w:eastAsia="zh-CN"/>
        </w:rPr>
        <w:t>33.24</w:t>
      </w: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lang w:eastAsia="zh-CN"/>
        </w:rPr>
        <w:t>交通运输</w:t>
      </w:r>
      <w:r>
        <w:rPr>
          <w:rFonts w:hint="default" w:ascii="Times New Roman" w:hAnsi="Times New Roman" w:eastAsia="仿宋_GB2312" w:cs="Times New Roman"/>
          <w:b w:val="0"/>
          <w:bCs w:val="0"/>
          <w:color w:val="auto"/>
          <w:sz w:val="32"/>
          <w:szCs w:val="32"/>
          <w:highlight w:val="none"/>
        </w:rPr>
        <w:t>支出</w:t>
      </w:r>
      <w:r>
        <w:rPr>
          <w:rFonts w:hint="default" w:ascii="Times New Roman" w:hAnsi="Times New Roman" w:eastAsia="仿宋_GB2312" w:cs="Times New Roman"/>
          <w:b w:val="0"/>
          <w:bCs w:val="0"/>
          <w:color w:val="auto"/>
          <w:sz w:val="32"/>
          <w:szCs w:val="32"/>
          <w:highlight w:val="none"/>
          <w:lang w:val="en-US" w:eastAsia="zh-CN"/>
        </w:rPr>
        <w:t>4856.29</w:t>
      </w:r>
      <w:r>
        <w:rPr>
          <w:rFonts w:hint="default" w:ascii="Times New Roman" w:hAnsi="Times New Roman" w:eastAsia="仿宋_GB2312" w:cs="Times New Roman"/>
          <w:b w:val="0"/>
          <w:bCs w:val="0"/>
          <w:color w:val="auto"/>
          <w:sz w:val="32"/>
          <w:szCs w:val="32"/>
          <w:highlight w:val="none"/>
        </w:rPr>
        <w:t>万元，占</w:t>
      </w:r>
      <w:r>
        <w:rPr>
          <w:rFonts w:hint="default" w:ascii="Times New Roman" w:hAnsi="Times New Roman" w:eastAsia="仿宋_GB2312" w:cs="Times New Roman"/>
          <w:b w:val="0"/>
          <w:bCs w:val="0"/>
          <w:color w:val="auto"/>
          <w:sz w:val="32"/>
          <w:szCs w:val="32"/>
          <w:highlight w:val="none"/>
          <w:lang w:val="en-US" w:eastAsia="zh-CN"/>
        </w:rPr>
        <w:t>61.61</w:t>
      </w:r>
      <w:r>
        <w:rPr>
          <w:rFonts w:hint="default" w:ascii="Times New Roman" w:hAnsi="Times New Roman" w:eastAsia="仿宋_GB2312" w:cs="Times New Roman"/>
          <w:b w:val="0"/>
          <w:bCs w:val="0"/>
          <w:color w:val="auto"/>
          <w:sz w:val="32"/>
          <w:szCs w:val="32"/>
          <w:highlight w:val="none"/>
        </w:rPr>
        <w:t>%；住房保障支出</w:t>
      </w:r>
      <w:r>
        <w:rPr>
          <w:rFonts w:hint="default" w:ascii="Times New Roman" w:hAnsi="Times New Roman" w:eastAsia="仿宋_GB2312" w:cs="Times New Roman"/>
          <w:b w:val="0"/>
          <w:bCs w:val="0"/>
          <w:color w:val="auto"/>
          <w:sz w:val="32"/>
          <w:szCs w:val="32"/>
          <w:highlight w:val="none"/>
          <w:lang w:val="en-US" w:eastAsia="zh-CN"/>
        </w:rPr>
        <w:t>156.5</w:t>
      </w:r>
      <w:r>
        <w:rPr>
          <w:rFonts w:hint="default" w:ascii="Times New Roman" w:hAnsi="Times New Roman" w:eastAsia="仿宋_GB2312" w:cs="Times New Roman"/>
          <w:b w:val="0"/>
          <w:bCs w:val="0"/>
          <w:color w:val="auto"/>
          <w:sz w:val="32"/>
          <w:szCs w:val="32"/>
          <w:highlight w:val="none"/>
        </w:rPr>
        <w:t>万元，占</w:t>
      </w:r>
      <w:r>
        <w:rPr>
          <w:rFonts w:hint="default" w:ascii="Times New Roman" w:hAnsi="Times New Roman" w:eastAsia="仿宋_GB2312" w:cs="Times New Roman"/>
          <w:b w:val="0"/>
          <w:bCs w:val="0"/>
          <w:color w:val="auto"/>
          <w:sz w:val="32"/>
          <w:szCs w:val="32"/>
          <w:highlight w:val="none"/>
          <w:lang w:val="en-US" w:eastAsia="zh-CN"/>
        </w:rPr>
        <w:t>1.99</w:t>
      </w: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lang w:eastAsia="zh-CN"/>
        </w:rPr>
        <w:t>。</w:t>
      </w: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_GB2312" w:cs="Times New Roman"/>
          <w:b w:val="0"/>
          <w:bCs w:val="0"/>
          <w:color w:val="auto"/>
          <w:sz w:val="32"/>
          <w:szCs w:val="32"/>
          <w:highlight w:val="none"/>
        </w:rPr>
        <w:t>（图6：一般公共预算财政拨款支出决算结构）（饼状图）</w:t>
      </w:r>
    </w:p>
    <w:p>
      <w:pPr>
        <w:pageBreakBefore w:val="0"/>
        <w:wordWrap/>
        <w:topLinePunct w:val="0"/>
        <w:bidi w:val="0"/>
        <w:spacing w:line="560" w:lineRule="exact"/>
        <w:ind w:firstLine="420" w:firstLineChars="200"/>
        <w:rPr>
          <w:rFonts w:hint="default" w:ascii="Times New Roman" w:hAnsi="Times New Roman" w:eastAsia="仿宋" w:cs="Times New Roman"/>
          <w:color w:val="auto"/>
          <w:sz w:val="32"/>
          <w:szCs w:val="32"/>
          <w:highlight w:val="none"/>
        </w:rPr>
      </w:pPr>
      <w:r>
        <w:rPr>
          <w:rFonts w:hint="default" w:ascii="Times New Roman" w:hAnsi="Times New Roman" w:cs="Times New Roman"/>
        </w:rPr>
        <w:drawing>
          <wp:anchor distT="0" distB="1905" distL="114300" distR="114300" simplePos="0" relativeHeight="251663360" behindDoc="1" locked="0" layoutInCell="1" allowOverlap="1">
            <wp:simplePos x="0" y="0"/>
            <wp:positionH relativeFrom="column">
              <wp:posOffset>459105</wp:posOffset>
            </wp:positionH>
            <wp:positionV relativeFrom="paragraph">
              <wp:posOffset>50165</wp:posOffset>
            </wp:positionV>
            <wp:extent cx="4219575" cy="1924050"/>
            <wp:effectExtent l="4445" t="4445" r="5080" b="14605"/>
            <wp:wrapTight wrapText="bothSides">
              <wp:wrapPolygon>
                <wp:start x="-23" y="-50"/>
                <wp:lineTo x="-23" y="21550"/>
                <wp:lineTo x="21528" y="21550"/>
                <wp:lineTo x="21528" y="-50"/>
                <wp:lineTo x="-23" y="-50"/>
              </wp:wrapPolygon>
            </wp:wrapTight>
            <wp:docPr id="7" name="对象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firstLineChars="20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3" w:firstLineChars="200"/>
        <w:outlineLvl w:val="2"/>
        <w:rPr>
          <w:rFonts w:hint="default" w:ascii="Times New Roman" w:hAnsi="Times New Roman" w:eastAsia="楷体" w:cs="Times New Roman"/>
          <w:b/>
          <w:color w:val="auto"/>
          <w:sz w:val="32"/>
          <w:szCs w:val="32"/>
          <w:highlight w:val="none"/>
        </w:rPr>
      </w:pPr>
      <w:bookmarkStart w:id="47" w:name="_Toc15377212"/>
      <w:r>
        <w:rPr>
          <w:rFonts w:hint="default" w:ascii="Times New Roman" w:hAnsi="Times New Roman" w:eastAsia="楷体" w:cs="Times New Roman"/>
          <w:b/>
          <w:color w:val="auto"/>
          <w:sz w:val="32"/>
          <w:szCs w:val="32"/>
          <w:highlight w:val="none"/>
        </w:rPr>
        <w:t>（三）一般公共预算财政拨款支出决算具体情况</w:t>
      </w:r>
      <w:bookmarkEnd w:id="47"/>
    </w:p>
    <w:p>
      <w:pPr>
        <w:pageBreakBefore w:val="0"/>
        <w:wordWrap/>
        <w:topLinePunct w:val="0"/>
        <w:bidi w:val="0"/>
        <w:spacing w:line="560" w:lineRule="exact"/>
        <w:ind w:firstLine="640" w:firstLineChars="200"/>
        <w:outlineLvl w:val="2"/>
        <w:rPr>
          <w:rFonts w:hint="default" w:ascii="Times New Roman" w:hAnsi="Times New Roman" w:eastAsia="仿宋_GB2312" w:cs="Times New Roman"/>
          <w:b w:val="0"/>
          <w:bCs/>
          <w:color w:val="auto"/>
          <w:sz w:val="32"/>
          <w:szCs w:val="32"/>
          <w:highlight w:val="none"/>
        </w:rPr>
      </w:pPr>
      <w:bookmarkStart w:id="48" w:name="_Toc15377213"/>
      <w:bookmarkStart w:id="49" w:name="_Toc15378460"/>
      <w:bookmarkStart w:id="50" w:name="_Toc15377444"/>
      <w:r>
        <w:rPr>
          <w:rFonts w:hint="default" w:ascii="Times New Roman" w:hAnsi="Times New Roman" w:eastAsia="仿宋_GB2312" w:cs="Times New Roman"/>
          <w:b w:val="0"/>
          <w:bCs/>
          <w:color w:val="auto"/>
          <w:sz w:val="32"/>
          <w:szCs w:val="32"/>
          <w:highlight w:val="none"/>
        </w:rPr>
        <w:t>20</w:t>
      </w:r>
      <w:r>
        <w:rPr>
          <w:rFonts w:hint="default" w:ascii="Times New Roman" w:hAnsi="Times New Roman" w:eastAsia="仿宋_GB2312" w:cs="Times New Roman"/>
          <w:b w:val="0"/>
          <w:bCs/>
          <w:color w:val="auto"/>
          <w:sz w:val="32"/>
          <w:szCs w:val="32"/>
          <w:highlight w:val="none"/>
          <w:lang w:val="en-US" w:eastAsia="zh-CN"/>
        </w:rPr>
        <w:t>22</w:t>
      </w:r>
      <w:r>
        <w:rPr>
          <w:rFonts w:hint="default" w:ascii="Times New Roman" w:hAnsi="Times New Roman" w:eastAsia="仿宋_GB2312" w:cs="Times New Roman"/>
          <w:b w:val="0"/>
          <w:bCs/>
          <w:color w:val="auto"/>
          <w:sz w:val="32"/>
          <w:szCs w:val="32"/>
          <w:highlight w:val="none"/>
        </w:rPr>
        <w:t>年</w:t>
      </w:r>
      <w:r>
        <w:rPr>
          <w:rFonts w:hint="default" w:ascii="Times New Roman" w:hAnsi="Times New Roman" w:eastAsia="仿宋_GB2312" w:cs="Times New Roman"/>
          <w:b w:val="0"/>
          <w:bCs/>
          <w:color w:val="auto"/>
          <w:sz w:val="32"/>
          <w:szCs w:val="32"/>
          <w:highlight w:val="none"/>
          <w:lang w:eastAsia="zh-CN"/>
        </w:rPr>
        <w:t>一</w:t>
      </w:r>
      <w:r>
        <w:rPr>
          <w:rFonts w:hint="default" w:ascii="Times New Roman" w:hAnsi="Times New Roman" w:eastAsia="仿宋_GB2312" w:cs="Times New Roman"/>
          <w:b w:val="0"/>
          <w:bCs/>
          <w:color w:val="auto"/>
          <w:sz w:val="32"/>
          <w:szCs w:val="32"/>
          <w:highlight w:val="none"/>
        </w:rPr>
        <w:t>般公共预算支出决算数为</w:t>
      </w:r>
      <w:r>
        <w:rPr>
          <w:rFonts w:hint="default" w:ascii="Times New Roman" w:hAnsi="Times New Roman" w:eastAsia="仿宋_GB2312" w:cs="Times New Roman"/>
          <w:b w:val="0"/>
          <w:bCs/>
          <w:color w:val="auto"/>
          <w:sz w:val="32"/>
          <w:szCs w:val="32"/>
          <w:highlight w:val="none"/>
          <w:lang w:val="en-US" w:eastAsia="zh-CN"/>
        </w:rPr>
        <w:t>7882.59</w:t>
      </w:r>
      <w:r>
        <w:rPr>
          <w:rFonts w:hint="default" w:ascii="Times New Roman" w:hAnsi="Times New Roman" w:eastAsia="仿宋_GB2312" w:cs="Times New Roman"/>
          <w:b w:val="0"/>
          <w:bCs/>
          <w:color w:val="auto"/>
          <w:sz w:val="32"/>
          <w:szCs w:val="32"/>
          <w:highlight w:val="none"/>
        </w:rPr>
        <w:t>，</w:t>
      </w:r>
      <w:r>
        <w:rPr>
          <w:rStyle w:val="18"/>
          <w:rFonts w:hint="default" w:ascii="Times New Roman" w:hAnsi="Times New Roman" w:eastAsia="仿宋_GB2312" w:cs="Times New Roman"/>
          <w:b w:val="0"/>
          <w:bCs/>
          <w:color w:val="auto"/>
          <w:sz w:val="32"/>
          <w:szCs w:val="32"/>
          <w:highlight w:val="none"/>
        </w:rPr>
        <w:t>完成预算</w:t>
      </w:r>
      <w:r>
        <w:rPr>
          <w:rStyle w:val="18"/>
          <w:rFonts w:hint="default" w:ascii="Times New Roman" w:hAnsi="Times New Roman" w:eastAsia="仿宋_GB2312" w:cs="Times New Roman"/>
          <w:b w:val="0"/>
          <w:bCs/>
          <w:color w:val="auto"/>
          <w:sz w:val="32"/>
          <w:szCs w:val="32"/>
          <w:highlight w:val="none"/>
          <w:lang w:val="en-US" w:eastAsia="zh-CN"/>
        </w:rPr>
        <w:t>100</w:t>
      </w:r>
      <w:r>
        <w:rPr>
          <w:rStyle w:val="18"/>
          <w:rFonts w:hint="default" w:ascii="Times New Roman" w:hAnsi="Times New Roman" w:eastAsia="仿宋_GB2312" w:cs="Times New Roman"/>
          <w:b w:val="0"/>
          <w:bCs/>
          <w:color w:val="auto"/>
          <w:sz w:val="32"/>
          <w:szCs w:val="32"/>
          <w:highlight w:val="none"/>
        </w:rPr>
        <w:t>%。其中：</w:t>
      </w:r>
      <w:bookmarkEnd w:id="48"/>
      <w:bookmarkEnd w:id="49"/>
      <w:bookmarkEnd w:id="50"/>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kern w:val="0"/>
          <w:sz w:val="32"/>
          <w:szCs w:val="32"/>
          <w:lang w:val="en-US" w:eastAsia="zh-CN" w:bidi="ar"/>
        </w:rPr>
        <w:t>1．</w:t>
      </w:r>
      <w:r>
        <w:rPr>
          <w:rFonts w:hint="default" w:ascii="Times New Roman" w:hAnsi="Times New Roman" w:eastAsia="仿宋_GB2312" w:cs="Times New Roman"/>
          <w:b w:val="0"/>
          <w:bCs/>
          <w:kern w:val="0"/>
          <w:sz w:val="32"/>
          <w:szCs w:val="32"/>
          <w:lang w:eastAsia="zh-CN" w:bidi="ar"/>
        </w:rPr>
        <w:t>社会保障和就业支出（类）行政事业单位养老支出（款）机关事业单位基本养老保险缴费支出（项）：支出决算为</w:t>
      </w:r>
      <w:r>
        <w:rPr>
          <w:rFonts w:hint="default" w:ascii="Times New Roman" w:hAnsi="Times New Roman" w:eastAsia="仿宋_GB2312" w:cs="Times New Roman"/>
          <w:b w:val="0"/>
          <w:bCs/>
          <w:kern w:val="0"/>
          <w:sz w:val="32"/>
          <w:szCs w:val="32"/>
          <w:lang w:val="en-US" w:eastAsia="zh-CN" w:bidi="ar"/>
        </w:rPr>
        <w:t>129.30</w:t>
      </w:r>
      <w:r>
        <w:rPr>
          <w:rFonts w:hint="default" w:ascii="Times New Roman" w:hAnsi="Times New Roman" w:eastAsia="仿宋_GB2312" w:cs="Times New Roman"/>
          <w:b w:val="0"/>
          <w:bCs/>
          <w:kern w:val="0"/>
          <w:sz w:val="32"/>
          <w:szCs w:val="32"/>
          <w:lang w:eastAsia="zh-CN" w:bidi="ar"/>
        </w:rPr>
        <w:t>万元，完成预算100%。</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kern w:val="0"/>
          <w:sz w:val="32"/>
          <w:szCs w:val="32"/>
          <w:lang w:val="en-US" w:eastAsia="zh-CN" w:bidi="ar"/>
        </w:rPr>
        <w:t>2．</w:t>
      </w:r>
      <w:r>
        <w:rPr>
          <w:rFonts w:hint="default" w:ascii="Times New Roman" w:hAnsi="Times New Roman" w:eastAsia="仿宋_GB2312" w:cs="Times New Roman"/>
          <w:b w:val="0"/>
          <w:bCs/>
          <w:kern w:val="0"/>
          <w:sz w:val="32"/>
          <w:szCs w:val="32"/>
          <w:lang w:eastAsia="zh-CN" w:bidi="ar"/>
        </w:rPr>
        <w:t>社会保障和就业支出（类）行政事业单位养老支出（款）机关事业单位职业年金缴费支出（项）：支出决算为</w:t>
      </w:r>
      <w:r>
        <w:rPr>
          <w:rFonts w:hint="default" w:ascii="Times New Roman" w:hAnsi="Times New Roman" w:eastAsia="仿宋_GB2312" w:cs="Times New Roman"/>
          <w:b w:val="0"/>
          <w:bCs/>
          <w:kern w:val="0"/>
          <w:sz w:val="32"/>
          <w:szCs w:val="32"/>
          <w:lang w:val="en-US" w:eastAsia="zh-CN" w:bidi="ar"/>
        </w:rPr>
        <w:t>19.43</w:t>
      </w:r>
      <w:r>
        <w:rPr>
          <w:rFonts w:hint="default" w:ascii="Times New Roman" w:hAnsi="Times New Roman" w:eastAsia="仿宋_GB2312" w:cs="Times New Roman"/>
          <w:b w:val="0"/>
          <w:bCs/>
          <w:kern w:val="0"/>
          <w:sz w:val="32"/>
          <w:szCs w:val="32"/>
          <w:lang w:eastAsia="zh-CN" w:bidi="ar"/>
        </w:rPr>
        <w:t>万元，完成预算100%。</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kern w:val="0"/>
          <w:sz w:val="32"/>
          <w:szCs w:val="32"/>
          <w:lang w:val="en-US" w:eastAsia="zh-CN" w:bidi="ar"/>
        </w:rPr>
        <w:t>3．</w:t>
      </w:r>
      <w:r>
        <w:rPr>
          <w:rFonts w:hint="default" w:ascii="Times New Roman" w:hAnsi="Times New Roman" w:eastAsia="仿宋_GB2312" w:cs="Times New Roman"/>
          <w:b w:val="0"/>
          <w:bCs/>
          <w:kern w:val="0"/>
          <w:sz w:val="32"/>
          <w:szCs w:val="32"/>
          <w:lang w:eastAsia="zh-CN" w:bidi="ar"/>
        </w:rPr>
        <w:t>社会保障和就业支出（类）行政事业单位养老支出（款）其他行政事业单位养老支出（项）：支出决算为</w:t>
      </w:r>
      <w:r>
        <w:rPr>
          <w:rFonts w:hint="default" w:ascii="Times New Roman" w:hAnsi="Times New Roman" w:eastAsia="仿宋_GB2312" w:cs="Times New Roman"/>
          <w:b w:val="0"/>
          <w:bCs/>
          <w:kern w:val="0"/>
          <w:sz w:val="32"/>
          <w:szCs w:val="32"/>
          <w:lang w:val="en-US" w:eastAsia="zh-CN" w:bidi="ar"/>
        </w:rPr>
        <w:t>15.73</w:t>
      </w:r>
      <w:r>
        <w:rPr>
          <w:rFonts w:hint="default" w:ascii="Times New Roman" w:hAnsi="Times New Roman" w:eastAsia="仿宋_GB2312" w:cs="Times New Roman"/>
          <w:b w:val="0"/>
          <w:bCs/>
          <w:kern w:val="0"/>
          <w:sz w:val="32"/>
          <w:szCs w:val="32"/>
          <w:lang w:eastAsia="zh-CN" w:bidi="ar"/>
        </w:rPr>
        <w:t>万元，完成预算100%。</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kern w:val="0"/>
          <w:sz w:val="32"/>
          <w:szCs w:val="32"/>
          <w:lang w:val="en-US" w:eastAsia="zh-CN" w:bidi="ar"/>
        </w:rPr>
        <w:t>4．</w:t>
      </w:r>
      <w:r>
        <w:rPr>
          <w:rFonts w:hint="default" w:ascii="Times New Roman" w:hAnsi="Times New Roman" w:eastAsia="仿宋_GB2312" w:cs="Times New Roman"/>
          <w:b w:val="0"/>
          <w:bCs/>
          <w:kern w:val="0"/>
          <w:sz w:val="32"/>
          <w:szCs w:val="32"/>
          <w:lang w:eastAsia="zh-CN" w:bidi="ar"/>
        </w:rPr>
        <w:t>卫生健康支出（类）行政事业单位医疗（款）行政单位医疗（项）：支出决算为</w:t>
      </w:r>
      <w:r>
        <w:rPr>
          <w:rFonts w:hint="default" w:ascii="Times New Roman" w:hAnsi="Times New Roman" w:eastAsia="仿宋_GB2312" w:cs="Times New Roman"/>
          <w:b w:val="0"/>
          <w:bCs/>
          <w:kern w:val="0"/>
          <w:sz w:val="32"/>
          <w:szCs w:val="32"/>
          <w:lang w:val="en-US" w:eastAsia="zh-CN" w:bidi="ar"/>
        </w:rPr>
        <w:t>6.46</w:t>
      </w:r>
      <w:r>
        <w:rPr>
          <w:rFonts w:hint="default" w:ascii="Times New Roman" w:hAnsi="Times New Roman" w:eastAsia="仿宋_GB2312" w:cs="Times New Roman"/>
          <w:b w:val="0"/>
          <w:bCs/>
          <w:kern w:val="0"/>
          <w:sz w:val="32"/>
          <w:szCs w:val="32"/>
          <w:lang w:eastAsia="zh-CN" w:bidi="ar"/>
        </w:rPr>
        <w:t>万元，完成预算100%。</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kern w:val="0"/>
          <w:sz w:val="32"/>
          <w:szCs w:val="32"/>
          <w:lang w:val="en-US" w:eastAsia="zh-CN" w:bidi="ar"/>
        </w:rPr>
        <w:t>5．</w:t>
      </w:r>
      <w:r>
        <w:rPr>
          <w:rFonts w:hint="default" w:ascii="Times New Roman" w:hAnsi="Times New Roman" w:eastAsia="仿宋_GB2312" w:cs="Times New Roman"/>
          <w:b w:val="0"/>
          <w:bCs/>
          <w:kern w:val="0"/>
          <w:sz w:val="32"/>
          <w:szCs w:val="32"/>
          <w:lang w:eastAsia="zh-CN" w:bidi="ar"/>
        </w:rPr>
        <w:t>卫生健康支出（类）行政事业单位医疗（款）事业单位医疗（项）：支出决算为</w:t>
      </w:r>
      <w:r>
        <w:rPr>
          <w:rFonts w:hint="default" w:ascii="Times New Roman" w:hAnsi="Times New Roman" w:eastAsia="仿宋_GB2312" w:cs="Times New Roman"/>
          <w:b w:val="0"/>
          <w:bCs/>
          <w:kern w:val="0"/>
          <w:sz w:val="32"/>
          <w:szCs w:val="32"/>
          <w:lang w:val="en-US" w:eastAsia="zh-CN" w:bidi="ar"/>
        </w:rPr>
        <w:t>45.28</w:t>
      </w:r>
      <w:r>
        <w:rPr>
          <w:rFonts w:hint="default" w:ascii="Times New Roman" w:hAnsi="Times New Roman" w:eastAsia="仿宋_GB2312" w:cs="Times New Roman"/>
          <w:b w:val="0"/>
          <w:bCs/>
          <w:kern w:val="0"/>
          <w:sz w:val="32"/>
          <w:szCs w:val="32"/>
          <w:lang w:eastAsia="zh-CN" w:bidi="ar"/>
        </w:rPr>
        <w:t>万元，完成预算100%。</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kern w:val="0"/>
          <w:sz w:val="32"/>
          <w:szCs w:val="32"/>
          <w:lang w:val="en-US" w:eastAsia="zh-CN" w:bidi="ar"/>
        </w:rPr>
        <w:t>6．</w:t>
      </w:r>
      <w:r>
        <w:rPr>
          <w:rFonts w:hint="default" w:ascii="Times New Roman" w:hAnsi="Times New Roman" w:eastAsia="仿宋_GB2312" w:cs="Times New Roman"/>
          <w:b w:val="0"/>
          <w:bCs/>
          <w:kern w:val="0"/>
          <w:sz w:val="32"/>
          <w:szCs w:val="32"/>
          <w:lang w:eastAsia="zh-CN" w:bidi="ar"/>
        </w:rPr>
        <w:t>卫生健康支出（类）行政事业单位医疗（款）公务员医疗补助（项）：支出决算为</w:t>
      </w:r>
      <w:r>
        <w:rPr>
          <w:rFonts w:hint="default" w:ascii="Times New Roman" w:hAnsi="Times New Roman" w:eastAsia="仿宋_GB2312" w:cs="Times New Roman"/>
          <w:b w:val="0"/>
          <w:bCs/>
          <w:kern w:val="0"/>
          <w:sz w:val="32"/>
          <w:szCs w:val="32"/>
          <w:lang w:val="en-US" w:eastAsia="zh-CN" w:bidi="ar"/>
        </w:rPr>
        <w:t>21.58</w:t>
      </w:r>
      <w:r>
        <w:rPr>
          <w:rFonts w:hint="default" w:ascii="Times New Roman" w:hAnsi="Times New Roman" w:eastAsia="仿宋_GB2312" w:cs="Times New Roman"/>
          <w:b w:val="0"/>
          <w:bCs/>
          <w:kern w:val="0"/>
          <w:sz w:val="32"/>
          <w:szCs w:val="32"/>
          <w:lang w:eastAsia="zh-CN" w:bidi="ar"/>
        </w:rPr>
        <w:t>万元，完成预算100%。</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kern w:val="0"/>
          <w:sz w:val="32"/>
          <w:szCs w:val="32"/>
          <w:lang w:val="en-US" w:eastAsia="zh-CN" w:bidi="ar"/>
        </w:rPr>
        <w:t>7．</w:t>
      </w:r>
      <w:r>
        <w:rPr>
          <w:rFonts w:hint="default" w:ascii="Times New Roman" w:hAnsi="Times New Roman" w:eastAsia="仿宋_GB2312" w:cs="Times New Roman"/>
          <w:b w:val="0"/>
          <w:bCs/>
          <w:kern w:val="0"/>
          <w:sz w:val="32"/>
          <w:szCs w:val="32"/>
          <w:lang w:eastAsia="zh-CN" w:bidi="ar"/>
        </w:rPr>
        <w:t>节能环保支出（类）环境保护管理事务（款）行政运行（项）：支出决算为12万元，完成预算</w:t>
      </w:r>
      <w:r>
        <w:rPr>
          <w:rFonts w:hint="default" w:ascii="Times New Roman" w:hAnsi="Times New Roman" w:eastAsia="仿宋_GB2312" w:cs="Times New Roman"/>
          <w:b w:val="0"/>
          <w:bCs/>
          <w:kern w:val="0"/>
          <w:sz w:val="32"/>
          <w:szCs w:val="32"/>
          <w:lang w:val="en-US" w:eastAsia="zh-CN" w:bidi="ar"/>
        </w:rPr>
        <w:t>10</w:t>
      </w:r>
      <w:r>
        <w:rPr>
          <w:rFonts w:hint="default" w:ascii="Times New Roman" w:hAnsi="Times New Roman" w:eastAsia="仿宋_GB2312" w:cs="Times New Roman"/>
          <w:b w:val="0"/>
          <w:bCs/>
          <w:kern w:val="0"/>
          <w:sz w:val="32"/>
          <w:szCs w:val="32"/>
          <w:lang w:eastAsia="zh-CN" w:bidi="ar"/>
        </w:rPr>
        <w:t>0%。</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kern w:val="0"/>
          <w:sz w:val="32"/>
          <w:szCs w:val="32"/>
          <w:lang w:val="en-US" w:eastAsia="zh-CN" w:bidi="ar"/>
        </w:rPr>
        <w:t>8．</w:t>
      </w:r>
      <w:r>
        <w:rPr>
          <w:rFonts w:hint="default" w:ascii="Times New Roman" w:hAnsi="Times New Roman" w:eastAsia="仿宋_GB2312" w:cs="Times New Roman"/>
          <w:b w:val="0"/>
          <w:bCs/>
          <w:kern w:val="0"/>
          <w:sz w:val="32"/>
          <w:szCs w:val="32"/>
          <w:lang w:eastAsia="zh-CN" w:bidi="ar"/>
        </w:rPr>
        <w:t>农林水支出（类）巩固脱贫衔接乡村振兴（款）农村基础设施建设（项）：支出决算为</w:t>
      </w:r>
      <w:r>
        <w:rPr>
          <w:rFonts w:hint="default" w:ascii="Times New Roman" w:hAnsi="Times New Roman" w:eastAsia="仿宋_GB2312" w:cs="Times New Roman"/>
          <w:b w:val="0"/>
          <w:bCs/>
          <w:kern w:val="0"/>
          <w:sz w:val="32"/>
          <w:szCs w:val="32"/>
          <w:lang w:val="en-US" w:eastAsia="zh-CN" w:bidi="ar"/>
        </w:rPr>
        <w:t>2469.87</w:t>
      </w:r>
      <w:r>
        <w:rPr>
          <w:rFonts w:hint="default" w:ascii="Times New Roman" w:hAnsi="Times New Roman" w:eastAsia="仿宋_GB2312" w:cs="Times New Roman"/>
          <w:b w:val="0"/>
          <w:bCs/>
          <w:kern w:val="0"/>
          <w:sz w:val="32"/>
          <w:szCs w:val="32"/>
          <w:lang w:eastAsia="zh-CN" w:bidi="ar"/>
        </w:rPr>
        <w:t>万元，完成预算的</w:t>
      </w:r>
      <w:r>
        <w:rPr>
          <w:rFonts w:hint="default" w:ascii="Times New Roman" w:hAnsi="Times New Roman" w:eastAsia="仿宋_GB2312" w:cs="Times New Roman"/>
          <w:b w:val="0"/>
          <w:bCs/>
          <w:kern w:val="0"/>
          <w:sz w:val="32"/>
          <w:szCs w:val="32"/>
          <w:lang w:val="en-US" w:eastAsia="zh-CN" w:bidi="ar"/>
        </w:rPr>
        <w:t>100</w:t>
      </w:r>
      <w:r>
        <w:rPr>
          <w:rFonts w:hint="default" w:ascii="Times New Roman" w:hAnsi="Times New Roman" w:eastAsia="仿宋_GB2312" w:cs="Times New Roman"/>
          <w:b w:val="0"/>
          <w:bCs/>
          <w:kern w:val="0"/>
          <w:sz w:val="32"/>
          <w:szCs w:val="32"/>
          <w:lang w:eastAsia="zh-CN" w:bidi="ar"/>
        </w:rPr>
        <w:t>%。</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kern w:val="0"/>
          <w:sz w:val="32"/>
          <w:szCs w:val="32"/>
          <w:lang w:val="en-US" w:eastAsia="zh-CN" w:bidi="ar"/>
        </w:rPr>
        <w:t>9．</w:t>
      </w:r>
      <w:r>
        <w:rPr>
          <w:rFonts w:hint="default" w:ascii="Times New Roman" w:hAnsi="Times New Roman" w:eastAsia="仿宋_GB2312" w:cs="Times New Roman"/>
          <w:b w:val="0"/>
          <w:bCs/>
          <w:kern w:val="0"/>
          <w:sz w:val="32"/>
          <w:szCs w:val="32"/>
          <w:lang w:eastAsia="zh-CN" w:bidi="ar"/>
        </w:rPr>
        <w:t>农林水支出（类）巩固脱贫衔接乡村振兴（款）其他巩固脱贫衔接乡村振兴支出（项）：支出决算为</w:t>
      </w:r>
      <w:r>
        <w:rPr>
          <w:rFonts w:hint="default" w:ascii="Times New Roman" w:hAnsi="Times New Roman" w:eastAsia="仿宋_GB2312" w:cs="Times New Roman"/>
          <w:b w:val="0"/>
          <w:bCs/>
          <w:kern w:val="0"/>
          <w:sz w:val="32"/>
          <w:szCs w:val="32"/>
          <w:lang w:val="en-US" w:eastAsia="zh-CN" w:bidi="ar"/>
        </w:rPr>
        <w:t>150.15</w:t>
      </w:r>
      <w:r>
        <w:rPr>
          <w:rFonts w:hint="default" w:ascii="Times New Roman" w:hAnsi="Times New Roman" w:eastAsia="仿宋_GB2312" w:cs="Times New Roman"/>
          <w:b w:val="0"/>
          <w:bCs/>
          <w:kern w:val="0"/>
          <w:sz w:val="32"/>
          <w:szCs w:val="32"/>
          <w:lang w:eastAsia="zh-CN" w:bidi="ar"/>
        </w:rPr>
        <w:t>万元,完成预算的</w:t>
      </w:r>
      <w:r>
        <w:rPr>
          <w:rFonts w:hint="default" w:ascii="Times New Roman" w:hAnsi="Times New Roman" w:eastAsia="仿宋_GB2312" w:cs="Times New Roman"/>
          <w:b w:val="0"/>
          <w:bCs/>
          <w:kern w:val="0"/>
          <w:sz w:val="32"/>
          <w:szCs w:val="32"/>
          <w:lang w:val="en-US" w:eastAsia="zh-CN" w:bidi="ar"/>
        </w:rPr>
        <w:t>100</w:t>
      </w:r>
      <w:r>
        <w:rPr>
          <w:rFonts w:hint="default" w:ascii="Times New Roman" w:hAnsi="Times New Roman" w:eastAsia="仿宋_GB2312" w:cs="Times New Roman"/>
          <w:b w:val="0"/>
          <w:bCs/>
          <w:kern w:val="0"/>
          <w:sz w:val="32"/>
          <w:szCs w:val="32"/>
          <w:lang w:eastAsia="zh-CN" w:bidi="ar"/>
        </w:rPr>
        <w:t>%。</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kern w:val="0"/>
          <w:sz w:val="32"/>
          <w:szCs w:val="32"/>
          <w:lang w:val="en-US" w:eastAsia="zh-CN" w:bidi="ar"/>
        </w:rPr>
        <w:t>10．</w:t>
      </w:r>
      <w:r>
        <w:rPr>
          <w:rFonts w:hint="default" w:ascii="Times New Roman" w:hAnsi="Times New Roman" w:eastAsia="仿宋_GB2312" w:cs="Times New Roman"/>
          <w:b w:val="0"/>
          <w:bCs/>
          <w:kern w:val="0"/>
          <w:sz w:val="32"/>
          <w:szCs w:val="32"/>
          <w:lang w:eastAsia="zh-CN" w:bidi="ar"/>
        </w:rPr>
        <w:t>交通运输支出（类）公路水路运输（款）行政运行（项）：支出决算为</w:t>
      </w:r>
      <w:r>
        <w:rPr>
          <w:rFonts w:hint="default" w:ascii="Times New Roman" w:hAnsi="Times New Roman" w:eastAsia="仿宋_GB2312" w:cs="Times New Roman"/>
          <w:b w:val="0"/>
          <w:bCs/>
          <w:kern w:val="0"/>
          <w:sz w:val="32"/>
          <w:szCs w:val="32"/>
          <w:lang w:val="en-US" w:eastAsia="zh-CN" w:bidi="ar"/>
        </w:rPr>
        <w:t>224.01</w:t>
      </w:r>
      <w:r>
        <w:rPr>
          <w:rFonts w:hint="default" w:ascii="Times New Roman" w:hAnsi="Times New Roman" w:eastAsia="仿宋_GB2312" w:cs="Times New Roman"/>
          <w:b w:val="0"/>
          <w:bCs/>
          <w:kern w:val="0"/>
          <w:sz w:val="32"/>
          <w:szCs w:val="32"/>
          <w:lang w:eastAsia="zh-CN" w:bidi="ar"/>
        </w:rPr>
        <w:t>万元，完成预算100%。</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kern w:val="0"/>
          <w:sz w:val="32"/>
          <w:szCs w:val="32"/>
          <w:lang w:val="en-US" w:eastAsia="zh-CN" w:bidi="ar"/>
        </w:rPr>
        <w:t>11．</w:t>
      </w:r>
      <w:r>
        <w:rPr>
          <w:rFonts w:hint="default" w:ascii="Times New Roman" w:hAnsi="Times New Roman" w:eastAsia="仿宋_GB2312" w:cs="Times New Roman"/>
          <w:b w:val="0"/>
          <w:bCs/>
          <w:kern w:val="0"/>
          <w:sz w:val="32"/>
          <w:szCs w:val="32"/>
          <w:lang w:eastAsia="zh-CN" w:bidi="ar"/>
        </w:rPr>
        <w:t>交通运输支出（类）公路水路运输（款）一般行政管理事务（项）：支出决算为</w:t>
      </w:r>
      <w:r>
        <w:rPr>
          <w:rFonts w:hint="default" w:ascii="Times New Roman" w:hAnsi="Times New Roman" w:eastAsia="仿宋_GB2312" w:cs="Times New Roman"/>
          <w:b w:val="0"/>
          <w:bCs/>
          <w:kern w:val="0"/>
          <w:sz w:val="32"/>
          <w:szCs w:val="32"/>
          <w:lang w:val="en-US" w:eastAsia="zh-CN" w:bidi="ar"/>
        </w:rPr>
        <w:t>84.77</w:t>
      </w:r>
      <w:r>
        <w:rPr>
          <w:rFonts w:hint="default" w:ascii="Times New Roman" w:hAnsi="Times New Roman" w:eastAsia="仿宋_GB2312" w:cs="Times New Roman"/>
          <w:b w:val="0"/>
          <w:bCs/>
          <w:kern w:val="0"/>
          <w:sz w:val="32"/>
          <w:szCs w:val="32"/>
          <w:lang w:eastAsia="zh-CN" w:bidi="ar"/>
        </w:rPr>
        <w:t>万元，完成预算100%。</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kern w:val="0"/>
          <w:sz w:val="32"/>
          <w:szCs w:val="32"/>
          <w:lang w:val="en-US" w:eastAsia="zh-CN" w:bidi="ar"/>
        </w:rPr>
        <w:t>12．</w:t>
      </w:r>
      <w:r>
        <w:rPr>
          <w:rFonts w:hint="default" w:ascii="Times New Roman" w:hAnsi="Times New Roman" w:eastAsia="仿宋_GB2312" w:cs="Times New Roman"/>
          <w:b w:val="0"/>
          <w:bCs/>
          <w:kern w:val="0"/>
          <w:sz w:val="32"/>
          <w:szCs w:val="32"/>
          <w:lang w:eastAsia="zh-CN" w:bidi="ar"/>
        </w:rPr>
        <w:t>交通运输支出（类）公路水路运输（款）公路建设（项）：支出决算为</w:t>
      </w:r>
      <w:r>
        <w:rPr>
          <w:rFonts w:hint="default" w:ascii="Times New Roman" w:hAnsi="Times New Roman" w:eastAsia="仿宋_GB2312" w:cs="Times New Roman"/>
          <w:b w:val="0"/>
          <w:bCs/>
          <w:kern w:val="0"/>
          <w:sz w:val="32"/>
          <w:szCs w:val="32"/>
          <w:lang w:val="en-US" w:eastAsia="zh-CN" w:bidi="ar"/>
        </w:rPr>
        <w:t>1223.76</w:t>
      </w:r>
      <w:r>
        <w:rPr>
          <w:rFonts w:hint="default" w:ascii="Times New Roman" w:hAnsi="Times New Roman" w:eastAsia="仿宋_GB2312" w:cs="Times New Roman"/>
          <w:b w:val="0"/>
          <w:bCs/>
          <w:kern w:val="0"/>
          <w:sz w:val="32"/>
          <w:szCs w:val="32"/>
          <w:lang w:eastAsia="zh-CN" w:bidi="ar"/>
        </w:rPr>
        <w:t>万元，完成预算的</w:t>
      </w:r>
      <w:r>
        <w:rPr>
          <w:rFonts w:hint="default" w:ascii="Times New Roman" w:hAnsi="Times New Roman" w:eastAsia="仿宋_GB2312" w:cs="Times New Roman"/>
          <w:b w:val="0"/>
          <w:bCs/>
          <w:kern w:val="0"/>
          <w:sz w:val="32"/>
          <w:szCs w:val="32"/>
          <w:lang w:val="en-US" w:eastAsia="zh-CN" w:bidi="ar"/>
        </w:rPr>
        <w:t>100</w:t>
      </w:r>
      <w:r>
        <w:rPr>
          <w:rFonts w:hint="default" w:ascii="Times New Roman" w:hAnsi="Times New Roman" w:eastAsia="仿宋_GB2312" w:cs="Times New Roman"/>
          <w:b w:val="0"/>
          <w:bCs/>
          <w:kern w:val="0"/>
          <w:sz w:val="32"/>
          <w:szCs w:val="32"/>
          <w:lang w:eastAsia="zh-CN" w:bidi="ar"/>
        </w:rPr>
        <w:t>%。</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kern w:val="0"/>
          <w:sz w:val="32"/>
          <w:szCs w:val="32"/>
          <w:lang w:eastAsia="zh-CN" w:bidi="ar"/>
        </w:rPr>
        <w:t>1</w:t>
      </w:r>
      <w:r>
        <w:rPr>
          <w:rFonts w:hint="default" w:ascii="Times New Roman" w:hAnsi="Times New Roman" w:eastAsia="仿宋_GB2312" w:cs="Times New Roman"/>
          <w:b w:val="0"/>
          <w:bCs/>
          <w:kern w:val="0"/>
          <w:sz w:val="32"/>
          <w:szCs w:val="32"/>
          <w:lang w:val="en-US" w:eastAsia="zh-CN" w:bidi="ar"/>
        </w:rPr>
        <w:t>3．</w:t>
      </w:r>
      <w:r>
        <w:rPr>
          <w:rFonts w:hint="default" w:ascii="Times New Roman" w:hAnsi="Times New Roman" w:eastAsia="仿宋_GB2312" w:cs="Times New Roman"/>
          <w:b w:val="0"/>
          <w:bCs/>
          <w:kern w:val="0"/>
          <w:sz w:val="32"/>
          <w:szCs w:val="32"/>
          <w:lang w:eastAsia="zh-CN" w:bidi="ar"/>
        </w:rPr>
        <w:t>交通运输支出（类）公路水路运输（款）公路养护（项）：支出决算为</w:t>
      </w:r>
      <w:r>
        <w:rPr>
          <w:rFonts w:hint="default" w:ascii="Times New Roman" w:hAnsi="Times New Roman" w:eastAsia="仿宋_GB2312" w:cs="Times New Roman"/>
          <w:b w:val="0"/>
          <w:bCs/>
          <w:kern w:val="0"/>
          <w:sz w:val="32"/>
          <w:szCs w:val="32"/>
          <w:lang w:val="en-US" w:eastAsia="zh-CN" w:bidi="ar"/>
        </w:rPr>
        <w:t>672.90</w:t>
      </w:r>
      <w:r>
        <w:rPr>
          <w:rFonts w:hint="default" w:ascii="Times New Roman" w:hAnsi="Times New Roman" w:eastAsia="仿宋_GB2312" w:cs="Times New Roman"/>
          <w:b w:val="0"/>
          <w:bCs/>
          <w:kern w:val="0"/>
          <w:sz w:val="32"/>
          <w:szCs w:val="32"/>
          <w:lang w:eastAsia="zh-CN" w:bidi="ar"/>
        </w:rPr>
        <w:t>万元，完成预算的</w:t>
      </w:r>
      <w:r>
        <w:rPr>
          <w:rFonts w:hint="default" w:ascii="Times New Roman" w:hAnsi="Times New Roman" w:eastAsia="仿宋_GB2312" w:cs="Times New Roman"/>
          <w:b w:val="0"/>
          <w:bCs/>
          <w:kern w:val="0"/>
          <w:sz w:val="32"/>
          <w:szCs w:val="32"/>
          <w:lang w:val="en-US" w:eastAsia="zh-CN" w:bidi="ar"/>
        </w:rPr>
        <w:t>100</w:t>
      </w:r>
      <w:r>
        <w:rPr>
          <w:rFonts w:hint="default" w:ascii="Times New Roman" w:hAnsi="Times New Roman" w:eastAsia="仿宋_GB2312" w:cs="Times New Roman"/>
          <w:b w:val="0"/>
          <w:bCs/>
          <w:kern w:val="0"/>
          <w:sz w:val="32"/>
          <w:szCs w:val="32"/>
          <w:lang w:eastAsia="zh-CN" w:bidi="ar"/>
        </w:rPr>
        <w:t>%。</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kern w:val="0"/>
          <w:sz w:val="32"/>
          <w:szCs w:val="32"/>
          <w:lang w:val="en-US" w:eastAsia="zh-CN" w:bidi="ar"/>
        </w:rPr>
        <w:t>14．</w:t>
      </w:r>
      <w:r>
        <w:rPr>
          <w:rFonts w:hint="default" w:ascii="Times New Roman" w:hAnsi="Times New Roman" w:eastAsia="仿宋_GB2312" w:cs="Times New Roman"/>
          <w:b w:val="0"/>
          <w:bCs/>
          <w:kern w:val="0"/>
          <w:sz w:val="32"/>
          <w:szCs w:val="32"/>
          <w:lang w:eastAsia="zh-CN" w:bidi="ar"/>
        </w:rPr>
        <w:t>交通运输支出（类）公路水路运输（款）公路运输管理（项）：支出决算为</w:t>
      </w:r>
      <w:r>
        <w:rPr>
          <w:rFonts w:hint="default" w:ascii="Times New Roman" w:hAnsi="Times New Roman" w:eastAsia="仿宋_GB2312" w:cs="Times New Roman"/>
          <w:b w:val="0"/>
          <w:bCs/>
          <w:kern w:val="0"/>
          <w:sz w:val="32"/>
          <w:szCs w:val="32"/>
          <w:lang w:val="en-US" w:eastAsia="zh-CN" w:bidi="ar"/>
        </w:rPr>
        <w:t>292.02</w:t>
      </w:r>
      <w:r>
        <w:rPr>
          <w:rFonts w:hint="default" w:ascii="Times New Roman" w:hAnsi="Times New Roman" w:eastAsia="仿宋_GB2312" w:cs="Times New Roman"/>
          <w:b w:val="0"/>
          <w:bCs/>
          <w:kern w:val="0"/>
          <w:sz w:val="32"/>
          <w:szCs w:val="32"/>
          <w:lang w:eastAsia="zh-CN" w:bidi="ar"/>
        </w:rPr>
        <w:t>万元，完成预算的</w:t>
      </w:r>
      <w:r>
        <w:rPr>
          <w:rFonts w:hint="default" w:ascii="Times New Roman" w:hAnsi="Times New Roman" w:eastAsia="仿宋_GB2312" w:cs="Times New Roman"/>
          <w:b w:val="0"/>
          <w:bCs/>
          <w:kern w:val="0"/>
          <w:sz w:val="32"/>
          <w:szCs w:val="32"/>
          <w:lang w:val="en-US" w:eastAsia="zh-CN" w:bidi="ar"/>
        </w:rPr>
        <w:t>100</w:t>
      </w:r>
      <w:r>
        <w:rPr>
          <w:rFonts w:hint="default" w:ascii="Times New Roman" w:hAnsi="Times New Roman" w:eastAsia="仿宋_GB2312" w:cs="Times New Roman"/>
          <w:b w:val="0"/>
          <w:bCs/>
          <w:kern w:val="0"/>
          <w:sz w:val="32"/>
          <w:szCs w:val="32"/>
          <w:lang w:eastAsia="zh-CN" w:bidi="ar"/>
        </w:rPr>
        <w:t>%。</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kern w:val="0"/>
          <w:sz w:val="32"/>
          <w:szCs w:val="32"/>
          <w:lang w:val="en-US" w:eastAsia="zh-CN" w:bidi="ar"/>
        </w:rPr>
        <w:t>15．</w:t>
      </w:r>
      <w:r>
        <w:rPr>
          <w:rFonts w:hint="default" w:ascii="Times New Roman" w:hAnsi="Times New Roman" w:eastAsia="仿宋_GB2312" w:cs="Times New Roman"/>
          <w:b w:val="0"/>
          <w:bCs/>
          <w:kern w:val="0"/>
          <w:sz w:val="32"/>
          <w:szCs w:val="32"/>
          <w:lang w:eastAsia="zh-CN" w:bidi="ar"/>
        </w:rPr>
        <w:t>交通运输支出（类）公路水路运输（款）水路运输管理支出（项）：支出决算为</w:t>
      </w:r>
      <w:r>
        <w:rPr>
          <w:rFonts w:hint="default" w:ascii="Times New Roman" w:hAnsi="Times New Roman" w:eastAsia="仿宋_GB2312" w:cs="Times New Roman"/>
          <w:b w:val="0"/>
          <w:bCs/>
          <w:kern w:val="0"/>
          <w:sz w:val="32"/>
          <w:szCs w:val="32"/>
          <w:lang w:val="en-US" w:eastAsia="zh-CN" w:bidi="ar"/>
        </w:rPr>
        <w:t>1</w:t>
      </w:r>
      <w:r>
        <w:rPr>
          <w:rFonts w:hint="default" w:ascii="Times New Roman" w:hAnsi="Times New Roman" w:eastAsia="仿宋_GB2312" w:cs="Times New Roman"/>
          <w:b w:val="0"/>
          <w:bCs/>
          <w:kern w:val="0"/>
          <w:sz w:val="32"/>
          <w:szCs w:val="32"/>
          <w:lang w:eastAsia="zh-CN" w:bidi="ar"/>
        </w:rPr>
        <w:t>万元，完成预算的</w:t>
      </w:r>
      <w:r>
        <w:rPr>
          <w:rFonts w:hint="default" w:ascii="Times New Roman" w:hAnsi="Times New Roman" w:eastAsia="仿宋_GB2312" w:cs="Times New Roman"/>
          <w:b w:val="0"/>
          <w:bCs/>
          <w:kern w:val="0"/>
          <w:sz w:val="32"/>
          <w:szCs w:val="32"/>
          <w:lang w:val="en-US" w:eastAsia="zh-CN" w:bidi="ar"/>
        </w:rPr>
        <w:t>100</w:t>
      </w:r>
      <w:r>
        <w:rPr>
          <w:rFonts w:hint="default" w:ascii="Times New Roman" w:hAnsi="Times New Roman" w:eastAsia="仿宋_GB2312" w:cs="Times New Roman"/>
          <w:b w:val="0"/>
          <w:bCs/>
          <w:kern w:val="0"/>
          <w:sz w:val="32"/>
          <w:szCs w:val="32"/>
          <w:lang w:eastAsia="zh-CN" w:bidi="ar"/>
        </w:rPr>
        <w:t>%。</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kern w:val="0"/>
          <w:sz w:val="32"/>
          <w:szCs w:val="32"/>
          <w:lang w:val="en-US" w:eastAsia="zh-CN" w:bidi="ar"/>
        </w:rPr>
        <w:t>16．</w:t>
      </w:r>
      <w:r>
        <w:rPr>
          <w:rFonts w:hint="default" w:ascii="Times New Roman" w:hAnsi="Times New Roman" w:eastAsia="仿宋_GB2312" w:cs="Times New Roman"/>
          <w:b w:val="0"/>
          <w:bCs/>
          <w:kern w:val="0"/>
          <w:sz w:val="32"/>
          <w:szCs w:val="32"/>
          <w:lang w:eastAsia="zh-CN" w:bidi="ar"/>
        </w:rPr>
        <w:t>交通运输支出（类）公路水路运输（款）其他公路水路运输支出（项）：支出决算为</w:t>
      </w:r>
      <w:r>
        <w:rPr>
          <w:rFonts w:hint="default" w:ascii="Times New Roman" w:hAnsi="Times New Roman" w:eastAsia="仿宋_GB2312" w:cs="Times New Roman"/>
          <w:b w:val="0"/>
          <w:bCs/>
          <w:kern w:val="0"/>
          <w:sz w:val="32"/>
          <w:szCs w:val="32"/>
          <w:lang w:val="en-US" w:eastAsia="zh-CN" w:bidi="ar"/>
        </w:rPr>
        <w:t>2357.83</w:t>
      </w:r>
      <w:r>
        <w:rPr>
          <w:rFonts w:hint="default" w:ascii="Times New Roman" w:hAnsi="Times New Roman" w:eastAsia="仿宋_GB2312" w:cs="Times New Roman"/>
          <w:b w:val="0"/>
          <w:bCs/>
          <w:kern w:val="0"/>
          <w:sz w:val="32"/>
          <w:szCs w:val="32"/>
          <w:lang w:eastAsia="zh-CN" w:bidi="ar"/>
        </w:rPr>
        <w:t>万元，完成预算的</w:t>
      </w:r>
      <w:r>
        <w:rPr>
          <w:rFonts w:hint="default" w:ascii="Times New Roman" w:hAnsi="Times New Roman" w:eastAsia="仿宋_GB2312" w:cs="Times New Roman"/>
          <w:b w:val="0"/>
          <w:bCs/>
          <w:kern w:val="0"/>
          <w:sz w:val="32"/>
          <w:szCs w:val="32"/>
          <w:lang w:val="en-US" w:eastAsia="zh-CN" w:bidi="ar"/>
        </w:rPr>
        <w:t>100</w:t>
      </w:r>
      <w:r>
        <w:rPr>
          <w:rFonts w:hint="default" w:ascii="Times New Roman" w:hAnsi="Times New Roman" w:eastAsia="仿宋_GB2312" w:cs="Times New Roman"/>
          <w:b w:val="0"/>
          <w:bCs/>
          <w:kern w:val="0"/>
          <w:sz w:val="32"/>
          <w:szCs w:val="32"/>
          <w:lang w:eastAsia="zh-CN" w:bidi="ar"/>
        </w:rPr>
        <w:t>%。</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kern w:val="0"/>
          <w:sz w:val="32"/>
          <w:szCs w:val="32"/>
          <w:lang w:eastAsia="zh-CN" w:bidi="ar"/>
        </w:rPr>
      </w:pPr>
      <w:r>
        <w:rPr>
          <w:rFonts w:hint="default" w:ascii="Times New Roman" w:hAnsi="Times New Roman" w:eastAsia="仿宋_GB2312" w:cs="Times New Roman"/>
          <w:b w:val="0"/>
          <w:bCs/>
          <w:kern w:val="0"/>
          <w:sz w:val="32"/>
          <w:szCs w:val="32"/>
          <w:lang w:val="en-US" w:eastAsia="zh-CN" w:bidi="ar"/>
        </w:rPr>
        <w:t>17．</w:t>
      </w:r>
      <w:r>
        <w:rPr>
          <w:rFonts w:hint="default" w:ascii="Times New Roman" w:hAnsi="Times New Roman" w:eastAsia="仿宋_GB2312" w:cs="Times New Roman"/>
          <w:b w:val="0"/>
          <w:bCs/>
          <w:kern w:val="0"/>
          <w:sz w:val="32"/>
          <w:szCs w:val="32"/>
          <w:lang w:eastAsia="zh-CN" w:bidi="ar"/>
        </w:rPr>
        <w:t>住房保障支出（类）住房改革支出（款）住房公积金（项）：支出决算为</w:t>
      </w:r>
      <w:r>
        <w:rPr>
          <w:rFonts w:hint="default" w:ascii="Times New Roman" w:hAnsi="Times New Roman" w:eastAsia="仿宋_GB2312" w:cs="Times New Roman"/>
          <w:b w:val="0"/>
          <w:bCs/>
          <w:kern w:val="0"/>
          <w:sz w:val="32"/>
          <w:szCs w:val="32"/>
          <w:lang w:val="en-US" w:eastAsia="zh-CN" w:bidi="ar"/>
        </w:rPr>
        <w:t>156.50</w:t>
      </w:r>
      <w:r>
        <w:rPr>
          <w:rFonts w:hint="default" w:ascii="Times New Roman" w:hAnsi="Times New Roman" w:eastAsia="仿宋_GB2312" w:cs="Times New Roman"/>
          <w:b w:val="0"/>
          <w:bCs/>
          <w:kern w:val="0"/>
          <w:sz w:val="32"/>
          <w:szCs w:val="32"/>
          <w:lang w:eastAsia="zh-CN" w:bidi="ar"/>
        </w:rPr>
        <w:t>万元，完成预算100%。</w:t>
      </w:r>
    </w:p>
    <w:p>
      <w:pPr>
        <w:pageBreakBefore w:val="0"/>
        <w:tabs>
          <w:tab w:val="right" w:pos="8306"/>
        </w:tabs>
        <w:wordWrap/>
        <w:topLinePunct w:val="0"/>
        <w:bidi w:val="0"/>
        <w:spacing w:line="560" w:lineRule="exact"/>
        <w:ind w:firstLine="640"/>
        <w:outlineLvl w:val="1"/>
        <w:rPr>
          <w:rStyle w:val="31"/>
          <w:rFonts w:hint="default" w:ascii="Times New Roman" w:hAnsi="Times New Roman" w:cs="Times New Roman"/>
          <w:color w:val="auto"/>
          <w:highlight w:val="none"/>
        </w:rPr>
      </w:pPr>
      <w:bookmarkStart w:id="51" w:name="_Toc15396608"/>
      <w:bookmarkStart w:id="52" w:name="_Toc9252"/>
      <w:bookmarkStart w:id="53" w:name="_Toc15377214"/>
      <w:r>
        <w:rPr>
          <w:rFonts w:hint="default" w:ascii="Times New Roman" w:hAnsi="Times New Roman" w:eastAsia="黑体" w:cs="Times New Roman"/>
          <w:color w:val="auto"/>
          <w:sz w:val="32"/>
          <w:szCs w:val="32"/>
          <w:highlight w:val="none"/>
        </w:rPr>
        <w:t>六</w:t>
      </w:r>
      <w:r>
        <w:rPr>
          <w:rFonts w:hint="default" w:ascii="Times New Roman" w:hAnsi="Times New Roman" w:eastAsia="黑体" w:cs="Times New Roman"/>
          <w:b/>
          <w:color w:val="auto"/>
          <w:sz w:val="32"/>
          <w:szCs w:val="32"/>
          <w:highlight w:val="none"/>
        </w:rPr>
        <w:t>、一</w:t>
      </w:r>
      <w:r>
        <w:rPr>
          <w:rStyle w:val="31"/>
          <w:rFonts w:hint="default" w:ascii="Times New Roman" w:hAnsi="Times New Roman" w:eastAsia="黑体" w:cs="Times New Roman"/>
          <w:b w:val="0"/>
          <w:color w:val="auto"/>
          <w:highlight w:val="none"/>
        </w:rPr>
        <w:t>般公共预算财政拨款基本支出决算情况说明</w:t>
      </w:r>
      <w:bookmarkEnd w:id="51"/>
      <w:bookmarkEnd w:id="52"/>
      <w:bookmarkEnd w:id="53"/>
      <w:r>
        <w:rPr>
          <w:rStyle w:val="31"/>
          <w:rFonts w:hint="default" w:ascii="Times New Roman" w:hAnsi="Times New Roman" w:eastAsia="黑体" w:cs="Times New Roman"/>
          <w:b w:val="0"/>
          <w:color w:val="auto"/>
          <w:highlight w:val="none"/>
        </w:rPr>
        <w:tab/>
      </w:r>
    </w:p>
    <w:p>
      <w:pPr>
        <w:pageBreakBefore w:val="0"/>
        <w:wordWrap/>
        <w:topLinePunct w:val="0"/>
        <w:bidi w:val="0"/>
        <w:spacing w:line="560" w:lineRule="exact"/>
        <w:ind w:firstLine="645"/>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年一般公共预算财政拨款基本支出</w:t>
      </w:r>
      <w:r>
        <w:rPr>
          <w:rFonts w:hint="default" w:ascii="Times New Roman" w:hAnsi="Times New Roman" w:eastAsia="仿宋" w:cs="Times New Roman"/>
          <w:color w:val="auto"/>
          <w:sz w:val="32"/>
          <w:szCs w:val="32"/>
          <w:highlight w:val="none"/>
          <w:lang w:val="en-US" w:eastAsia="zh-CN"/>
        </w:rPr>
        <w:t>2111.21</w:t>
      </w:r>
      <w:r>
        <w:rPr>
          <w:rFonts w:hint="default" w:ascii="Times New Roman" w:hAnsi="Times New Roman" w:eastAsia="仿宋" w:cs="Times New Roman"/>
          <w:color w:val="auto"/>
          <w:sz w:val="32"/>
          <w:szCs w:val="32"/>
          <w:highlight w:val="none"/>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人员经费</w:t>
      </w:r>
      <w:r>
        <w:rPr>
          <w:rFonts w:hint="default" w:ascii="Times New Roman" w:hAnsi="Times New Roman" w:eastAsia="仿宋_GB2312" w:cs="Times New Roman"/>
          <w:color w:val="auto"/>
          <w:sz w:val="32"/>
          <w:szCs w:val="32"/>
          <w:highlight w:val="none"/>
          <w:lang w:val="en-US" w:eastAsia="zh-CN"/>
        </w:rPr>
        <w:t>1942.44</w:t>
      </w:r>
      <w:r>
        <w:rPr>
          <w:rFonts w:hint="default" w:ascii="Times New Roman" w:hAnsi="Times New Roman" w:eastAsia="仿宋_GB2312" w:cs="Times New Roman"/>
          <w:color w:val="auto"/>
          <w:sz w:val="32"/>
          <w:szCs w:val="32"/>
          <w:highlight w:val="none"/>
        </w:rPr>
        <w:t>万元，主要包括：基本工资、津贴补贴、奖金、绩效工资、机关事业单位基本养老保险缴费、职业年金缴费、职工基本医疗保险缴费</w:t>
      </w:r>
      <w:r>
        <w:rPr>
          <w:rFonts w:hint="default" w:ascii="Times New Roman" w:hAnsi="Times New Roman" w:eastAsia="仿宋_GB2312" w:cs="Times New Roman"/>
          <w:color w:val="auto"/>
          <w:sz w:val="32"/>
          <w:szCs w:val="32"/>
          <w:highlight w:val="none"/>
          <w:lang w:eastAsia="zh-CN"/>
        </w:rPr>
        <w:t>、公务员医疗补助缴费、</w:t>
      </w:r>
      <w:r>
        <w:rPr>
          <w:rFonts w:hint="default" w:ascii="Times New Roman" w:hAnsi="Times New Roman" w:eastAsia="仿宋_GB2312" w:cs="Times New Roman"/>
          <w:color w:val="auto"/>
          <w:sz w:val="32"/>
          <w:szCs w:val="32"/>
          <w:highlight w:val="none"/>
        </w:rPr>
        <w:t>其他社会保障缴费、其他工资福利支出</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住房公积金、抚恤金</w:t>
      </w:r>
      <w:r>
        <w:rPr>
          <w:rFonts w:hint="default" w:ascii="Times New Roman" w:hAnsi="Times New Roman" w:eastAsia="仿宋_GB2312" w:cs="Times New Roman"/>
          <w:color w:val="auto"/>
          <w:sz w:val="32"/>
          <w:szCs w:val="32"/>
          <w:highlight w:val="none"/>
          <w:lang w:eastAsia="zh-CN"/>
        </w:rPr>
        <w:t>、生活补助、奖励金、其他对个人和家庭的补助支出等</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公用经费</w:t>
      </w:r>
      <w:r>
        <w:rPr>
          <w:rFonts w:hint="default" w:ascii="Times New Roman" w:hAnsi="Times New Roman" w:eastAsia="仿宋_GB2312" w:cs="Times New Roman"/>
          <w:color w:val="auto"/>
          <w:sz w:val="32"/>
          <w:szCs w:val="32"/>
          <w:highlight w:val="none"/>
          <w:lang w:val="en-US" w:eastAsia="zh-CN"/>
        </w:rPr>
        <w:t>168.76</w:t>
      </w:r>
      <w:r>
        <w:rPr>
          <w:rFonts w:hint="default" w:ascii="Times New Roman" w:hAnsi="Times New Roman" w:eastAsia="仿宋_GB2312" w:cs="Times New Roman"/>
          <w:color w:val="auto"/>
          <w:sz w:val="32"/>
          <w:szCs w:val="32"/>
          <w:highlight w:val="none"/>
        </w:rPr>
        <w:t>万元，主要包括：办公费、水费、电费、邮电费、物业管理费、差旅费、维修（护）费、公务接待费、工会经费、福利费、公务用车运行维护费、其他交通费、其他商品和服务支出、办公设备购置支出等</w:t>
      </w:r>
      <w:r>
        <w:rPr>
          <w:rFonts w:hint="default" w:ascii="Times New Roman" w:hAnsi="Times New Roman" w:eastAsia="仿宋_GB2312" w:cs="Times New Roman"/>
          <w:color w:val="auto"/>
          <w:sz w:val="32"/>
          <w:szCs w:val="32"/>
          <w:highlight w:val="none"/>
          <w:lang w:eastAsia="zh-CN"/>
        </w:rPr>
        <w:t>。</w:t>
      </w:r>
    </w:p>
    <w:p>
      <w:pPr>
        <w:pageBreakBefore w:val="0"/>
        <w:wordWrap/>
        <w:topLinePunct w:val="0"/>
        <w:bidi w:val="0"/>
        <w:spacing w:line="560" w:lineRule="exact"/>
        <w:ind w:firstLine="640"/>
        <w:outlineLvl w:val="1"/>
        <w:rPr>
          <w:rStyle w:val="31"/>
          <w:rFonts w:hint="default" w:ascii="Times New Roman" w:hAnsi="Times New Roman" w:eastAsia="黑体" w:cs="Times New Roman"/>
          <w:b w:val="0"/>
          <w:color w:val="auto"/>
          <w:highlight w:val="none"/>
        </w:rPr>
      </w:pPr>
      <w:bookmarkStart w:id="54" w:name="_Toc15396609"/>
      <w:bookmarkStart w:id="55" w:name="_Toc15377215"/>
      <w:bookmarkStart w:id="56" w:name="_Toc17163"/>
      <w:r>
        <w:rPr>
          <w:rFonts w:hint="default" w:ascii="Times New Roman" w:hAnsi="Times New Roman" w:eastAsia="黑体" w:cs="Times New Roman"/>
          <w:color w:val="auto"/>
          <w:sz w:val="32"/>
          <w:szCs w:val="32"/>
          <w:highlight w:val="none"/>
        </w:rPr>
        <w:t>七、</w:t>
      </w:r>
      <w:r>
        <w:rPr>
          <w:rStyle w:val="31"/>
          <w:rFonts w:hint="default" w:ascii="Times New Roman" w:hAnsi="Times New Roman" w:eastAsia="黑体" w:cs="Times New Roman"/>
          <w:b w:val="0"/>
          <w:color w:val="auto"/>
          <w:highlight w:val="none"/>
        </w:rPr>
        <w:t>财政拨款</w:t>
      </w:r>
      <w:r>
        <w:rPr>
          <w:rStyle w:val="31"/>
          <w:rFonts w:hint="default" w:ascii="Times New Roman" w:hAnsi="Times New Roman" w:eastAsia="黑体" w:cs="Times New Roman"/>
          <w:color w:val="auto"/>
          <w:highlight w:val="none"/>
        </w:rPr>
        <w:t>“</w:t>
      </w:r>
      <w:r>
        <w:rPr>
          <w:rStyle w:val="31"/>
          <w:rFonts w:hint="default" w:ascii="Times New Roman" w:hAnsi="Times New Roman" w:eastAsia="黑体" w:cs="Times New Roman"/>
          <w:b w:val="0"/>
          <w:color w:val="auto"/>
          <w:highlight w:val="none"/>
        </w:rPr>
        <w:t>三公”经费支出决算情况说明</w:t>
      </w:r>
      <w:bookmarkEnd w:id="54"/>
      <w:bookmarkEnd w:id="55"/>
      <w:bookmarkEnd w:id="56"/>
    </w:p>
    <w:p>
      <w:pPr>
        <w:pageBreakBefore w:val="0"/>
        <w:wordWrap/>
        <w:topLinePunct w:val="0"/>
        <w:bidi w:val="0"/>
        <w:spacing w:line="560" w:lineRule="exact"/>
        <w:ind w:firstLine="643" w:firstLineChars="200"/>
        <w:outlineLvl w:val="2"/>
        <w:rPr>
          <w:rFonts w:hint="default" w:ascii="Times New Roman" w:hAnsi="Times New Roman" w:eastAsia="楷体" w:cs="Times New Roman"/>
          <w:b/>
          <w:color w:val="auto"/>
          <w:sz w:val="32"/>
          <w:szCs w:val="32"/>
          <w:highlight w:val="none"/>
        </w:rPr>
      </w:pPr>
      <w:bookmarkStart w:id="57" w:name="_Toc15377216"/>
      <w:r>
        <w:rPr>
          <w:rFonts w:hint="default" w:ascii="Times New Roman" w:hAnsi="Times New Roman" w:eastAsia="楷体" w:cs="Times New Roman"/>
          <w:b/>
          <w:color w:val="auto"/>
          <w:sz w:val="32"/>
          <w:szCs w:val="32"/>
          <w:highlight w:val="none"/>
        </w:rPr>
        <w:t>（一）“三公”经费财政拨款支出决算总体情况说明</w:t>
      </w:r>
      <w:bookmarkEnd w:id="57"/>
    </w:p>
    <w:p>
      <w:pPr>
        <w:pageBreakBefore w:val="0"/>
        <w:wordWrap/>
        <w:topLinePunct w:val="0"/>
        <w:bidi w:val="0"/>
        <w:spacing w:line="56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年“三公”经费财政拨款支出决算为</w:t>
      </w:r>
      <w:r>
        <w:rPr>
          <w:rFonts w:hint="default" w:ascii="Times New Roman" w:hAnsi="Times New Roman" w:eastAsia="仿宋_GB2312" w:cs="Times New Roman"/>
          <w:color w:val="auto"/>
          <w:sz w:val="32"/>
          <w:szCs w:val="32"/>
          <w:highlight w:val="none"/>
          <w:lang w:val="en-US" w:eastAsia="zh-CN"/>
        </w:rPr>
        <w:t>11.81</w:t>
      </w:r>
      <w:r>
        <w:rPr>
          <w:rFonts w:hint="default" w:ascii="Times New Roman" w:hAnsi="Times New Roman" w:eastAsia="仿宋_GB2312" w:cs="Times New Roman"/>
          <w:color w:val="auto"/>
          <w:sz w:val="32"/>
          <w:szCs w:val="32"/>
          <w:highlight w:val="none"/>
        </w:rPr>
        <w:t>万元，完成预算</w:t>
      </w:r>
      <w:r>
        <w:rPr>
          <w:rFonts w:hint="default" w:ascii="Times New Roman" w:hAnsi="Times New Roman" w:eastAsia="仿宋_GB2312" w:cs="Times New Roman"/>
          <w:color w:val="auto"/>
          <w:sz w:val="32"/>
          <w:szCs w:val="32"/>
          <w:highlight w:val="none"/>
          <w:lang w:val="en-US" w:eastAsia="zh-CN"/>
        </w:rPr>
        <w:t>100</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较上年</w:t>
      </w:r>
      <w:r>
        <w:rPr>
          <w:rFonts w:hint="default" w:ascii="Times New Roman" w:hAnsi="Times New Roman" w:eastAsia="仿宋_GB2312" w:cs="Times New Roman"/>
          <w:color w:val="auto"/>
          <w:sz w:val="32"/>
          <w:szCs w:val="32"/>
          <w:highlight w:val="none"/>
          <w:lang w:val="en-US" w:eastAsia="zh-CN"/>
        </w:rPr>
        <w:t>9.58万</w:t>
      </w:r>
      <w:r>
        <w:rPr>
          <w:rFonts w:hint="default" w:ascii="Times New Roman" w:hAnsi="Times New Roman" w:eastAsia="仿宋_GB2312" w:cs="Times New Roman"/>
          <w:color w:val="auto"/>
          <w:sz w:val="32"/>
          <w:szCs w:val="32"/>
          <w:highlight w:val="none"/>
          <w:lang w:eastAsia="zh-CN"/>
        </w:rPr>
        <w:t>增加</w:t>
      </w:r>
      <w:r>
        <w:rPr>
          <w:rFonts w:hint="default" w:ascii="Times New Roman" w:hAnsi="Times New Roman" w:eastAsia="仿宋_GB2312" w:cs="Times New Roman"/>
          <w:color w:val="auto"/>
          <w:sz w:val="32"/>
          <w:szCs w:val="32"/>
          <w:highlight w:val="none"/>
          <w:lang w:val="en-US" w:eastAsia="zh-CN"/>
        </w:rPr>
        <w:t>2.23万元，增长23.28%。</w:t>
      </w:r>
      <w:r>
        <w:rPr>
          <w:rFonts w:hint="default" w:ascii="Times New Roman" w:hAnsi="Times New Roman" w:eastAsia="仿宋_GB2312" w:cs="Times New Roman"/>
          <w:color w:val="auto"/>
          <w:sz w:val="32"/>
          <w:szCs w:val="32"/>
          <w:highlight w:val="none"/>
        </w:rPr>
        <w:t>决算数与预算数持平的主要原因是</w:t>
      </w:r>
      <w:r>
        <w:rPr>
          <w:rFonts w:hint="default" w:ascii="Times New Roman" w:hAnsi="Times New Roman" w:eastAsia="仿宋_GB2312" w:cs="Times New Roman"/>
          <w:b w:val="0"/>
          <w:bCs w:val="0"/>
          <w:kern w:val="0"/>
          <w:sz w:val="32"/>
          <w:szCs w:val="32"/>
          <w:lang w:eastAsia="zh-CN" w:bidi="ar"/>
        </w:rPr>
        <w:t>严格按照《沐川县贯彻〈党政机关厉行节约反对浪费条例〉实施细则》（沐委办发〔2014〕10号）精神要求，厉行节约，反对浪费。</w:t>
      </w:r>
    </w:p>
    <w:p>
      <w:pPr>
        <w:pageBreakBefore w:val="0"/>
        <w:wordWrap/>
        <w:topLinePunct w:val="0"/>
        <w:bidi w:val="0"/>
        <w:spacing w:line="560" w:lineRule="exact"/>
        <w:ind w:firstLine="643" w:firstLineChars="200"/>
        <w:outlineLvl w:val="2"/>
        <w:rPr>
          <w:rFonts w:hint="default" w:ascii="Times New Roman" w:hAnsi="Times New Roman" w:eastAsia="楷体" w:cs="Times New Roman"/>
          <w:b/>
          <w:color w:val="auto"/>
          <w:sz w:val="32"/>
          <w:szCs w:val="32"/>
          <w:highlight w:val="none"/>
        </w:rPr>
      </w:pPr>
      <w:bookmarkStart w:id="58" w:name="_Toc15377217"/>
      <w:r>
        <w:rPr>
          <w:rFonts w:hint="default" w:ascii="Times New Roman" w:hAnsi="Times New Roman" w:eastAsia="楷体" w:cs="Times New Roman"/>
          <w:b/>
          <w:color w:val="auto"/>
          <w:sz w:val="32"/>
          <w:szCs w:val="32"/>
          <w:highlight w:val="none"/>
        </w:rPr>
        <w:t>（二）“三公”经费财政拨款支出决算具体情况说明</w:t>
      </w:r>
      <w:bookmarkEnd w:id="58"/>
    </w:p>
    <w:p>
      <w:pPr>
        <w:pageBreakBefore w:val="0"/>
        <w:wordWrap/>
        <w:topLinePunct w:val="0"/>
        <w:bidi w:val="0"/>
        <w:spacing w:line="560" w:lineRule="exact"/>
        <w:ind w:firstLine="640"/>
        <w:rPr>
          <w:rFonts w:hint="default" w:ascii="Times New Roman" w:hAnsi="Times New Roman" w:eastAsia="仿宋_GB2312" w:cs="Times New Roman"/>
          <w:color w:val="000000"/>
          <w:kern w:val="2"/>
          <w:sz w:val="32"/>
          <w:szCs w:val="24"/>
          <w:lang w:val="zh-CN"/>
        </w:rPr>
      </w:pPr>
      <w:r>
        <w:rPr>
          <w:rFonts w:hint="default" w:ascii="Times New Roman" w:hAnsi="Times New Roman" w:eastAsia="仿宋_GB2312" w:cs="Times New Roman"/>
          <w:color w:val="000000"/>
          <w:kern w:val="2"/>
          <w:sz w:val="32"/>
          <w:szCs w:val="24"/>
          <w:lang w:val="zh-CN"/>
        </w:rPr>
        <w:t>2022年“三公”经费财政拨款支出决算中，因公出国（境）费支出决算0万元，占0%；公务用车购置及运行维护费支出决算6.92万元，占58.6%；公务接待费支出决算4.89万元，占41.4%。具体情况如下：</w:t>
      </w:r>
    </w:p>
    <w:p>
      <w:pPr>
        <w:pageBreakBefore w:val="0"/>
        <w:wordWrap/>
        <w:topLinePunct w:val="0"/>
        <w:bidi w:val="0"/>
        <w:spacing w:line="56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（图7：“三公”经费财政拨款支出结构）（饼状图）</w:t>
      </w:r>
    </w:p>
    <w:p>
      <w:pPr>
        <w:pageBreakBefore w:val="0"/>
        <w:wordWrap/>
        <w:topLinePunct w:val="0"/>
        <w:bidi w:val="0"/>
        <w:spacing w:line="560" w:lineRule="exact"/>
        <w:ind w:firstLine="64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000000"/>
          <w:sz w:val="32"/>
          <w:szCs w:val="32"/>
        </w:rPr>
        <w:drawing>
          <wp:anchor distT="0" distB="0" distL="114300" distR="114300" simplePos="0" relativeHeight="251665408" behindDoc="1" locked="0" layoutInCell="1" allowOverlap="1">
            <wp:simplePos x="0" y="0"/>
            <wp:positionH relativeFrom="column">
              <wp:posOffset>868680</wp:posOffset>
            </wp:positionH>
            <wp:positionV relativeFrom="paragraph">
              <wp:posOffset>238760</wp:posOffset>
            </wp:positionV>
            <wp:extent cx="3197225" cy="1897380"/>
            <wp:effectExtent l="4445" t="4445" r="17780" b="22225"/>
            <wp:wrapTight wrapText="bothSides">
              <wp:wrapPolygon>
                <wp:start x="-30" y="-51"/>
                <wp:lineTo x="-30" y="21419"/>
                <wp:lineTo x="21463" y="21419"/>
                <wp:lineTo x="21463" y="-51"/>
                <wp:lineTo x="-30" y="-51"/>
              </wp:wrapPolygon>
            </wp:wrapTight>
            <wp:docPr id="2"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pageBreakBefore w:val="0"/>
        <w:wordWrap/>
        <w:topLinePunct w:val="0"/>
        <w:bidi w:val="0"/>
        <w:spacing w:line="560" w:lineRule="exact"/>
        <w:ind w:firstLine="64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rPr>
          <w:rFonts w:hint="default" w:ascii="Times New Roman" w:hAnsi="Times New Roman" w:eastAsia="仿宋" w:cs="Times New Roman"/>
          <w:color w:val="auto"/>
          <w:sz w:val="32"/>
          <w:szCs w:val="32"/>
          <w:highlight w:val="none"/>
        </w:rPr>
      </w:pPr>
    </w:p>
    <w:p>
      <w:pPr>
        <w:pageBreakBefore w:val="0"/>
        <w:wordWrap/>
        <w:topLinePunct w:val="0"/>
        <w:bidi w:val="0"/>
        <w:spacing w:line="560" w:lineRule="exact"/>
        <w:ind w:firstLine="640"/>
        <w:rPr>
          <w:rFonts w:hint="default" w:ascii="Times New Roman" w:hAnsi="Times New Roman" w:eastAsia="仿宋" w:cs="Times New Roman"/>
          <w:color w:val="auto"/>
          <w:sz w:val="32"/>
          <w:szCs w:val="32"/>
          <w:highlight w:val="none"/>
        </w:rPr>
      </w:pP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color w:val="auto"/>
          <w:sz w:val="32"/>
          <w:szCs w:val="32"/>
          <w:highlight w:val="none"/>
        </w:rPr>
        <w:t>1</w:t>
      </w:r>
      <w:r>
        <w:rPr>
          <w:rFonts w:hint="default" w:ascii="Times New Roman" w:hAnsi="Times New Roman" w:eastAsia="仿宋_GB2312" w:cs="Times New Roman"/>
          <w:b w:val="0"/>
          <w:bCs/>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rPr>
        <w:t>因公出国（境）经费支出</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万元，</w:t>
      </w:r>
      <w:r>
        <w:rPr>
          <w:rStyle w:val="18"/>
          <w:rFonts w:hint="default" w:ascii="Times New Roman" w:hAnsi="Times New Roman" w:eastAsia="仿宋_GB2312" w:cs="Times New Roman"/>
          <w:b w:val="0"/>
          <w:bCs/>
          <w:color w:val="auto"/>
          <w:sz w:val="32"/>
          <w:szCs w:val="32"/>
          <w:highlight w:val="none"/>
        </w:rPr>
        <w:t>完成预算</w:t>
      </w:r>
      <w:r>
        <w:rPr>
          <w:rStyle w:val="18"/>
          <w:rFonts w:hint="default" w:ascii="Times New Roman" w:hAnsi="Times New Roman" w:eastAsia="仿宋_GB2312" w:cs="Times New Roman"/>
          <w:b w:val="0"/>
          <w:bCs/>
          <w:color w:val="auto"/>
          <w:sz w:val="32"/>
          <w:szCs w:val="32"/>
          <w:highlight w:val="none"/>
          <w:lang w:val="en-US" w:eastAsia="zh-CN"/>
        </w:rPr>
        <w:t>0</w:t>
      </w:r>
      <w:r>
        <w:rPr>
          <w:rStyle w:val="18"/>
          <w:rFonts w:hint="default" w:ascii="Times New Roman" w:hAnsi="Times New Roman" w:eastAsia="仿宋_GB2312" w:cs="Times New Roman"/>
          <w:b w:val="0"/>
          <w:bCs/>
          <w:color w:val="auto"/>
          <w:sz w:val="32"/>
          <w:szCs w:val="32"/>
          <w:highlight w:val="none"/>
        </w:rPr>
        <w:t>%。</w:t>
      </w:r>
      <w:r>
        <w:rPr>
          <w:rFonts w:hint="default" w:ascii="Times New Roman" w:hAnsi="Times New Roman" w:eastAsia="仿宋_GB2312" w:cs="Times New Roman"/>
          <w:b w:val="0"/>
          <w:bCs/>
          <w:color w:val="auto"/>
          <w:sz w:val="32"/>
          <w:szCs w:val="32"/>
          <w:highlight w:val="none"/>
        </w:rPr>
        <w:t>全年安排因公出国（境）团组</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次，出国（境）</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人。</w:t>
      </w:r>
      <w:r>
        <w:rPr>
          <w:rFonts w:hint="default" w:ascii="Times New Roman" w:hAnsi="Times New Roman" w:eastAsia="仿宋_GB2312" w:cs="Times New Roman"/>
          <w:b w:val="0"/>
          <w:bCs/>
          <w:kern w:val="0"/>
          <w:sz w:val="32"/>
          <w:szCs w:val="32"/>
          <w:lang w:eastAsia="zh-CN" w:bidi="ar"/>
        </w:rPr>
        <w:t>因公出国（境）支出决算比20</w:t>
      </w:r>
      <w:r>
        <w:rPr>
          <w:rFonts w:hint="default" w:ascii="Times New Roman" w:hAnsi="Times New Roman" w:eastAsia="仿宋_GB2312" w:cs="Times New Roman"/>
          <w:b w:val="0"/>
          <w:bCs/>
          <w:kern w:val="0"/>
          <w:sz w:val="32"/>
          <w:szCs w:val="32"/>
          <w:lang w:val="en-US" w:eastAsia="zh-CN" w:bidi="ar"/>
        </w:rPr>
        <w:t>21</w:t>
      </w:r>
      <w:r>
        <w:rPr>
          <w:rFonts w:hint="default" w:ascii="Times New Roman" w:hAnsi="Times New Roman" w:eastAsia="仿宋_GB2312" w:cs="Times New Roman"/>
          <w:b w:val="0"/>
          <w:bCs/>
          <w:kern w:val="0"/>
          <w:sz w:val="32"/>
          <w:szCs w:val="32"/>
          <w:lang w:eastAsia="zh-CN" w:bidi="ar"/>
        </w:rPr>
        <w:t>年持平。</w:t>
      </w:r>
    </w:p>
    <w:p>
      <w:pPr>
        <w:pageBreakBefore w:val="0"/>
        <w:wordWrap/>
        <w:topLinePunct w:val="0"/>
        <w:bidi w:val="0"/>
        <w:spacing w:line="560" w:lineRule="exact"/>
        <w:ind w:firstLine="640"/>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2</w:t>
      </w:r>
      <w:r>
        <w:rPr>
          <w:rFonts w:hint="default" w:ascii="Times New Roman" w:hAnsi="Times New Roman" w:eastAsia="仿宋_GB2312" w:cs="Times New Roman"/>
          <w:b w:val="0"/>
          <w:bCs/>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rPr>
        <w:t>公务用车购置及运行维护费支出</w:t>
      </w:r>
      <w:r>
        <w:rPr>
          <w:rFonts w:hint="default" w:ascii="Times New Roman" w:hAnsi="Times New Roman" w:eastAsia="仿宋_GB2312" w:cs="Times New Roman"/>
          <w:b w:val="0"/>
          <w:bCs/>
          <w:color w:val="auto"/>
          <w:sz w:val="32"/>
          <w:szCs w:val="32"/>
          <w:highlight w:val="none"/>
          <w:lang w:val="en-US" w:eastAsia="zh-CN"/>
        </w:rPr>
        <w:t>6.92</w:t>
      </w:r>
      <w:r>
        <w:rPr>
          <w:rFonts w:hint="default" w:ascii="Times New Roman" w:hAnsi="Times New Roman" w:eastAsia="仿宋_GB2312" w:cs="Times New Roman"/>
          <w:b w:val="0"/>
          <w:bCs/>
          <w:color w:val="auto"/>
          <w:sz w:val="32"/>
          <w:szCs w:val="32"/>
          <w:highlight w:val="none"/>
        </w:rPr>
        <w:t>万元,</w:t>
      </w:r>
      <w:r>
        <w:rPr>
          <w:rStyle w:val="18"/>
          <w:rFonts w:hint="default" w:ascii="Times New Roman" w:hAnsi="Times New Roman" w:eastAsia="仿宋_GB2312" w:cs="Times New Roman"/>
          <w:b w:val="0"/>
          <w:bCs/>
          <w:color w:val="auto"/>
          <w:sz w:val="32"/>
          <w:szCs w:val="32"/>
          <w:highlight w:val="none"/>
        </w:rPr>
        <w:t>完成预算</w:t>
      </w:r>
      <w:r>
        <w:rPr>
          <w:rStyle w:val="18"/>
          <w:rFonts w:hint="default" w:ascii="Times New Roman" w:hAnsi="Times New Roman" w:eastAsia="仿宋_GB2312" w:cs="Times New Roman"/>
          <w:b w:val="0"/>
          <w:bCs/>
          <w:color w:val="auto"/>
          <w:sz w:val="32"/>
          <w:szCs w:val="32"/>
          <w:highlight w:val="none"/>
          <w:lang w:val="en-US" w:eastAsia="zh-CN"/>
        </w:rPr>
        <w:t>100</w:t>
      </w:r>
      <w:r>
        <w:rPr>
          <w:rStyle w:val="18"/>
          <w:rFonts w:hint="default" w:ascii="Times New Roman" w:hAnsi="Times New Roman" w:eastAsia="仿宋_GB2312" w:cs="Times New Roman"/>
          <w:b w:val="0"/>
          <w:bCs/>
          <w:color w:val="auto"/>
          <w:sz w:val="32"/>
          <w:szCs w:val="32"/>
          <w:highlight w:val="none"/>
        </w:rPr>
        <w:t>%。</w:t>
      </w:r>
      <w:r>
        <w:rPr>
          <w:rFonts w:hint="default" w:ascii="Times New Roman" w:hAnsi="Times New Roman" w:eastAsia="仿宋_GB2312" w:cs="Times New Roman"/>
          <w:b w:val="0"/>
          <w:bCs/>
          <w:color w:val="auto"/>
          <w:sz w:val="32"/>
          <w:szCs w:val="32"/>
          <w:highlight w:val="none"/>
        </w:rPr>
        <w:t>公务用车购置及运行维护费支出决算比20</w:t>
      </w:r>
      <w:r>
        <w:rPr>
          <w:rFonts w:hint="default" w:ascii="Times New Roman" w:hAnsi="Times New Roman" w:eastAsia="仿宋_GB2312" w:cs="Times New Roman"/>
          <w:b w:val="0"/>
          <w:bCs/>
          <w:color w:val="auto"/>
          <w:sz w:val="32"/>
          <w:szCs w:val="32"/>
          <w:highlight w:val="none"/>
          <w:lang w:val="en-US" w:eastAsia="zh-CN"/>
        </w:rPr>
        <w:t>21</w:t>
      </w:r>
      <w:r>
        <w:rPr>
          <w:rFonts w:hint="default" w:ascii="Times New Roman" w:hAnsi="Times New Roman" w:eastAsia="仿宋_GB2312" w:cs="Times New Roman"/>
          <w:b w:val="0"/>
          <w:bCs/>
          <w:color w:val="auto"/>
          <w:sz w:val="32"/>
          <w:szCs w:val="32"/>
          <w:highlight w:val="none"/>
        </w:rPr>
        <w:t>年</w:t>
      </w:r>
      <w:r>
        <w:rPr>
          <w:rFonts w:hint="default" w:ascii="Times New Roman" w:hAnsi="Times New Roman" w:eastAsia="仿宋_GB2312" w:cs="Times New Roman"/>
          <w:b w:val="0"/>
          <w:bCs/>
          <w:color w:val="auto"/>
          <w:sz w:val="32"/>
          <w:szCs w:val="32"/>
          <w:highlight w:val="none"/>
          <w:lang w:val="en-US" w:eastAsia="zh-CN"/>
        </w:rPr>
        <w:t>5.38</w:t>
      </w:r>
      <w:r>
        <w:rPr>
          <w:rFonts w:hint="default" w:ascii="Times New Roman" w:hAnsi="Times New Roman" w:eastAsia="仿宋_GB2312" w:cs="Times New Roman"/>
          <w:b w:val="0"/>
          <w:bCs/>
          <w:color w:val="auto"/>
          <w:sz w:val="32"/>
          <w:szCs w:val="32"/>
          <w:highlight w:val="none"/>
        </w:rPr>
        <w:t>增加</w:t>
      </w:r>
      <w:r>
        <w:rPr>
          <w:rFonts w:hint="default" w:ascii="Times New Roman" w:hAnsi="Times New Roman" w:eastAsia="仿宋_GB2312" w:cs="Times New Roman"/>
          <w:b w:val="0"/>
          <w:bCs/>
          <w:color w:val="auto"/>
          <w:sz w:val="32"/>
          <w:szCs w:val="32"/>
          <w:highlight w:val="none"/>
          <w:lang w:val="en-US" w:eastAsia="zh-CN"/>
        </w:rPr>
        <w:t>1.54</w:t>
      </w:r>
      <w:r>
        <w:rPr>
          <w:rFonts w:hint="default" w:ascii="Times New Roman" w:hAnsi="Times New Roman" w:eastAsia="仿宋_GB2312" w:cs="Times New Roman"/>
          <w:b w:val="0"/>
          <w:bCs/>
          <w:color w:val="auto"/>
          <w:sz w:val="32"/>
          <w:szCs w:val="32"/>
          <w:highlight w:val="none"/>
        </w:rPr>
        <w:t>万元，增长</w:t>
      </w:r>
      <w:r>
        <w:rPr>
          <w:rFonts w:hint="default" w:ascii="Times New Roman" w:hAnsi="Times New Roman" w:eastAsia="仿宋_GB2312" w:cs="Times New Roman"/>
          <w:b w:val="0"/>
          <w:bCs/>
          <w:color w:val="auto"/>
          <w:sz w:val="32"/>
          <w:szCs w:val="32"/>
          <w:highlight w:val="none"/>
          <w:lang w:val="en-US" w:eastAsia="zh-CN"/>
        </w:rPr>
        <w:t>28.62</w:t>
      </w:r>
      <w:r>
        <w:rPr>
          <w:rFonts w:hint="default" w:ascii="Times New Roman" w:hAnsi="Times New Roman" w:eastAsia="仿宋_GB2312" w:cs="Times New Roman"/>
          <w:b w:val="0"/>
          <w:bCs/>
          <w:color w:val="auto"/>
          <w:sz w:val="32"/>
          <w:szCs w:val="32"/>
          <w:highlight w:val="none"/>
        </w:rPr>
        <w:t>%。主要原因是</w:t>
      </w:r>
      <w:r>
        <w:rPr>
          <w:rFonts w:hint="default" w:ascii="Times New Roman" w:hAnsi="Times New Roman" w:eastAsia="仿宋_GB2312" w:cs="Times New Roman"/>
          <w:b w:val="0"/>
          <w:bCs/>
          <w:color w:val="000000"/>
          <w:sz w:val="32"/>
          <w:szCs w:val="32"/>
        </w:rPr>
        <w:t>本年统计数增加了仁沐新高速沐川段建设协调指挥部发生费用。</w:t>
      </w:r>
    </w:p>
    <w:p>
      <w:pPr>
        <w:pageBreakBefore w:val="0"/>
        <w:wordWrap/>
        <w:topLinePunct w:val="0"/>
        <w:bidi w:val="0"/>
        <w:spacing w:line="560" w:lineRule="exact"/>
        <w:ind w:firstLine="640" w:firstLineChars="200"/>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其中：公务用车购置支出</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万元。全年按规定更新购置公务用车</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辆，其中：轿车</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辆、金额</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万元，越野车</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辆、金额</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万元，载客汽车</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辆、金额</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万元。截至20</w:t>
      </w:r>
      <w:r>
        <w:rPr>
          <w:rFonts w:hint="default" w:ascii="Times New Roman" w:hAnsi="Times New Roman" w:eastAsia="仿宋_GB2312" w:cs="Times New Roman"/>
          <w:b w:val="0"/>
          <w:bCs/>
          <w:color w:val="auto"/>
          <w:sz w:val="32"/>
          <w:szCs w:val="32"/>
          <w:highlight w:val="none"/>
          <w:lang w:val="en-US" w:eastAsia="zh-CN"/>
        </w:rPr>
        <w:t>22</w:t>
      </w:r>
      <w:r>
        <w:rPr>
          <w:rFonts w:hint="default" w:ascii="Times New Roman" w:hAnsi="Times New Roman" w:eastAsia="仿宋_GB2312" w:cs="Times New Roman"/>
          <w:b w:val="0"/>
          <w:bCs/>
          <w:color w:val="auto"/>
          <w:sz w:val="32"/>
          <w:szCs w:val="32"/>
          <w:highlight w:val="none"/>
        </w:rPr>
        <w:t>年12月底，单位共有公务用车</w:t>
      </w:r>
      <w:r>
        <w:rPr>
          <w:rFonts w:hint="default" w:ascii="Times New Roman" w:hAnsi="Times New Roman" w:eastAsia="仿宋_GB2312" w:cs="Times New Roman"/>
          <w:b w:val="0"/>
          <w:bCs/>
          <w:color w:val="000000"/>
          <w:sz w:val="32"/>
          <w:szCs w:val="32"/>
          <w:lang w:eastAsia="zh-CN"/>
        </w:rPr>
        <w:t>保有量</w:t>
      </w:r>
      <w:r>
        <w:rPr>
          <w:rFonts w:hint="default" w:ascii="Times New Roman" w:hAnsi="Times New Roman" w:eastAsia="仿宋_GB2312" w:cs="Times New Roman"/>
          <w:b w:val="0"/>
          <w:bCs/>
          <w:color w:val="000000"/>
          <w:sz w:val="32"/>
          <w:szCs w:val="32"/>
          <w:lang w:val="en-US" w:eastAsia="zh-CN"/>
        </w:rPr>
        <w:t>14</w:t>
      </w:r>
      <w:r>
        <w:rPr>
          <w:rFonts w:hint="default" w:ascii="Times New Roman" w:hAnsi="Times New Roman" w:eastAsia="仿宋_GB2312" w:cs="Times New Roman"/>
          <w:b w:val="0"/>
          <w:bCs/>
          <w:color w:val="000000"/>
          <w:sz w:val="32"/>
          <w:szCs w:val="32"/>
        </w:rPr>
        <w:t>辆（</w:t>
      </w:r>
      <w:r>
        <w:rPr>
          <w:rFonts w:hint="default" w:ascii="Times New Roman" w:hAnsi="Times New Roman" w:eastAsia="仿宋_GB2312" w:cs="Times New Roman"/>
          <w:b w:val="0"/>
          <w:bCs/>
          <w:color w:val="000000"/>
          <w:sz w:val="32"/>
          <w:szCs w:val="32"/>
          <w:lang w:eastAsia="zh-CN"/>
        </w:rPr>
        <w:t>其中资产内车辆</w:t>
      </w:r>
      <w:r>
        <w:rPr>
          <w:rFonts w:hint="default" w:ascii="Times New Roman" w:hAnsi="Times New Roman" w:eastAsia="仿宋_GB2312" w:cs="Times New Roman"/>
          <w:b w:val="0"/>
          <w:bCs/>
          <w:color w:val="000000"/>
          <w:sz w:val="32"/>
          <w:szCs w:val="32"/>
          <w:lang w:val="en-US" w:eastAsia="zh-CN"/>
        </w:rPr>
        <w:t>5辆</w:t>
      </w:r>
      <w:r>
        <w:rPr>
          <w:rFonts w:hint="default" w:ascii="Times New Roman" w:hAnsi="Times New Roman" w:eastAsia="仿宋_GB2312" w:cs="Times New Roman"/>
          <w:b w:val="0"/>
          <w:bCs/>
          <w:color w:val="000000"/>
          <w:sz w:val="32"/>
          <w:szCs w:val="32"/>
        </w:rPr>
        <w:t>）</w:t>
      </w:r>
      <w:r>
        <w:rPr>
          <w:rFonts w:hint="default" w:ascii="Times New Roman" w:hAnsi="Times New Roman" w:eastAsia="仿宋_GB2312" w:cs="Times New Roman"/>
          <w:b w:val="0"/>
          <w:bCs/>
          <w:color w:val="auto"/>
          <w:sz w:val="32"/>
          <w:szCs w:val="32"/>
          <w:highlight w:val="none"/>
        </w:rPr>
        <w:t>，其中：轿车</w:t>
      </w:r>
      <w:r>
        <w:rPr>
          <w:rFonts w:hint="default" w:ascii="Times New Roman" w:hAnsi="Times New Roman" w:eastAsia="仿宋_GB2312" w:cs="Times New Roman"/>
          <w:b w:val="0"/>
          <w:bCs/>
          <w:color w:val="auto"/>
          <w:sz w:val="32"/>
          <w:szCs w:val="32"/>
          <w:highlight w:val="none"/>
          <w:lang w:val="en-US" w:eastAsia="zh-CN"/>
        </w:rPr>
        <w:t>1</w:t>
      </w:r>
      <w:r>
        <w:rPr>
          <w:rFonts w:hint="default" w:ascii="Times New Roman" w:hAnsi="Times New Roman" w:eastAsia="仿宋_GB2312" w:cs="Times New Roman"/>
          <w:b w:val="0"/>
          <w:bCs/>
          <w:color w:val="auto"/>
          <w:sz w:val="32"/>
          <w:szCs w:val="32"/>
          <w:highlight w:val="none"/>
        </w:rPr>
        <w:t>辆、</w:t>
      </w:r>
      <w:r>
        <w:rPr>
          <w:rFonts w:hint="default" w:ascii="Times New Roman" w:hAnsi="Times New Roman" w:eastAsia="仿宋_GB2312" w:cs="Times New Roman"/>
          <w:b w:val="0"/>
          <w:bCs/>
          <w:color w:val="auto"/>
          <w:sz w:val="32"/>
          <w:szCs w:val="32"/>
          <w:highlight w:val="none"/>
          <w:lang w:eastAsia="zh-CN"/>
        </w:rPr>
        <w:t>越野车</w:t>
      </w:r>
      <w:r>
        <w:rPr>
          <w:rFonts w:hint="default" w:ascii="Times New Roman" w:hAnsi="Times New Roman" w:eastAsia="仿宋_GB2312" w:cs="Times New Roman"/>
          <w:b w:val="0"/>
          <w:bCs/>
          <w:color w:val="auto"/>
          <w:sz w:val="32"/>
          <w:szCs w:val="32"/>
          <w:highlight w:val="none"/>
          <w:lang w:val="en-US" w:eastAsia="zh-CN"/>
        </w:rPr>
        <w:t>1辆、</w:t>
      </w:r>
      <w:r>
        <w:rPr>
          <w:rFonts w:hint="default" w:ascii="Times New Roman" w:hAnsi="Times New Roman" w:eastAsia="仿宋_GB2312" w:cs="Times New Roman"/>
          <w:b w:val="0"/>
          <w:bCs/>
          <w:color w:val="auto"/>
          <w:sz w:val="32"/>
          <w:szCs w:val="32"/>
          <w:highlight w:val="none"/>
          <w:lang w:eastAsia="zh-CN"/>
        </w:rPr>
        <w:t>其他</w:t>
      </w:r>
      <w:r>
        <w:rPr>
          <w:rFonts w:hint="default" w:ascii="Times New Roman" w:hAnsi="Times New Roman" w:eastAsia="仿宋_GB2312" w:cs="Times New Roman"/>
          <w:b w:val="0"/>
          <w:bCs/>
          <w:color w:val="auto"/>
          <w:sz w:val="32"/>
          <w:szCs w:val="32"/>
          <w:highlight w:val="none"/>
          <w:lang w:val="en-US" w:eastAsia="zh-CN"/>
        </w:rPr>
        <w:t>12</w:t>
      </w:r>
      <w:r>
        <w:rPr>
          <w:rFonts w:hint="default" w:ascii="Times New Roman" w:hAnsi="Times New Roman" w:eastAsia="仿宋_GB2312" w:cs="Times New Roman"/>
          <w:b w:val="0"/>
          <w:bCs/>
          <w:color w:val="auto"/>
          <w:sz w:val="32"/>
          <w:szCs w:val="32"/>
          <w:highlight w:val="none"/>
        </w:rPr>
        <w:t>辆。</w:t>
      </w:r>
      <w:r>
        <w:rPr>
          <w:rFonts w:hint="default" w:ascii="Times New Roman" w:hAnsi="Times New Roman" w:eastAsia="仿宋_GB2312" w:cs="Times New Roman"/>
          <w:b w:val="0"/>
          <w:bCs/>
          <w:sz w:val="32"/>
          <w:szCs w:val="32"/>
        </w:rPr>
        <w:t>2022年报废生产抢险用车1辆。</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仿宋_GB2312" w:cs="Times New Roman"/>
          <w:b w:val="0"/>
          <w:bCs/>
          <w:color w:val="auto"/>
          <w:sz w:val="32"/>
          <w:szCs w:val="32"/>
          <w:highlight w:val="none"/>
        </w:rPr>
        <w:t>公务用车运行维护费支出</w:t>
      </w:r>
      <w:r>
        <w:rPr>
          <w:rFonts w:hint="default" w:ascii="Times New Roman" w:hAnsi="Times New Roman" w:eastAsia="仿宋_GB2312" w:cs="Times New Roman"/>
          <w:b w:val="0"/>
          <w:bCs/>
          <w:color w:val="auto"/>
          <w:sz w:val="32"/>
          <w:szCs w:val="32"/>
          <w:highlight w:val="none"/>
          <w:lang w:val="en-US" w:eastAsia="zh-CN"/>
        </w:rPr>
        <w:t>6.92</w:t>
      </w:r>
      <w:r>
        <w:rPr>
          <w:rFonts w:hint="default" w:ascii="Times New Roman" w:hAnsi="Times New Roman" w:eastAsia="仿宋_GB2312" w:cs="Times New Roman"/>
          <w:b w:val="0"/>
          <w:bCs/>
          <w:color w:val="auto"/>
          <w:sz w:val="32"/>
          <w:szCs w:val="32"/>
          <w:highlight w:val="none"/>
        </w:rPr>
        <w:t>万元。主要用于</w:t>
      </w:r>
      <w:r>
        <w:rPr>
          <w:rFonts w:hint="default" w:ascii="Times New Roman" w:hAnsi="Times New Roman" w:eastAsia="仿宋_GB2312" w:cs="Times New Roman"/>
          <w:b w:val="0"/>
          <w:bCs/>
          <w:kern w:val="0"/>
          <w:sz w:val="32"/>
          <w:szCs w:val="32"/>
          <w:lang w:eastAsia="zh-CN" w:bidi="ar"/>
        </w:rPr>
        <w:t>因公出行等所需的公务用车燃料费、维修费、过路过桥费、保险费等支出。</w:t>
      </w:r>
    </w:p>
    <w:p>
      <w:pPr>
        <w:pageBreakBefore w:val="0"/>
        <w:wordWrap/>
        <w:topLinePunct w:val="0"/>
        <w:bidi w:val="0"/>
        <w:spacing w:line="560" w:lineRule="exact"/>
        <w:ind w:firstLine="640"/>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3</w:t>
      </w:r>
      <w:r>
        <w:rPr>
          <w:rFonts w:hint="default" w:ascii="Times New Roman" w:hAnsi="Times New Roman" w:eastAsia="仿宋_GB2312" w:cs="Times New Roman"/>
          <w:b w:val="0"/>
          <w:bCs/>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rPr>
        <w:t>公务接待费支出</w:t>
      </w:r>
      <w:r>
        <w:rPr>
          <w:rFonts w:hint="default" w:ascii="Times New Roman" w:hAnsi="Times New Roman" w:eastAsia="仿宋_GB2312" w:cs="Times New Roman"/>
          <w:b w:val="0"/>
          <w:bCs/>
          <w:color w:val="auto"/>
          <w:sz w:val="32"/>
          <w:szCs w:val="32"/>
          <w:highlight w:val="none"/>
          <w:lang w:val="en-US" w:eastAsia="zh-CN"/>
        </w:rPr>
        <w:t>4.89</w:t>
      </w:r>
      <w:r>
        <w:rPr>
          <w:rFonts w:hint="default" w:ascii="Times New Roman" w:hAnsi="Times New Roman" w:eastAsia="仿宋_GB2312" w:cs="Times New Roman"/>
          <w:b w:val="0"/>
          <w:bCs/>
          <w:color w:val="auto"/>
          <w:sz w:val="32"/>
          <w:szCs w:val="32"/>
          <w:highlight w:val="none"/>
        </w:rPr>
        <w:t>万元，</w:t>
      </w:r>
      <w:r>
        <w:rPr>
          <w:rStyle w:val="18"/>
          <w:rFonts w:hint="default" w:ascii="Times New Roman" w:hAnsi="Times New Roman" w:eastAsia="仿宋_GB2312" w:cs="Times New Roman"/>
          <w:b w:val="0"/>
          <w:bCs/>
          <w:color w:val="auto"/>
          <w:sz w:val="32"/>
          <w:szCs w:val="32"/>
          <w:highlight w:val="none"/>
        </w:rPr>
        <w:t>完成预算</w:t>
      </w:r>
      <w:r>
        <w:rPr>
          <w:rStyle w:val="18"/>
          <w:rFonts w:hint="default" w:ascii="Times New Roman" w:hAnsi="Times New Roman" w:eastAsia="仿宋_GB2312" w:cs="Times New Roman"/>
          <w:b w:val="0"/>
          <w:bCs/>
          <w:color w:val="auto"/>
          <w:sz w:val="32"/>
          <w:szCs w:val="32"/>
          <w:highlight w:val="none"/>
          <w:lang w:val="en-US" w:eastAsia="zh-CN"/>
        </w:rPr>
        <w:t>100</w:t>
      </w:r>
      <w:r>
        <w:rPr>
          <w:rStyle w:val="18"/>
          <w:rFonts w:hint="default" w:ascii="Times New Roman" w:hAnsi="Times New Roman" w:eastAsia="仿宋_GB2312" w:cs="Times New Roman"/>
          <w:b w:val="0"/>
          <w:bCs/>
          <w:color w:val="auto"/>
          <w:sz w:val="32"/>
          <w:szCs w:val="32"/>
          <w:highlight w:val="none"/>
        </w:rPr>
        <w:t>%。</w:t>
      </w:r>
      <w:r>
        <w:rPr>
          <w:rFonts w:hint="default" w:ascii="Times New Roman" w:hAnsi="Times New Roman" w:eastAsia="仿宋_GB2312" w:cs="Times New Roman"/>
          <w:b w:val="0"/>
          <w:bCs/>
          <w:color w:val="auto"/>
          <w:sz w:val="32"/>
          <w:szCs w:val="32"/>
          <w:highlight w:val="none"/>
        </w:rPr>
        <w:t>公务接待费支出决算比20</w:t>
      </w:r>
      <w:r>
        <w:rPr>
          <w:rFonts w:hint="default" w:ascii="Times New Roman" w:hAnsi="Times New Roman" w:eastAsia="仿宋_GB2312" w:cs="Times New Roman"/>
          <w:b w:val="0"/>
          <w:bCs/>
          <w:color w:val="auto"/>
          <w:sz w:val="32"/>
          <w:szCs w:val="32"/>
          <w:highlight w:val="none"/>
          <w:lang w:val="en-US" w:eastAsia="zh-CN"/>
        </w:rPr>
        <w:t>21</w:t>
      </w:r>
      <w:r>
        <w:rPr>
          <w:rFonts w:hint="default" w:ascii="Times New Roman" w:hAnsi="Times New Roman" w:eastAsia="仿宋_GB2312" w:cs="Times New Roman"/>
          <w:b w:val="0"/>
          <w:bCs/>
          <w:color w:val="auto"/>
          <w:sz w:val="32"/>
          <w:szCs w:val="32"/>
          <w:highlight w:val="none"/>
        </w:rPr>
        <w:t>年</w:t>
      </w:r>
      <w:r>
        <w:rPr>
          <w:rFonts w:hint="default" w:ascii="Times New Roman" w:hAnsi="Times New Roman" w:eastAsia="仿宋_GB2312" w:cs="Times New Roman"/>
          <w:b w:val="0"/>
          <w:bCs/>
          <w:color w:val="auto"/>
          <w:sz w:val="32"/>
          <w:szCs w:val="32"/>
          <w:highlight w:val="none"/>
          <w:lang w:val="en-US" w:eastAsia="zh-CN"/>
        </w:rPr>
        <w:t>4.2</w:t>
      </w:r>
      <w:r>
        <w:rPr>
          <w:rFonts w:hint="default" w:ascii="Times New Roman" w:hAnsi="Times New Roman" w:eastAsia="仿宋_GB2312" w:cs="Times New Roman"/>
          <w:b w:val="0"/>
          <w:bCs/>
          <w:color w:val="auto"/>
          <w:sz w:val="32"/>
          <w:szCs w:val="32"/>
          <w:highlight w:val="none"/>
        </w:rPr>
        <w:t>增加</w:t>
      </w:r>
      <w:r>
        <w:rPr>
          <w:rFonts w:hint="default" w:ascii="Times New Roman" w:hAnsi="Times New Roman" w:eastAsia="仿宋_GB2312" w:cs="Times New Roman"/>
          <w:b w:val="0"/>
          <w:bCs/>
          <w:color w:val="auto"/>
          <w:sz w:val="32"/>
          <w:szCs w:val="32"/>
          <w:highlight w:val="none"/>
          <w:lang w:val="en-US" w:eastAsia="zh-CN"/>
        </w:rPr>
        <w:t>0.69</w:t>
      </w:r>
      <w:r>
        <w:rPr>
          <w:rFonts w:hint="default" w:ascii="Times New Roman" w:hAnsi="Times New Roman" w:eastAsia="仿宋_GB2312" w:cs="Times New Roman"/>
          <w:b w:val="0"/>
          <w:bCs/>
          <w:color w:val="auto"/>
          <w:sz w:val="32"/>
          <w:szCs w:val="32"/>
          <w:highlight w:val="none"/>
        </w:rPr>
        <w:t>万元，增长</w:t>
      </w:r>
      <w:r>
        <w:rPr>
          <w:rFonts w:hint="default" w:ascii="Times New Roman" w:hAnsi="Times New Roman" w:eastAsia="仿宋_GB2312" w:cs="Times New Roman"/>
          <w:b w:val="0"/>
          <w:bCs/>
          <w:color w:val="auto"/>
          <w:sz w:val="32"/>
          <w:szCs w:val="32"/>
          <w:highlight w:val="none"/>
          <w:lang w:val="en-US" w:eastAsia="zh-CN"/>
        </w:rPr>
        <w:t>16.43</w:t>
      </w:r>
      <w:r>
        <w:rPr>
          <w:rFonts w:hint="default" w:ascii="Times New Roman" w:hAnsi="Times New Roman" w:eastAsia="仿宋_GB2312" w:cs="Times New Roman"/>
          <w:b w:val="0"/>
          <w:bCs/>
          <w:color w:val="auto"/>
          <w:sz w:val="32"/>
          <w:szCs w:val="32"/>
          <w:highlight w:val="none"/>
        </w:rPr>
        <w:t>%。主要原因是</w:t>
      </w:r>
      <w:r>
        <w:rPr>
          <w:rFonts w:hint="default" w:ascii="Times New Roman" w:hAnsi="Times New Roman" w:eastAsia="仿宋_GB2312" w:cs="Times New Roman"/>
          <w:b w:val="0"/>
          <w:bCs/>
          <w:color w:val="auto"/>
          <w:sz w:val="32"/>
          <w:szCs w:val="32"/>
          <w:highlight w:val="none"/>
          <w:lang w:eastAsia="zh-CN"/>
        </w:rPr>
        <w:t>接待增加</w:t>
      </w:r>
      <w:r>
        <w:rPr>
          <w:rFonts w:hint="default" w:ascii="Times New Roman" w:hAnsi="Times New Roman" w:eastAsia="仿宋_GB2312" w:cs="Times New Roman"/>
          <w:b w:val="0"/>
          <w:bCs/>
          <w:color w:val="auto"/>
          <w:sz w:val="32"/>
          <w:szCs w:val="32"/>
          <w:highlight w:val="none"/>
        </w:rPr>
        <w:t>。其中：</w:t>
      </w:r>
    </w:p>
    <w:p>
      <w:pPr>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国内公务接待支出</w:t>
      </w:r>
      <w:r>
        <w:rPr>
          <w:rFonts w:hint="default" w:ascii="Times New Roman" w:hAnsi="Times New Roman" w:eastAsia="仿宋_GB2312" w:cs="Times New Roman"/>
          <w:b w:val="0"/>
          <w:bCs/>
          <w:color w:val="auto"/>
          <w:sz w:val="32"/>
          <w:szCs w:val="32"/>
          <w:highlight w:val="none"/>
          <w:lang w:val="en-US" w:eastAsia="zh-CN"/>
        </w:rPr>
        <w:t>4.89</w:t>
      </w:r>
      <w:r>
        <w:rPr>
          <w:rFonts w:hint="default" w:ascii="Times New Roman" w:hAnsi="Times New Roman" w:eastAsia="仿宋_GB2312" w:cs="Times New Roman"/>
          <w:b w:val="0"/>
          <w:bCs/>
          <w:color w:val="auto"/>
          <w:sz w:val="32"/>
          <w:szCs w:val="32"/>
          <w:highlight w:val="none"/>
        </w:rPr>
        <w:t>万元，主要用于</w:t>
      </w:r>
      <w:r>
        <w:rPr>
          <w:rFonts w:hint="default" w:ascii="Times New Roman" w:hAnsi="Times New Roman" w:eastAsia="仿宋_GB2312" w:cs="Times New Roman"/>
          <w:b w:val="0"/>
          <w:bCs/>
          <w:kern w:val="0"/>
          <w:sz w:val="32"/>
          <w:szCs w:val="32"/>
          <w:lang w:eastAsia="zh-CN" w:bidi="ar"/>
        </w:rPr>
        <w:t>执行公务、开展业务活动开支的交通费、住宿费、用餐费等</w:t>
      </w:r>
      <w:r>
        <w:rPr>
          <w:rFonts w:hint="default" w:ascii="Times New Roman" w:hAnsi="Times New Roman" w:eastAsia="仿宋_GB2312" w:cs="Times New Roman"/>
          <w:b w:val="0"/>
          <w:bCs/>
          <w:color w:val="auto"/>
          <w:sz w:val="32"/>
          <w:szCs w:val="32"/>
          <w:highlight w:val="none"/>
        </w:rPr>
        <w:t>。国内公务接待</w:t>
      </w:r>
      <w:r>
        <w:rPr>
          <w:rFonts w:hint="default" w:ascii="Times New Roman" w:hAnsi="Times New Roman" w:eastAsia="仿宋_GB2312" w:cs="Times New Roman"/>
          <w:b w:val="0"/>
          <w:bCs/>
          <w:color w:val="auto"/>
          <w:sz w:val="32"/>
          <w:szCs w:val="32"/>
          <w:highlight w:val="none"/>
          <w:lang w:val="en-US" w:eastAsia="zh-CN"/>
        </w:rPr>
        <w:t>50</w:t>
      </w:r>
      <w:r>
        <w:rPr>
          <w:rFonts w:hint="default" w:ascii="Times New Roman" w:hAnsi="Times New Roman" w:eastAsia="仿宋_GB2312" w:cs="Times New Roman"/>
          <w:b w:val="0"/>
          <w:bCs/>
          <w:color w:val="auto"/>
          <w:sz w:val="32"/>
          <w:szCs w:val="32"/>
          <w:highlight w:val="none"/>
        </w:rPr>
        <w:t>批次，</w:t>
      </w:r>
      <w:r>
        <w:rPr>
          <w:rFonts w:hint="default" w:ascii="Times New Roman" w:hAnsi="Times New Roman" w:eastAsia="仿宋_GB2312" w:cs="Times New Roman"/>
          <w:b w:val="0"/>
          <w:bCs/>
          <w:color w:val="auto"/>
          <w:sz w:val="32"/>
          <w:szCs w:val="32"/>
          <w:highlight w:val="none"/>
          <w:lang w:val="en-US" w:eastAsia="zh-CN"/>
        </w:rPr>
        <w:t>538</w:t>
      </w:r>
      <w:r>
        <w:rPr>
          <w:rFonts w:hint="default" w:ascii="Times New Roman" w:hAnsi="Times New Roman" w:eastAsia="仿宋_GB2312" w:cs="Times New Roman"/>
          <w:b w:val="0"/>
          <w:bCs/>
          <w:color w:val="auto"/>
          <w:sz w:val="32"/>
          <w:szCs w:val="32"/>
          <w:highlight w:val="none"/>
        </w:rPr>
        <w:t>人次（不包括陪同人员），共计支出</w:t>
      </w:r>
      <w:r>
        <w:rPr>
          <w:rFonts w:hint="default" w:ascii="Times New Roman" w:hAnsi="Times New Roman" w:eastAsia="仿宋_GB2312" w:cs="Times New Roman"/>
          <w:b w:val="0"/>
          <w:bCs/>
          <w:color w:val="auto"/>
          <w:sz w:val="32"/>
          <w:szCs w:val="32"/>
          <w:highlight w:val="none"/>
          <w:lang w:val="en-US" w:eastAsia="zh-CN"/>
        </w:rPr>
        <w:t>4.89</w:t>
      </w:r>
      <w:r>
        <w:rPr>
          <w:rFonts w:hint="default" w:ascii="Times New Roman" w:hAnsi="Times New Roman" w:eastAsia="仿宋_GB2312" w:cs="Times New Roman"/>
          <w:b w:val="0"/>
          <w:bCs/>
          <w:color w:val="auto"/>
          <w:sz w:val="32"/>
          <w:szCs w:val="32"/>
          <w:highlight w:val="none"/>
        </w:rPr>
        <w:t>万元，具体内容包括</w:t>
      </w:r>
      <w:r>
        <w:rPr>
          <w:rFonts w:hint="default" w:ascii="Times New Roman" w:hAnsi="Times New Roman" w:eastAsia="仿宋_GB2312" w:cs="Times New Roman"/>
          <w:b w:val="0"/>
          <w:bCs/>
          <w:kern w:val="0"/>
          <w:sz w:val="32"/>
          <w:szCs w:val="32"/>
          <w:lang w:eastAsia="zh-CN" w:bidi="ar"/>
        </w:rPr>
        <w:t>省、市、区（县）交通检查、调研。</w:t>
      </w:r>
    </w:p>
    <w:p>
      <w:pPr>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color w:val="auto"/>
          <w:sz w:val="32"/>
          <w:szCs w:val="32"/>
          <w:highlight w:val="none"/>
        </w:rPr>
        <w:t>外事接待支出</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万元</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rPr>
        <w:t>外事接待</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批次，</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人</w:t>
      </w:r>
      <w:r>
        <w:rPr>
          <w:rFonts w:hint="default" w:ascii="Times New Roman" w:hAnsi="Times New Roman" w:eastAsia="仿宋_GB2312" w:cs="Times New Roman"/>
          <w:b w:val="0"/>
          <w:bCs/>
          <w:color w:val="auto"/>
          <w:sz w:val="32"/>
          <w:szCs w:val="32"/>
          <w:highlight w:val="none"/>
          <w:lang w:eastAsia="zh-CN"/>
        </w:rPr>
        <w:t>次（不包括陪同人员）</w:t>
      </w:r>
      <w:r>
        <w:rPr>
          <w:rFonts w:hint="default" w:ascii="Times New Roman" w:hAnsi="Times New Roman" w:eastAsia="仿宋_GB2312" w:cs="Times New Roman"/>
          <w:b w:val="0"/>
          <w:bCs/>
          <w:color w:val="auto"/>
          <w:sz w:val="32"/>
          <w:szCs w:val="32"/>
          <w:highlight w:val="none"/>
        </w:rPr>
        <w:t>，共计支出</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万元。</w:t>
      </w:r>
    </w:p>
    <w:p>
      <w:pPr>
        <w:pageBreakBefore w:val="0"/>
        <w:wordWrap/>
        <w:topLinePunct w:val="0"/>
        <w:bidi w:val="0"/>
        <w:spacing w:line="560" w:lineRule="exact"/>
        <w:ind w:firstLine="640"/>
        <w:outlineLvl w:val="1"/>
        <w:rPr>
          <w:rStyle w:val="31"/>
          <w:rFonts w:hint="default" w:ascii="Times New Roman" w:hAnsi="Times New Roman" w:eastAsia="黑体" w:cs="Times New Roman"/>
          <w:color w:val="auto"/>
          <w:highlight w:val="none"/>
        </w:rPr>
      </w:pPr>
      <w:bookmarkStart w:id="59" w:name="_Toc15396610"/>
      <w:bookmarkStart w:id="60" w:name="_Toc15377218"/>
      <w:bookmarkStart w:id="61" w:name="_Toc9973"/>
      <w:r>
        <w:rPr>
          <w:rFonts w:hint="default" w:ascii="Times New Roman" w:hAnsi="Times New Roman" w:eastAsia="黑体" w:cs="Times New Roman"/>
          <w:color w:val="auto"/>
          <w:sz w:val="32"/>
          <w:szCs w:val="32"/>
          <w:highlight w:val="none"/>
        </w:rPr>
        <w:t>八、</w:t>
      </w:r>
      <w:r>
        <w:rPr>
          <w:rStyle w:val="31"/>
          <w:rFonts w:hint="default" w:ascii="Times New Roman" w:hAnsi="Times New Roman" w:eastAsia="黑体" w:cs="Times New Roman"/>
          <w:b w:val="0"/>
          <w:color w:val="auto"/>
          <w:highlight w:val="none"/>
        </w:rPr>
        <w:t>政府性基金预算支出决算情况说明</w:t>
      </w:r>
      <w:bookmarkEnd w:id="59"/>
      <w:bookmarkEnd w:id="60"/>
      <w:bookmarkEnd w:id="61"/>
    </w:p>
    <w:p>
      <w:pPr>
        <w:pageBreakBefore w:val="0"/>
        <w:wordWrap/>
        <w:topLinePunct w:val="0"/>
        <w:bidi w:val="0"/>
        <w:spacing w:line="56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年政府性基金预算</w:t>
      </w:r>
      <w:r>
        <w:rPr>
          <w:rFonts w:hint="default" w:ascii="Times New Roman" w:hAnsi="Times New Roman" w:eastAsia="仿宋_GB2312" w:cs="Times New Roman"/>
          <w:color w:val="auto"/>
          <w:sz w:val="32"/>
          <w:szCs w:val="32"/>
          <w:highlight w:val="none"/>
          <w:lang w:eastAsia="zh-CN"/>
        </w:rPr>
        <w:t>财政</w:t>
      </w:r>
      <w:r>
        <w:rPr>
          <w:rFonts w:hint="default" w:ascii="Times New Roman" w:hAnsi="Times New Roman" w:eastAsia="仿宋_GB2312" w:cs="Times New Roman"/>
          <w:color w:val="auto"/>
          <w:sz w:val="32"/>
          <w:szCs w:val="32"/>
          <w:highlight w:val="none"/>
        </w:rPr>
        <w:t>拨款支出</w:t>
      </w:r>
      <w:r>
        <w:rPr>
          <w:rFonts w:hint="default" w:ascii="Times New Roman" w:hAnsi="Times New Roman" w:eastAsia="仿宋_GB2312" w:cs="Times New Roman"/>
          <w:color w:val="000000"/>
          <w:kern w:val="2"/>
          <w:sz w:val="32"/>
          <w:szCs w:val="24"/>
          <w:lang w:val="zh-CN"/>
        </w:rPr>
        <w:t>4,947.72</w:t>
      </w:r>
      <w:r>
        <w:rPr>
          <w:rFonts w:hint="default" w:ascii="Times New Roman" w:hAnsi="Times New Roman" w:eastAsia="仿宋_GB2312" w:cs="Times New Roman"/>
          <w:color w:val="auto"/>
          <w:sz w:val="32"/>
          <w:szCs w:val="32"/>
          <w:highlight w:val="none"/>
        </w:rPr>
        <w:t>万元。</w:t>
      </w:r>
    </w:p>
    <w:p>
      <w:pPr>
        <w:pageBreakBefore w:val="0"/>
        <w:numPr>
          <w:ilvl w:val="0"/>
          <w:numId w:val="1"/>
        </w:numPr>
        <w:wordWrap/>
        <w:topLinePunct w:val="0"/>
        <w:bidi w:val="0"/>
        <w:spacing w:line="560" w:lineRule="exact"/>
        <w:ind w:firstLine="640"/>
        <w:outlineLvl w:val="1"/>
        <w:rPr>
          <w:rStyle w:val="31"/>
          <w:rFonts w:hint="default" w:ascii="Times New Roman" w:hAnsi="Times New Roman" w:eastAsia="黑体" w:cs="Times New Roman"/>
          <w:b w:val="0"/>
          <w:color w:val="auto"/>
          <w:highlight w:val="none"/>
        </w:rPr>
      </w:pPr>
      <w:bookmarkStart w:id="62" w:name="_Toc15396611"/>
      <w:bookmarkStart w:id="63" w:name="_Toc26055"/>
      <w:bookmarkStart w:id="64" w:name="_Toc15377219"/>
      <w:r>
        <w:rPr>
          <w:rStyle w:val="31"/>
          <w:rFonts w:hint="default" w:ascii="Times New Roman" w:hAnsi="Times New Roman" w:eastAsia="黑体" w:cs="Times New Roman"/>
          <w:b w:val="0"/>
          <w:color w:val="auto"/>
          <w:highlight w:val="none"/>
        </w:rPr>
        <w:t>国有资本经营预算支出决算情况说明</w:t>
      </w:r>
      <w:bookmarkEnd w:id="62"/>
      <w:bookmarkEnd w:id="63"/>
      <w:bookmarkEnd w:id="64"/>
    </w:p>
    <w:p>
      <w:pPr>
        <w:pageBreakBefore w:val="0"/>
        <w:wordWrap/>
        <w:topLinePunct w:val="0"/>
        <w:bidi w:val="0"/>
        <w:spacing w:line="56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年国有资本经营预算</w:t>
      </w:r>
      <w:r>
        <w:rPr>
          <w:rFonts w:hint="default" w:ascii="Times New Roman" w:hAnsi="Times New Roman" w:eastAsia="仿宋_GB2312" w:cs="Times New Roman"/>
          <w:color w:val="auto"/>
          <w:sz w:val="32"/>
          <w:szCs w:val="32"/>
          <w:highlight w:val="none"/>
          <w:lang w:eastAsia="zh-CN"/>
        </w:rPr>
        <w:t>财政</w:t>
      </w:r>
      <w:r>
        <w:rPr>
          <w:rFonts w:hint="default" w:ascii="Times New Roman" w:hAnsi="Times New Roman" w:eastAsia="仿宋_GB2312" w:cs="Times New Roman"/>
          <w:color w:val="auto"/>
          <w:sz w:val="32"/>
          <w:szCs w:val="32"/>
          <w:highlight w:val="none"/>
        </w:rPr>
        <w:t>拨款支出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pPr>
        <w:pageBreakBefore w:val="0"/>
        <w:numPr>
          <w:ilvl w:val="0"/>
          <w:numId w:val="1"/>
        </w:numPr>
        <w:wordWrap/>
        <w:topLinePunct w:val="0"/>
        <w:bidi w:val="0"/>
        <w:spacing w:line="560" w:lineRule="exact"/>
        <w:ind w:firstLine="640"/>
        <w:outlineLvl w:val="1"/>
        <w:rPr>
          <w:rStyle w:val="31"/>
          <w:rFonts w:hint="default" w:ascii="Times New Roman" w:hAnsi="Times New Roman" w:eastAsia="黑体" w:cs="Times New Roman"/>
          <w:b w:val="0"/>
          <w:color w:val="auto"/>
          <w:highlight w:val="none"/>
        </w:rPr>
      </w:pPr>
      <w:bookmarkStart w:id="65" w:name="_Toc15396612"/>
      <w:bookmarkStart w:id="66" w:name="_Toc15377221"/>
      <w:bookmarkStart w:id="67" w:name="_Toc9300"/>
      <w:r>
        <w:rPr>
          <w:rStyle w:val="31"/>
          <w:rFonts w:hint="default" w:ascii="Times New Roman" w:hAnsi="Times New Roman" w:eastAsia="黑体" w:cs="Times New Roman"/>
          <w:b w:val="0"/>
          <w:color w:val="auto"/>
          <w:highlight w:val="none"/>
        </w:rPr>
        <w:t>其他重要事项的情况说明</w:t>
      </w:r>
      <w:bookmarkEnd w:id="65"/>
      <w:bookmarkEnd w:id="66"/>
      <w:bookmarkEnd w:id="67"/>
    </w:p>
    <w:p>
      <w:pPr>
        <w:pageBreakBefore w:val="0"/>
        <w:wordWrap/>
        <w:topLinePunct w:val="0"/>
        <w:bidi w:val="0"/>
        <w:spacing w:line="560" w:lineRule="exact"/>
        <w:ind w:firstLine="643" w:firstLineChars="200"/>
        <w:outlineLvl w:val="2"/>
        <w:rPr>
          <w:rFonts w:hint="default" w:ascii="Times New Roman" w:hAnsi="Times New Roman" w:eastAsia="楷体" w:cs="Times New Roman"/>
          <w:b/>
          <w:color w:val="auto"/>
          <w:sz w:val="32"/>
          <w:szCs w:val="32"/>
          <w:highlight w:val="none"/>
        </w:rPr>
      </w:pPr>
      <w:bookmarkStart w:id="68" w:name="_Toc15377222"/>
      <w:r>
        <w:rPr>
          <w:rFonts w:hint="default" w:ascii="Times New Roman" w:hAnsi="Times New Roman" w:eastAsia="楷体" w:cs="Times New Roman"/>
          <w:b/>
          <w:color w:val="auto"/>
          <w:sz w:val="32"/>
          <w:szCs w:val="32"/>
          <w:highlight w:val="none"/>
        </w:rPr>
        <w:t>（一）机关运行经费支出情况</w:t>
      </w:r>
      <w:bookmarkEnd w:id="68"/>
    </w:p>
    <w:p>
      <w:pPr>
        <w:pageBreakBefore w:val="0"/>
        <w:wordWrap/>
        <w:topLinePunct w:val="0"/>
        <w:bidi w:val="0"/>
        <w:spacing w:beforeLines="0" w:afterLines="0" w:line="560" w:lineRule="exact"/>
        <w:ind w:firstLine="640"/>
        <w:jc w:val="both"/>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沐川县交通运输局</w:t>
      </w:r>
      <w:r>
        <w:rPr>
          <w:rFonts w:hint="default" w:ascii="Times New Roman" w:hAnsi="Times New Roman" w:eastAsia="仿宋_GB2312" w:cs="Times New Roman"/>
          <w:color w:val="auto"/>
          <w:sz w:val="32"/>
          <w:szCs w:val="32"/>
          <w:highlight w:val="none"/>
        </w:rPr>
        <w:t>机关运行经费支出</w:t>
      </w:r>
      <w:r>
        <w:rPr>
          <w:rFonts w:hint="default" w:ascii="Times New Roman" w:hAnsi="Times New Roman" w:eastAsia="仿宋_GB2312" w:cs="Times New Roman"/>
          <w:color w:val="auto"/>
          <w:sz w:val="32"/>
          <w:szCs w:val="32"/>
          <w:highlight w:val="none"/>
          <w:lang w:val="en-US" w:eastAsia="zh-CN"/>
        </w:rPr>
        <w:t>64.25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000000"/>
          <w:kern w:val="2"/>
          <w:sz w:val="32"/>
          <w:szCs w:val="24"/>
          <w:lang w:val="zh-CN"/>
        </w:rPr>
        <w:t>比2021年</w:t>
      </w:r>
      <w:r>
        <w:rPr>
          <w:rFonts w:hint="default" w:ascii="Times New Roman" w:hAnsi="Times New Roman" w:eastAsia="仿宋_GB2312" w:cs="Times New Roman"/>
          <w:color w:val="000000"/>
          <w:kern w:val="2"/>
          <w:sz w:val="32"/>
          <w:szCs w:val="24"/>
          <w:lang w:val="en-US" w:eastAsia="zh-CN"/>
        </w:rPr>
        <w:t>57.59万元</w:t>
      </w:r>
      <w:r>
        <w:rPr>
          <w:rFonts w:hint="default" w:ascii="Times New Roman" w:hAnsi="Times New Roman" w:eastAsia="仿宋_GB2312" w:cs="Times New Roman"/>
          <w:color w:val="000000"/>
          <w:kern w:val="2"/>
          <w:sz w:val="32"/>
          <w:szCs w:val="24"/>
          <w:lang w:val="zh-CN"/>
        </w:rPr>
        <w:t>增加</w:t>
      </w:r>
      <w:r>
        <w:rPr>
          <w:rFonts w:hint="default" w:ascii="Times New Roman" w:hAnsi="Times New Roman" w:eastAsia="仿宋_GB2312" w:cs="Times New Roman"/>
          <w:color w:val="000000"/>
          <w:kern w:val="2"/>
          <w:sz w:val="32"/>
          <w:szCs w:val="24"/>
          <w:lang w:val="en-US" w:eastAsia="zh-CN"/>
        </w:rPr>
        <w:t>6.66</w:t>
      </w:r>
      <w:r>
        <w:rPr>
          <w:rFonts w:hint="default" w:ascii="Times New Roman" w:hAnsi="Times New Roman" w:eastAsia="仿宋_GB2312" w:cs="Times New Roman"/>
          <w:color w:val="000000"/>
          <w:kern w:val="2"/>
          <w:sz w:val="32"/>
          <w:szCs w:val="24"/>
          <w:lang w:val="zh-CN"/>
        </w:rPr>
        <w:t>万元，增长</w:t>
      </w:r>
      <w:r>
        <w:rPr>
          <w:rFonts w:hint="default" w:ascii="Times New Roman" w:hAnsi="Times New Roman" w:eastAsia="仿宋_GB2312" w:cs="Times New Roman"/>
          <w:color w:val="000000"/>
          <w:kern w:val="2"/>
          <w:sz w:val="32"/>
          <w:szCs w:val="24"/>
          <w:lang w:val="en-US" w:eastAsia="zh-CN"/>
        </w:rPr>
        <w:t>11.56</w:t>
      </w:r>
      <w:r>
        <w:rPr>
          <w:rFonts w:hint="default" w:ascii="Times New Roman" w:hAnsi="Times New Roman" w:eastAsia="仿宋_GB2312" w:cs="Times New Roman"/>
          <w:color w:val="000000"/>
          <w:kern w:val="2"/>
          <w:sz w:val="32"/>
          <w:szCs w:val="24"/>
          <w:lang w:val="zh-CN"/>
        </w:rPr>
        <w:t>%。增长的主要原因是</w:t>
      </w:r>
      <w:r>
        <w:rPr>
          <w:rFonts w:hint="default" w:ascii="Times New Roman" w:hAnsi="Times New Roman" w:eastAsia="仿宋_GB2312" w:cs="Times New Roman"/>
          <w:color w:val="000000"/>
          <w:sz w:val="32"/>
          <w:szCs w:val="32"/>
        </w:rPr>
        <w:t>包含节能与新能源公交车运营补助12万。</w:t>
      </w:r>
    </w:p>
    <w:p>
      <w:pPr>
        <w:pageBreakBefore w:val="0"/>
        <w:wordWrap/>
        <w:topLinePunct w:val="0"/>
        <w:bidi w:val="0"/>
        <w:spacing w:line="560" w:lineRule="exact"/>
        <w:ind w:firstLine="643" w:firstLineChars="200"/>
        <w:outlineLvl w:val="2"/>
        <w:rPr>
          <w:rFonts w:hint="default" w:ascii="Times New Roman" w:hAnsi="Times New Roman" w:eastAsia="楷体" w:cs="Times New Roman"/>
          <w:b/>
          <w:color w:val="auto"/>
          <w:sz w:val="32"/>
          <w:szCs w:val="32"/>
          <w:highlight w:val="none"/>
        </w:rPr>
      </w:pPr>
      <w:bookmarkStart w:id="69" w:name="_Toc15377223"/>
      <w:r>
        <w:rPr>
          <w:rFonts w:hint="default" w:ascii="Times New Roman" w:hAnsi="Times New Roman" w:eastAsia="楷体" w:cs="Times New Roman"/>
          <w:b/>
          <w:color w:val="auto"/>
          <w:sz w:val="32"/>
          <w:szCs w:val="32"/>
          <w:highlight w:val="none"/>
        </w:rPr>
        <w:t>（二）政府采购支出情况</w:t>
      </w:r>
      <w:bookmarkEnd w:id="69"/>
    </w:p>
    <w:p>
      <w:pPr>
        <w:pageBreakBefore w:val="0"/>
        <w:wordWrap/>
        <w:topLinePunct w:val="0"/>
        <w:bidi w:val="0"/>
        <w:spacing w:beforeLines="0" w:afterLines="0" w:line="560" w:lineRule="exact"/>
        <w:ind w:firstLine="640"/>
        <w:jc w:val="both"/>
        <w:rPr>
          <w:rFonts w:hint="default" w:ascii="Times New Roman" w:hAnsi="Times New Roman" w:eastAsia="仿宋_GB2312" w:cs="Times New Roman"/>
          <w:color w:val="000000"/>
          <w:kern w:val="2"/>
          <w:sz w:val="32"/>
          <w:szCs w:val="24"/>
          <w:lang w:val="zh-CN"/>
        </w:rPr>
      </w:pPr>
      <w:r>
        <w:rPr>
          <w:rFonts w:hint="default" w:ascii="Times New Roman" w:hAnsi="Times New Roman" w:eastAsia="仿宋_GB2312" w:cs="Times New Roman"/>
          <w:color w:val="000000"/>
          <w:kern w:val="2"/>
          <w:sz w:val="32"/>
          <w:szCs w:val="24"/>
          <w:lang w:val="zh-CN"/>
        </w:rPr>
        <w:t>2022年，乐山市沐川县交通运输局（本级）政府采购支出总额578.49万元，其中：政府采购货物支出2.56万元、政府采购工程支出575.93万元、政府采购服务支出0万元。</w:t>
      </w:r>
      <w:r>
        <w:rPr>
          <w:rFonts w:hint="default" w:ascii="Times New Roman" w:hAnsi="Times New Roman" w:eastAsia="仿宋_GB2312" w:cs="Times New Roman"/>
          <w:b w:val="0"/>
          <w:bCs w:val="0"/>
          <w:kern w:val="0"/>
          <w:sz w:val="32"/>
          <w:szCs w:val="32"/>
          <w:lang w:eastAsia="zh-CN" w:bidi="ar"/>
        </w:rPr>
        <w:t>主要用于购置电脑、打印机等机关办公费。</w:t>
      </w:r>
      <w:r>
        <w:rPr>
          <w:rFonts w:hint="default" w:ascii="Times New Roman" w:hAnsi="Times New Roman" w:eastAsia="仿宋_GB2312" w:cs="Times New Roman"/>
          <w:color w:val="000000"/>
          <w:kern w:val="2"/>
          <w:sz w:val="32"/>
          <w:szCs w:val="24"/>
          <w:lang w:val="zh-CN"/>
        </w:rPr>
        <w:t>授予中小企业合同金额</w:t>
      </w:r>
      <w:r>
        <w:rPr>
          <w:rFonts w:hint="default" w:ascii="Times New Roman" w:hAnsi="Times New Roman" w:eastAsia="仿宋_GB2312" w:cs="Times New Roman"/>
          <w:color w:val="000000"/>
          <w:kern w:val="2"/>
          <w:sz w:val="32"/>
          <w:szCs w:val="24"/>
          <w:lang w:val="en-US" w:eastAsia="zh-CN"/>
        </w:rPr>
        <w:t>578.49</w:t>
      </w:r>
      <w:r>
        <w:rPr>
          <w:rFonts w:hint="default" w:ascii="Times New Roman" w:hAnsi="Times New Roman" w:eastAsia="仿宋_GB2312" w:cs="Times New Roman"/>
          <w:color w:val="000000"/>
          <w:kern w:val="2"/>
          <w:sz w:val="32"/>
          <w:szCs w:val="24"/>
          <w:lang w:val="zh-CN"/>
        </w:rPr>
        <w:t>万元，占政府采购支出总额的</w:t>
      </w:r>
      <w:r>
        <w:rPr>
          <w:rFonts w:hint="default" w:ascii="Times New Roman" w:hAnsi="Times New Roman" w:eastAsia="仿宋_GB2312" w:cs="Times New Roman"/>
          <w:color w:val="000000"/>
          <w:kern w:val="2"/>
          <w:sz w:val="32"/>
          <w:szCs w:val="24"/>
          <w:lang w:val="en-US" w:eastAsia="zh-CN"/>
        </w:rPr>
        <w:t>100</w:t>
      </w:r>
      <w:r>
        <w:rPr>
          <w:rFonts w:hint="default" w:ascii="Times New Roman" w:hAnsi="Times New Roman" w:eastAsia="仿宋_GB2312" w:cs="Times New Roman"/>
          <w:color w:val="000000"/>
          <w:kern w:val="2"/>
          <w:sz w:val="32"/>
          <w:szCs w:val="24"/>
          <w:lang w:val="zh-CN"/>
        </w:rPr>
        <w:t>%，其中：授予小微企业合同金额</w:t>
      </w:r>
      <w:r>
        <w:rPr>
          <w:rFonts w:hint="default" w:ascii="Times New Roman" w:hAnsi="Times New Roman" w:eastAsia="仿宋_GB2312" w:cs="Times New Roman"/>
          <w:color w:val="000000"/>
          <w:kern w:val="2"/>
          <w:sz w:val="32"/>
          <w:szCs w:val="24"/>
          <w:lang w:val="en-US" w:eastAsia="zh-CN"/>
        </w:rPr>
        <w:t>578.49</w:t>
      </w:r>
      <w:r>
        <w:rPr>
          <w:rFonts w:hint="default" w:ascii="Times New Roman" w:hAnsi="Times New Roman" w:eastAsia="仿宋_GB2312" w:cs="Times New Roman"/>
          <w:color w:val="000000"/>
          <w:kern w:val="2"/>
          <w:sz w:val="32"/>
          <w:szCs w:val="24"/>
          <w:lang w:val="zh-CN"/>
        </w:rPr>
        <w:t>万元，</w:t>
      </w:r>
      <w:r>
        <w:rPr>
          <w:rFonts w:hint="default" w:ascii="Times New Roman" w:hAnsi="Times New Roman" w:eastAsia="仿宋_GB2312" w:cs="Times New Roman"/>
          <w:color w:val="auto"/>
          <w:kern w:val="2"/>
          <w:sz w:val="32"/>
          <w:szCs w:val="24"/>
          <w:lang w:val="en-US"/>
        </w:rPr>
        <w:t>占政府采购支出总额的</w:t>
      </w:r>
      <w:r>
        <w:rPr>
          <w:rFonts w:hint="default" w:ascii="Times New Roman" w:hAnsi="Times New Roman" w:eastAsia="仿宋_GB2312" w:cs="Times New Roman"/>
          <w:color w:val="auto"/>
          <w:kern w:val="2"/>
          <w:sz w:val="32"/>
          <w:szCs w:val="24"/>
          <w:lang w:val="en-US" w:eastAsia="zh-CN"/>
        </w:rPr>
        <w:t>100</w:t>
      </w:r>
      <w:r>
        <w:rPr>
          <w:rFonts w:hint="default" w:ascii="Times New Roman" w:hAnsi="Times New Roman" w:eastAsia="仿宋_GB2312" w:cs="Times New Roman"/>
          <w:color w:val="000000"/>
          <w:kern w:val="2"/>
          <w:sz w:val="32"/>
          <w:szCs w:val="24"/>
          <w:lang w:val="zh-CN"/>
        </w:rPr>
        <w:t>%。</w:t>
      </w:r>
    </w:p>
    <w:p>
      <w:pPr>
        <w:pageBreakBefore w:val="0"/>
        <w:wordWrap/>
        <w:topLinePunct w:val="0"/>
        <w:bidi w:val="0"/>
        <w:spacing w:line="560" w:lineRule="exact"/>
        <w:ind w:firstLine="643" w:firstLineChars="200"/>
        <w:outlineLvl w:val="2"/>
        <w:rPr>
          <w:rFonts w:hint="default" w:ascii="Times New Roman" w:hAnsi="Times New Roman" w:eastAsia="楷体" w:cs="Times New Roman"/>
          <w:b/>
          <w:color w:val="auto"/>
          <w:sz w:val="32"/>
          <w:szCs w:val="32"/>
          <w:highlight w:val="none"/>
        </w:rPr>
      </w:pPr>
      <w:bookmarkStart w:id="70" w:name="_Toc15377224"/>
      <w:r>
        <w:rPr>
          <w:rFonts w:hint="default" w:ascii="Times New Roman" w:hAnsi="Times New Roman" w:eastAsia="楷体" w:cs="Times New Roman"/>
          <w:b/>
          <w:color w:val="auto"/>
          <w:sz w:val="32"/>
          <w:szCs w:val="32"/>
          <w:highlight w:val="none"/>
        </w:rPr>
        <w:t>（三）国有资产占有使用情况</w:t>
      </w:r>
      <w:bookmarkEnd w:id="70"/>
    </w:p>
    <w:p>
      <w:pPr>
        <w:pageBreakBefore w:val="0"/>
        <w:wordWrap/>
        <w:topLinePunct w:val="0"/>
        <w:autoSpaceDE w:val="0"/>
        <w:autoSpaceDN w:val="0"/>
        <w:bidi w:val="0"/>
        <w:adjustRightInd w:val="0"/>
        <w:spacing w:line="56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截至20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年12月31日，</w:t>
      </w:r>
      <w:r>
        <w:rPr>
          <w:rFonts w:hint="default" w:ascii="Times New Roman" w:hAnsi="Times New Roman" w:eastAsia="仿宋_GB2312" w:cs="Times New Roman"/>
          <w:color w:val="000000"/>
          <w:kern w:val="2"/>
          <w:sz w:val="32"/>
          <w:szCs w:val="24"/>
          <w:lang w:val="zh-CN"/>
        </w:rPr>
        <w:t>沐川县交通运输局共有车辆5辆，其中：副部（省）级及以上领导用车0辆、主要领导干部用车0辆、机要通信用车2辆、应急保障用车0辆、执法执勤用车0辆、特种专业技术用车0辆、离退休干部用车0辆、其他用车3辆。</w:t>
      </w:r>
      <w:r>
        <w:rPr>
          <w:rFonts w:hint="default" w:ascii="Times New Roman" w:hAnsi="Times New Roman" w:eastAsia="仿宋_GB2312" w:cs="Times New Roman"/>
          <w:color w:val="auto"/>
          <w:sz w:val="32"/>
          <w:szCs w:val="32"/>
          <w:highlight w:val="none"/>
        </w:rPr>
        <w:t>单价100万元以上专用设备</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台（套）。</w:t>
      </w:r>
    </w:p>
    <w:p>
      <w:pPr>
        <w:pageBreakBefore w:val="0"/>
        <w:wordWrap/>
        <w:topLinePunct w:val="0"/>
        <w:bidi w:val="0"/>
        <w:spacing w:line="560" w:lineRule="exact"/>
        <w:ind w:firstLine="643" w:firstLineChars="200"/>
        <w:outlineLvl w:val="2"/>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rPr>
        <w:t>（四）预算绩效管理情况</w:t>
      </w:r>
    </w:p>
    <w:p>
      <w:pPr>
        <w:pStyle w:val="6"/>
        <w:pageBreakBefore w:val="0"/>
        <w:wordWrap/>
        <w:topLinePunct w:val="0"/>
        <w:bidi w:val="0"/>
        <w:spacing w:line="560" w:lineRule="exact"/>
        <w:ind w:firstLine="640" w:firstLineChars="200"/>
        <w:rPr>
          <w:rFonts w:hint="default" w:ascii="Times New Roman" w:hAnsi="Times New Roman"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根据预算绩效管理要求，本单位在202</w:t>
      </w:r>
      <w:r>
        <w:rPr>
          <w:rFonts w:hint="default" w:ascii="Times New Roman" w:hAnsi="Times New Roman"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年度预算编制阶段，组织对</w:t>
      </w:r>
      <w:r>
        <w:rPr>
          <w:rFonts w:hint="default" w:ascii="Times New Roman" w:hAnsi="Times New Roman" w:cs="Times New Roman"/>
          <w:sz w:val="32"/>
          <w:szCs w:val="32"/>
          <w:lang w:eastAsia="zh-CN"/>
        </w:rPr>
        <w:t>质监测设</w:t>
      </w:r>
      <w:r>
        <w:rPr>
          <w:rFonts w:hint="default" w:ascii="Times New Roman" w:hAnsi="Times New Roman" w:eastAsia="仿宋_GB2312" w:cs="Times New Roman"/>
          <w:sz w:val="32"/>
          <w:szCs w:val="32"/>
        </w:rPr>
        <w:t>经费</w:t>
      </w:r>
      <w:r>
        <w:rPr>
          <w:rFonts w:hint="default" w:ascii="Times New Roman" w:hAnsi="Times New Roman" w:cs="Times New Roman"/>
          <w:sz w:val="32"/>
          <w:szCs w:val="32"/>
          <w:lang w:eastAsia="zh-CN"/>
        </w:rPr>
        <w:t>、农村客运车辆保险</w:t>
      </w:r>
      <w:r>
        <w:rPr>
          <w:rFonts w:hint="default" w:ascii="Times New Roman" w:hAnsi="Times New Roman" w:eastAsia="仿宋_GB2312" w:cs="Times New Roman"/>
          <w:sz w:val="32"/>
          <w:szCs w:val="32"/>
        </w:rPr>
        <w:t>、</w:t>
      </w:r>
      <w:r>
        <w:rPr>
          <w:rFonts w:hint="default" w:ascii="Times New Roman" w:hAnsi="Times New Roman" w:cs="Times New Roman"/>
          <w:sz w:val="32"/>
          <w:szCs w:val="32"/>
          <w:lang w:eastAsia="zh-CN"/>
        </w:rPr>
        <w:t>道路养护项目、五沐快速管养项目</w:t>
      </w:r>
      <w:r>
        <w:rPr>
          <w:rFonts w:hint="default" w:ascii="Times New Roman" w:hAnsi="Times New Roman" w:eastAsia="仿宋_GB2312" w:cs="Times New Roman"/>
          <w:color w:val="auto"/>
          <w:sz w:val="32"/>
          <w:szCs w:val="32"/>
          <w:highlight w:val="none"/>
        </w:rPr>
        <w:t>等</w:t>
      </w:r>
      <w:r>
        <w:rPr>
          <w:rFonts w:hint="default" w:ascii="Times New Roman" w:hAnsi="Times New Roman"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rPr>
        <w:t>个项目开展了预算事前绩效评估，对</w:t>
      </w:r>
      <w:r>
        <w:rPr>
          <w:rFonts w:hint="default" w:ascii="Times New Roman" w:hAnsi="Times New Roman"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rPr>
        <w:t>个项目编制了绩效目标，预算执行过程中，选取</w:t>
      </w:r>
      <w:r>
        <w:rPr>
          <w:rFonts w:hint="default" w:ascii="Times New Roman" w:hAnsi="Times New Roman"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rPr>
        <w:t>个项目开展绩效监控</w:t>
      </w:r>
      <w:r>
        <w:rPr>
          <w:rFonts w:hint="default" w:ascii="Times New Roman" w:hAnsi="Times New Roman" w:cs="Times New Roman"/>
          <w:color w:val="auto"/>
          <w:sz w:val="32"/>
          <w:szCs w:val="32"/>
          <w:highlight w:val="none"/>
          <w:lang w:eastAsia="zh-CN"/>
        </w:rPr>
        <w:t>。</w:t>
      </w:r>
    </w:p>
    <w:p>
      <w:pPr>
        <w:pStyle w:val="6"/>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组织对2022年度一般公共预算、政府性基金预算以及资本资产等全面开展绩效自评，形成</w:t>
      </w:r>
      <w:r>
        <w:rPr>
          <w:rFonts w:hint="default" w:ascii="Times New Roman" w:hAnsi="Times New Roman" w:cs="Times New Roman"/>
          <w:color w:val="auto"/>
          <w:sz w:val="32"/>
          <w:szCs w:val="32"/>
          <w:highlight w:val="none"/>
          <w:lang w:eastAsia="zh-CN"/>
        </w:rPr>
        <w:t>沐川县交通运输局</w:t>
      </w:r>
      <w:r>
        <w:rPr>
          <w:rFonts w:hint="default" w:ascii="Times New Roman" w:hAnsi="Times New Roman" w:eastAsia="仿宋_GB2312" w:cs="Times New Roman"/>
          <w:color w:val="auto"/>
          <w:sz w:val="32"/>
          <w:szCs w:val="32"/>
          <w:highlight w:val="none"/>
        </w:rPr>
        <w:t>部门整体（含部门预算项目）绩效自评报告、农村客运车辆保险补贴</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城市公交运营补贴</w:t>
      </w:r>
      <w:r>
        <w:rPr>
          <w:rFonts w:hint="default" w:ascii="Times New Roman" w:hAnsi="Times New Roman" w:eastAsia="仿宋_GB2312" w:cs="Times New Roman"/>
          <w:color w:val="auto"/>
          <w:sz w:val="32"/>
          <w:szCs w:val="32"/>
          <w:highlight w:val="none"/>
        </w:rPr>
        <w:t>等专项预算项目绩效自评报告，其中，</w:t>
      </w:r>
      <w:r>
        <w:rPr>
          <w:rFonts w:hint="default" w:ascii="Times New Roman" w:hAnsi="Times New Roman" w:cs="Times New Roman"/>
          <w:color w:val="auto"/>
          <w:sz w:val="32"/>
          <w:szCs w:val="32"/>
          <w:highlight w:val="none"/>
          <w:lang w:eastAsia="zh-CN"/>
        </w:rPr>
        <w:t>沐川县交通运输局</w:t>
      </w:r>
      <w:r>
        <w:rPr>
          <w:rFonts w:hint="default" w:ascii="Times New Roman" w:hAnsi="Times New Roman" w:eastAsia="仿宋_GB2312" w:cs="Times New Roman"/>
          <w:color w:val="auto"/>
          <w:sz w:val="32"/>
          <w:szCs w:val="32"/>
          <w:highlight w:val="none"/>
        </w:rPr>
        <w:t>部门整体（含部门预算项目）绩效自评得分为</w:t>
      </w:r>
      <w:r>
        <w:rPr>
          <w:rFonts w:hint="default" w:ascii="Times New Roman" w:hAnsi="Times New Roman" w:cs="Times New Roman"/>
          <w:color w:val="auto"/>
          <w:sz w:val="32"/>
          <w:szCs w:val="32"/>
          <w:highlight w:val="none"/>
          <w:lang w:val="en-US" w:eastAsia="zh-CN"/>
        </w:rPr>
        <w:t>91.6</w:t>
      </w:r>
      <w:r>
        <w:rPr>
          <w:rFonts w:hint="default" w:ascii="Times New Roman" w:hAnsi="Times New Roman" w:eastAsia="仿宋_GB2312" w:cs="Times New Roman"/>
          <w:color w:val="auto"/>
          <w:sz w:val="32"/>
          <w:szCs w:val="32"/>
          <w:highlight w:val="none"/>
        </w:rPr>
        <w:t>分，绩效自评综述：</w:t>
      </w:r>
      <w:r>
        <w:rPr>
          <w:rFonts w:hint="default" w:ascii="Times New Roman" w:hAnsi="Times New Roman" w:eastAsia="仿宋_GB2312" w:cs="Times New Roman"/>
          <w:color w:val="auto"/>
          <w:kern w:val="0"/>
          <w:sz w:val="32"/>
          <w:szCs w:val="32"/>
          <w:highlight w:val="none"/>
        </w:rPr>
        <w:t>部</w:t>
      </w:r>
      <w:r>
        <w:rPr>
          <w:rFonts w:hint="default" w:ascii="Times New Roman" w:hAnsi="Times New Roman" w:eastAsia="仿宋_GB2312" w:cs="Times New Roman"/>
          <w:color w:val="000000"/>
          <w:kern w:val="0"/>
          <w:sz w:val="32"/>
          <w:szCs w:val="32"/>
        </w:rPr>
        <w:t>门整体自评认真仔细质量高、绩效目标和自评情况、评价结果按县财政要求按时公开。在自评中认真总结经验和工作中的注意事项，为来年工作做的更好打好基础，为财政部门和上级业务主管部门安排项</w:t>
      </w:r>
      <w:r>
        <w:rPr>
          <w:rFonts w:hint="default" w:ascii="Times New Roman" w:hAnsi="Times New Roman" w:eastAsia="仿宋_GB2312" w:cs="Times New Roman"/>
          <w:color w:val="000000"/>
          <w:kern w:val="0"/>
          <w:sz w:val="32"/>
          <w:szCs w:val="32"/>
          <w:highlight w:val="none"/>
        </w:rPr>
        <w:t>目资金提供参考</w:t>
      </w:r>
      <w:r>
        <w:rPr>
          <w:rFonts w:hint="default" w:ascii="Times New Roman" w:hAnsi="Times New Roman" w:cs="Times New Roman"/>
          <w:color w:val="000000"/>
          <w:kern w:val="0"/>
          <w:sz w:val="32"/>
          <w:szCs w:val="32"/>
          <w:highlight w:val="none"/>
          <w:lang w:val="en-US" w:eastAsia="zh-CN"/>
        </w:rPr>
        <w:t>;</w:t>
      </w:r>
      <w:r>
        <w:rPr>
          <w:rFonts w:hint="default" w:ascii="Times New Roman" w:hAnsi="Times New Roman" w:eastAsia="仿宋_GB2312" w:cs="Times New Roman"/>
          <w:color w:val="auto"/>
          <w:sz w:val="32"/>
          <w:szCs w:val="32"/>
          <w:highlight w:val="none"/>
        </w:rPr>
        <w:t>农村客运车辆保险补贴专项预算项目绩效自评得分为</w:t>
      </w:r>
      <w:r>
        <w:rPr>
          <w:rFonts w:hint="default" w:ascii="Times New Roman" w:hAnsi="Times New Roman" w:cs="Times New Roman"/>
          <w:color w:val="auto"/>
          <w:sz w:val="32"/>
          <w:szCs w:val="32"/>
          <w:highlight w:val="none"/>
          <w:lang w:val="en-US" w:eastAsia="zh-CN"/>
        </w:rPr>
        <w:t>99</w:t>
      </w:r>
      <w:r>
        <w:rPr>
          <w:rFonts w:hint="default" w:ascii="Times New Roman" w:hAnsi="Times New Roman" w:eastAsia="仿宋_GB2312" w:cs="Times New Roman"/>
          <w:color w:val="auto"/>
          <w:sz w:val="32"/>
          <w:szCs w:val="32"/>
          <w:highlight w:val="none"/>
        </w:rPr>
        <w:t>分，绩效自评综述</w:t>
      </w:r>
      <w:r>
        <w:rPr>
          <w:rFonts w:hint="default" w:ascii="Times New Roman" w:hAnsi="Times New Roman" w:cs="Times New Roman"/>
          <w:color w:val="auto"/>
          <w:sz w:val="32"/>
          <w:szCs w:val="32"/>
          <w:highlight w:val="none"/>
          <w:lang w:eastAsia="zh-CN"/>
        </w:rPr>
        <w:t>：该</w:t>
      </w:r>
      <w:r>
        <w:rPr>
          <w:rFonts w:hint="default" w:ascii="Times New Roman" w:hAnsi="Times New Roman" w:eastAsia="仿宋" w:cs="Times New Roman"/>
          <w:color w:val="000000"/>
          <w:sz w:val="32"/>
          <w:szCs w:val="32"/>
          <w:lang w:eastAsia="zh-CN"/>
        </w:rPr>
        <w:t>项目属</w:t>
      </w:r>
      <w:r>
        <w:rPr>
          <w:rFonts w:hint="default" w:ascii="Times New Roman" w:hAnsi="Times New Roman" w:eastAsia="仿宋_GB2312" w:cs="Times New Roman"/>
          <w:kern w:val="2"/>
          <w:sz w:val="32"/>
          <w:szCs w:val="32"/>
          <w:lang w:val="zh-CN" w:eastAsia="zh-CN" w:bidi="ar-SA"/>
        </w:rPr>
        <w:t>管理运输类项目</w:t>
      </w:r>
      <w:r>
        <w:rPr>
          <w:rFonts w:hint="default" w:ascii="Times New Roman" w:hAnsi="Times New Roman" w:eastAsia="仿宋" w:cs="Times New Roman"/>
          <w:color w:val="000000"/>
          <w:sz w:val="32"/>
          <w:szCs w:val="32"/>
          <w:lang w:eastAsia="zh-CN"/>
        </w:rPr>
        <w:t>，年初按</w:t>
      </w:r>
      <w:r>
        <w:rPr>
          <w:rFonts w:hint="default" w:ascii="Times New Roman" w:hAnsi="Times New Roman" w:eastAsia="仿宋" w:cs="Times New Roman"/>
          <w:color w:val="000000"/>
          <w:sz w:val="32"/>
          <w:szCs w:val="32"/>
          <w:lang w:val="en-US" w:eastAsia="zh-CN"/>
        </w:rPr>
        <w:t>2022年实际农村客运车辆54辆预算车辆保险，在执行过程中支付的2018年农村客运车辆42辆保险按申报金额的70%进行补贴；</w:t>
      </w:r>
      <w:r>
        <w:rPr>
          <w:rFonts w:hint="default" w:ascii="Times New Roman" w:hAnsi="Times New Roman" w:cs="Times New Roman"/>
          <w:color w:val="000000"/>
          <w:kern w:val="0"/>
          <w:sz w:val="32"/>
          <w:szCs w:val="32"/>
          <w:highlight w:val="none"/>
          <w:lang w:val="en-US" w:eastAsia="zh-CN"/>
        </w:rPr>
        <w:t>城市公交运营补贴</w:t>
      </w:r>
      <w:r>
        <w:rPr>
          <w:rFonts w:hint="default" w:ascii="Times New Roman" w:hAnsi="Times New Roman" w:eastAsia="仿宋_GB2312" w:cs="Times New Roman"/>
          <w:color w:val="auto"/>
          <w:sz w:val="32"/>
          <w:szCs w:val="32"/>
          <w:highlight w:val="none"/>
        </w:rPr>
        <w:t>专项预算项目绩效自评得分为</w:t>
      </w:r>
      <w:r>
        <w:rPr>
          <w:rFonts w:hint="default" w:ascii="Times New Roman" w:hAnsi="Times New Roman" w:cs="Times New Roman"/>
          <w:color w:val="auto"/>
          <w:sz w:val="32"/>
          <w:szCs w:val="32"/>
          <w:highlight w:val="none"/>
          <w:lang w:val="en-US" w:eastAsia="zh-CN"/>
        </w:rPr>
        <w:t>99</w:t>
      </w:r>
      <w:r>
        <w:rPr>
          <w:rFonts w:hint="default" w:ascii="Times New Roman" w:hAnsi="Times New Roman" w:eastAsia="仿宋_GB2312" w:cs="Times New Roman"/>
          <w:color w:val="auto"/>
          <w:sz w:val="32"/>
          <w:szCs w:val="32"/>
          <w:highlight w:val="none"/>
        </w:rPr>
        <w:t>分，绩效自评综述</w:t>
      </w:r>
      <w:r>
        <w:rPr>
          <w:rFonts w:hint="default" w:ascii="Times New Roman" w:hAnsi="Times New Roman" w:cs="Times New Roman"/>
          <w:color w:val="auto"/>
          <w:sz w:val="32"/>
          <w:szCs w:val="32"/>
          <w:highlight w:val="none"/>
          <w:lang w:eastAsia="zh-CN"/>
        </w:rPr>
        <w:t>：</w:t>
      </w:r>
      <w:r>
        <w:rPr>
          <w:rFonts w:hint="default" w:ascii="Times New Roman" w:hAnsi="Times New Roman" w:eastAsia="仿宋" w:cs="Times New Roman"/>
          <w:color w:val="000000"/>
          <w:sz w:val="32"/>
          <w:szCs w:val="32"/>
          <w:lang w:eastAsia="zh-CN"/>
        </w:rPr>
        <w:t>该项目属公路运输</w:t>
      </w:r>
      <w:r>
        <w:rPr>
          <w:rFonts w:hint="default" w:ascii="Times New Roman" w:hAnsi="Times New Roman" w:eastAsia="仿宋_GB2312" w:cs="Times New Roman"/>
          <w:kern w:val="2"/>
          <w:sz w:val="32"/>
          <w:szCs w:val="32"/>
          <w:lang w:val="zh-CN" w:eastAsia="zh-CN" w:bidi="ar-SA"/>
        </w:rPr>
        <w:t>管理类项目</w:t>
      </w:r>
      <w:r>
        <w:rPr>
          <w:rFonts w:hint="default" w:ascii="Times New Roman" w:hAnsi="Times New Roman" w:eastAsia="仿宋" w:cs="Times New Roman"/>
          <w:color w:val="000000"/>
          <w:sz w:val="32"/>
          <w:szCs w:val="32"/>
          <w:lang w:eastAsia="zh-CN"/>
        </w:rPr>
        <w:t>，年初按经营性城市公交车</w:t>
      </w:r>
      <w:r>
        <w:rPr>
          <w:rFonts w:hint="default" w:ascii="Times New Roman" w:hAnsi="Times New Roman" w:eastAsia="仿宋" w:cs="Times New Roman"/>
          <w:color w:val="000000"/>
          <w:sz w:val="32"/>
          <w:szCs w:val="32"/>
          <w:lang w:val="en-US" w:eastAsia="zh-CN"/>
        </w:rPr>
        <w:t>50辆，每辆6万预算，在执行过程中有17辆</w:t>
      </w:r>
      <w:r>
        <w:rPr>
          <w:rFonts w:hint="default" w:ascii="Times New Roman" w:hAnsi="Times New Roman" w:eastAsia="仿宋_GB2312" w:cs="Times New Roman"/>
          <w:kern w:val="2"/>
          <w:sz w:val="32"/>
          <w:szCs w:val="32"/>
          <w:lang w:val="en-US" w:eastAsia="zh-CN" w:bidi="ar-SA"/>
        </w:rPr>
        <w:t>经营性城市公交报废下线（</w:t>
      </w:r>
      <w:r>
        <w:rPr>
          <w:rFonts w:hint="default" w:ascii="Times New Roman" w:hAnsi="Times New Roman" w:eastAsia="仿宋" w:cs="Times New Roman"/>
          <w:color w:val="000000"/>
          <w:sz w:val="32"/>
          <w:szCs w:val="32"/>
          <w:lang w:val="en-US" w:eastAsia="zh-CN"/>
        </w:rPr>
        <w:t>5月10辆、</w:t>
      </w:r>
      <w:r>
        <w:rPr>
          <w:rFonts w:hint="default" w:ascii="Times New Roman" w:hAnsi="Times New Roman" w:eastAsia="仿宋_GB2312" w:cs="Times New Roman"/>
          <w:kern w:val="2"/>
          <w:sz w:val="32"/>
          <w:szCs w:val="32"/>
          <w:lang w:val="en-US" w:eastAsia="zh-CN" w:bidi="ar-SA"/>
        </w:rPr>
        <w:t>9月5辆、10月1辆、12月1辆），</w:t>
      </w:r>
      <w:r>
        <w:rPr>
          <w:rFonts w:hint="default" w:ascii="Times New Roman" w:hAnsi="Times New Roman" w:eastAsia="仿宋" w:cs="Times New Roman"/>
          <w:color w:val="000000"/>
          <w:sz w:val="32"/>
          <w:szCs w:val="32"/>
          <w:lang w:val="en-US" w:eastAsia="zh-CN"/>
        </w:rPr>
        <w:t>实际补贴</w:t>
      </w:r>
      <w:r>
        <w:rPr>
          <w:rFonts w:hint="default" w:ascii="Times New Roman" w:hAnsi="Times New Roman" w:eastAsia="仿宋_GB2312" w:cs="Times New Roman"/>
          <w:kern w:val="2"/>
          <w:sz w:val="32"/>
          <w:szCs w:val="32"/>
          <w:lang w:val="en-US" w:eastAsia="zh-CN" w:bidi="ar-SA"/>
        </w:rPr>
        <w:t>经营性城市公交46辆(实际在册时间465个月)，合计232.5万</w:t>
      </w:r>
      <w:r>
        <w:rPr>
          <w:rFonts w:hint="default" w:ascii="Times New Roman" w:hAnsi="Times New Roman" w:eastAsia="仿宋" w:cs="Times New Roman"/>
          <w:color w:val="000000"/>
          <w:sz w:val="32"/>
          <w:szCs w:val="32"/>
          <w:lang w:val="en-US" w:eastAsia="zh-CN"/>
        </w:rPr>
        <w:t>，其中12万在省级下达2021年节能减排补助资金中列支，以上两个</w:t>
      </w:r>
      <w:r>
        <w:rPr>
          <w:rFonts w:hint="default" w:ascii="Times New Roman" w:hAnsi="Times New Roman" w:eastAsia="仿宋_GB2312" w:cs="Times New Roman"/>
          <w:sz w:val="32"/>
          <w:szCs w:val="32"/>
        </w:rPr>
        <w:t>项目政策依据充分，项目的设立经过严格的评估论证，与部门职责相适应；项目规划符合年度目标；项目资金使用符合相关财务管理的规定；实施程序符合项目方案。</w:t>
      </w:r>
      <w:r>
        <w:rPr>
          <w:rFonts w:hint="default" w:ascii="Times New Roman" w:hAnsi="Times New Roman" w:eastAsia="仿宋_GB2312" w:cs="Times New Roman"/>
          <w:color w:val="auto"/>
          <w:sz w:val="32"/>
          <w:szCs w:val="32"/>
          <w:highlight w:val="none"/>
        </w:rPr>
        <w:t>绩效自评报告详见附件。</w:t>
      </w:r>
    </w:p>
    <w:p>
      <w:pPr>
        <w:pStyle w:val="6"/>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p>
    <w:p>
      <w:pPr>
        <w:pStyle w:val="6"/>
        <w:pageBreakBefore w:val="0"/>
        <w:wordWrap/>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p>
    <w:p>
      <w:pPr>
        <w:pageBreakBefore w:val="0"/>
        <w:widowControl/>
        <w:wordWrap/>
        <w:topLinePunct w:val="0"/>
        <w:bidi w:val="0"/>
        <w:spacing w:line="560" w:lineRule="exact"/>
        <w:jc w:val="left"/>
        <w:rPr>
          <w:rFonts w:hint="default" w:ascii="Times New Roman" w:hAnsi="Times New Roman" w:eastAsia="仿宋_GB2312" w:cs="Times New Roman"/>
          <w:b/>
          <w:color w:val="auto"/>
          <w:sz w:val="32"/>
          <w:szCs w:val="32"/>
          <w:highlight w:val="none"/>
        </w:rPr>
      </w:pPr>
    </w:p>
    <w:p>
      <w:pPr>
        <w:pageBreakBefore w:val="0"/>
        <w:numPr>
          <w:ilvl w:val="0"/>
          <w:numId w:val="0"/>
        </w:numPr>
        <w:wordWrap/>
        <w:topLinePunct w:val="0"/>
        <w:bidi w:val="0"/>
        <w:spacing w:line="560" w:lineRule="exact"/>
        <w:jc w:val="center"/>
        <w:outlineLvl w:val="0"/>
        <w:rPr>
          <w:rFonts w:hint="default" w:ascii="Times New Roman" w:hAnsi="Times New Roman" w:eastAsia="仿宋_GB2312" w:cs="Times New Roman"/>
          <w:b w:val="0"/>
          <w:bCs w:val="0"/>
          <w:color w:val="auto"/>
          <w:kern w:val="0"/>
          <w:sz w:val="32"/>
          <w:szCs w:val="32"/>
          <w:lang w:val="en-US" w:eastAsia="zh-CN" w:bidi="ar"/>
        </w:rPr>
      </w:pPr>
      <w:bookmarkStart w:id="71" w:name="_Toc15377225"/>
      <w:bookmarkStart w:id="72" w:name="_Toc15396613"/>
      <w:bookmarkStart w:id="73" w:name="_Toc1939"/>
      <w:r>
        <w:rPr>
          <w:rFonts w:hint="default" w:ascii="Times New Roman" w:hAnsi="Times New Roman" w:eastAsia="黑体" w:cs="Times New Roman"/>
          <w:color w:val="auto"/>
          <w:sz w:val="32"/>
          <w:szCs w:val="32"/>
          <w:highlight w:val="none"/>
          <w:lang w:val="en-US" w:eastAsia="zh-CN"/>
        </w:rPr>
        <w:t xml:space="preserve">第三部分 </w:t>
      </w:r>
      <w:r>
        <w:rPr>
          <w:rFonts w:hint="default" w:ascii="Times New Roman" w:hAnsi="Times New Roman" w:eastAsia="黑体" w:cs="Times New Roman"/>
          <w:color w:val="auto"/>
          <w:sz w:val="32"/>
          <w:szCs w:val="32"/>
          <w:highlight w:val="none"/>
        </w:rPr>
        <w:t>名</w:t>
      </w:r>
      <w:r>
        <w:rPr>
          <w:rStyle w:val="30"/>
          <w:rFonts w:hint="default" w:ascii="Times New Roman" w:hAnsi="Times New Roman" w:eastAsia="黑体" w:cs="Times New Roman"/>
          <w:b w:val="0"/>
          <w:color w:val="auto"/>
          <w:sz w:val="32"/>
          <w:szCs w:val="32"/>
          <w:highlight w:val="none"/>
        </w:rPr>
        <w:t>词解释</w:t>
      </w:r>
      <w:bookmarkEnd w:id="71"/>
      <w:bookmarkEnd w:id="72"/>
      <w:bookmarkEnd w:id="73"/>
    </w:p>
    <w:p>
      <w:pPr>
        <w:pStyle w:val="21"/>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1．财政拨款收入：指单位从同级财政部门取得的财政预算资金。</w:t>
      </w:r>
    </w:p>
    <w:p>
      <w:pPr>
        <w:pStyle w:val="21"/>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2．其他收入：指单位取得的除上述收入以外的各项收入。</w:t>
      </w:r>
    </w:p>
    <w:p>
      <w:pPr>
        <w:pStyle w:val="21"/>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3．年初结转和结余：指以前年度尚未完成、结转到本年按有关规定继续使用的资金。</w:t>
      </w:r>
    </w:p>
    <w:p>
      <w:pPr>
        <w:pStyle w:val="21"/>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4．年末结转和结余：指单位按有关规定结转到下年或以后年度继续使用的资金。</w:t>
      </w:r>
    </w:p>
    <w:p>
      <w:pPr>
        <w:pStyle w:val="21"/>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5．社会保障和就业支出（类）行政事业单位养老支出（款）机关事业单位基本养老保险缴费支出（项）：反映机关事业单位实施养老保险制度由单位缴纳的基本养老保险费支出。</w:t>
      </w:r>
    </w:p>
    <w:p>
      <w:pPr>
        <w:pStyle w:val="21"/>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6．社会保障和就业支出（类）行政事业单位养老支出（款）机关事业单位职业年金缴费支出（项）：反映机关事业单位实施养老保险制度由单位实际缴纳的职业年金支出。</w:t>
      </w:r>
    </w:p>
    <w:p>
      <w:pPr>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7．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p>
    <w:p>
      <w:pPr>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8．卫生健康支出（类）行政事业单位医疗（款）事业单位医疗（项）：反映财政部门安排的事业单位基本医疗保险缴费经费，未参加医疗保险的事业单位的公费医疗经费，按国家规定享受离休人员待遇的医疗经费。</w:t>
      </w:r>
    </w:p>
    <w:p>
      <w:pPr>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9．节能环保支出（类）环境保护管理事务（款）行政运行（项）：行政单位（包括实行公务员管理的事业单位）的基本支出。</w:t>
      </w:r>
    </w:p>
    <w:p>
      <w:pPr>
        <w:pStyle w:val="21"/>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10．城乡社区支出（类）国有土地使用权出让收入安排的支出（款）农村基础设施建设支出：</w:t>
      </w:r>
      <w:r>
        <w:rPr>
          <w:rFonts w:hint="default" w:ascii="Times New Roman" w:hAnsi="Times New Roman" w:eastAsia="仿宋_GB2312" w:cs="Times New Roman"/>
          <w:color w:val="000000"/>
          <w:sz w:val="32"/>
          <w:szCs w:val="32"/>
          <w:lang w:val="en-US" w:eastAsia="zh-CN"/>
        </w:rPr>
        <w:t>反映土地出让收入用于</w:t>
      </w:r>
      <w:r>
        <w:rPr>
          <w:rFonts w:hint="default" w:ascii="Times New Roman" w:hAnsi="Times New Roman" w:eastAsia="仿宋_GB2312" w:cs="Times New Roman"/>
          <w:b w:val="0"/>
          <w:bCs w:val="0"/>
          <w:color w:val="auto"/>
          <w:kern w:val="0"/>
          <w:sz w:val="32"/>
          <w:szCs w:val="32"/>
          <w:lang w:val="en-US" w:eastAsia="zh-CN" w:bidi="ar"/>
        </w:rPr>
        <w:t>农村基础设施建设</w:t>
      </w:r>
      <w:r>
        <w:rPr>
          <w:rFonts w:hint="default" w:ascii="Times New Roman" w:hAnsi="Times New Roman" w:eastAsia="仿宋_GB2312" w:cs="Times New Roman"/>
          <w:color w:val="000000"/>
          <w:sz w:val="32"/>
          <w:szCs w:val="32"/>
          <w:lang w:val="en-US" w:eastAsia="zh-CN"/>
        </w:rPr>
        <w:t>的支出。</w:t>
      </w:r>
    </w:p>
    <w:p>
      <w:pPr>
        <w:pageBreakBefore w:val="0"/>
        <w:widowControl/>
        <w:shd w:val="clear" w:color="auto" w:fill="FFFFFF"/>
        <w:wordWrap/>
        <w:topLinePunct w:val="0"/>
        <w:bidi w:val="0"/>
        <w:spacing w:line="560" w:lineRule="exact"/>
        <w:ind w:firstLine="672" w:firstLineChars="21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11．城乡社区支出（类）国有土地使用权出让收入安排的支出（款）其他国有土地使用权出让收入安排的支出：反映土地出让收入用于其他方面的支出。</w:t>
      </w:r>
    </w:p>
    <w:p>
      <w:pPr>
        <w:pStyle w:val="21"/>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12．农林水支出（类）巩固脱贫衔接乡村振兴（款）农村基础设施建设（项）：反映用于农村欠发达地区乡村道路、住房、基本农田、水利设施、人畜饮水、生态环境保护等生产生活条件改善方面的支出。</w:t>
      </w:r>
    </w:p>
    <w:p>
      <w:pPr>
        <w:pageBreakBefore w:val="0"/>
        <w:widowControl/>
        <w:shd w:val="clear" w:color="auto" w:fill="FFFFFF"/>
        <w:wordWrap/>
        <w:topLinePunct w:val="0"/>
        <w:bidi w:val="0"/>
        <w:spacing w:line="560" w:lineRule="exact"/>
        <w:ind w:firstLine="672" w:firstLineChars="21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13．农林水支出（类）巩固脱贫衔接乡村振兴（款）其他巩固脱贫衔接乡村振兴支出（项）：反映其他用于巩固拓展脱贫攻坚成果同乡村振兴有效衔接方面的支出。</w:t>
      </w:r>
    </w:p>
    <w:p>
      <w:pPr>
        <w:pStyle w:val="21"/>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14．交通运输支出（类）公路水路运输（款）行政运行（项）：反映行政单位（包括实行公务员管理的事业单位）的基本支出。</w:t>
      </w:r>
    </w:p>
    <w:p>
      <w:pPr>
        <w:pStyle w:val="21"/>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15．交通运输支出（类）公路水路运输（款）一般行政管理事务（项）：反映行政单位（包括实行公务员管理的事业单位）未单独设置项级科目的其他项目支出。</w:t>
      </w:r>
    </w:p>
    <w:p>
      <w:pPr>
        <w:pStyle w:val="21"/>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16．交通运输支出（类）公路水路运输（款）公路建设（项）：反映新建公路支出，公路改建支出，特大型桥梁建设支出，公路客货运站（场）建设支出。</w:t>
      </w:r>
    </w:p>
    <w:p>
      <w:pPr>
        <w:pStyle w:val="21"/>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17．交通运输支出（类）公路水路运输（款）公路养护（项）：反映公路养护支出。</w:t>
      </w:r>
    </w:p>
    <w:p>
      <w:pPr>
        <w:pStyle w:val="21"/>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18．交通运输支出（类）公路水路运输（款）公路运输管理（项）：反映公路运输管理支出和公路路政管理支出。</w:t>
      </w:r>
    </w:p>
    <w:p>
      <w:pPr>
        <w:pStyle w:val="21"/>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19．交通运输支出（类）公路水路运输（款）水路运输管理支出（项）：反映水路运输管理方面的支出。</w:t>
      </w:r>
    </w:p>
    <w:p>
      <w:pPr>
        <w:pStyle w:val="21"/>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20．交通运输支出（类）公路水路运输（款）其他公路水路运输支出（项）：反映其他用于公路水路运输方面的支出。</w:t>
      </w:r>
    </w:p>
    <w:p>
      <w:pPr>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21．住房保障支出（类）住房改革支出（款）住房公积金（项）：反映行政事业单位按人力资源和社会保障部、财政部规定的基本工资和津贴补贴以及规定比例为职工缴纳的住房公积金。</w:t>
      </w:r>
    </w:p>
    <w:p>
      <w:pPr>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22．基本支出：指为保障机构正常运转、完成日常工作任务而发生的人员支出和公用支出。</w:t>
      </w:r>
    </w:p>
    <w:p>
      <w:pPr>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23．项目支出：指在基本支出之外为完成特定行政任务和事业发展目标所发生的支出。</w:t>
      </w:r>
    </w:p>
    <w:p>
      <w:pPr>
        <w:pStyle w:val="21"/>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24． “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wordWrap/>
        <w:topLinePunct w:val="0"/>
        <w:bidi w:val="0"/>
        <w:spacing w:line="560" w:lineRule="exact"/>
        <w:ind w:firstLine="640"/>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25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ordWrap/>
        <w:topLinePunct w:val="0"/>
        <w:bidi w:val="0"/>
        <w:spacing w:line="560" w:lineRule="exact"/>
        <w:jc w:val="center"/>
        <w:outlineLvl w:val="0"/>
        <w:rPr>
          <w:rStyle w:val="30"/>
          <w:rFonts w:hint="default" w:ascii="Times New Roman" w:hAnsi="Times New Roman" w:eastAsia="黑体" w:cs="Times New Roman"/>
          <w:b w:val="0"/>
          <w:color w:val="auto"/>
          <w:highlight w:val="none"/>
          <w:lang w:eastAsia="zh-CN"/>
        </w:rPr>
      </w:pPr>
      <w:r>
        <w:rPr>
          <w:rFonts w:hint="default" w:ascii="Times New Roman" w:hAnsi="Times New Roman" w:cs="Times New Roman"/>
          <w:b/>
          <w:color w:val="auto"/>
          <w:sz w:val="44"/>
          <w:szCs w:val="44"/>
          <w:highlight w:val="none"/>
        </w:rPr>
        <w:br w:type="page"/>
      </w:r>
      <w:bookmarkStart w:id="74" w:name="_Toc15396614"/>
      <w:bookmarkStart w:id="75" w:name="_Toc4435"/>
      <w:bookmarkStart w:id="76" w:name="_Toc15377226"/>
      <w:r>
        <w:rPr>
          <w:rFonts w:hint="default" w:ascii="Times New Roman" w:hAnsi="Times New Roman" w:eastAsia="黑体" w:cs="Times New Roman"/>
          <w:color w:val="auto"/>
          <w:sz w:val="32"/>
          <w:szCs w:val="32"/>
          <w:highlight w:val="none"/>
        </w:rPr>
        <w:t>第</w:t>
      </w:r>
      <w:r>
        <w:rPr>
          <w:rStyle w:val="30"/>
          <w:rFonts w:hint="default" w:ascii="Times New Roman" w:hAnsi="Times New Roman" w:eastAsia="黑体" w:cs="Times New Roman"/>
          <w:b w:val="0"/>
          <w:color w:val="auto"/>
          <w:sz w:val="32"/>
          <w:szCs w:val="32"/>
          <w:highlight w:val="none"/>
        </w:rPr>
        <w:t>四部分 附件</w:t>
      </w:r>
      <w:bookmarkEnd w:id="74"/>
      <w:bookmarkEnd w:id="75"/>
    </w:p>
    <w:p>
      <w:pPr>
        <w:keepNext w:val="0"/>
        <w:keepLines w:val="0"/>
        <w:pageBreakBefore w:val="0"/>
        <w:kinsoku/>
        <w:wordWrap/>
        <w:overflowPunct/>
        <w:topLinePunct w:val="0"/>
        <w:autoSpaceDE/>
        <w:autoSpaceDN/>
        <w:bidi w:val="0"/>
        <w:spacing w:line="560" w:lineRule="exact"/>
        <w:jc w:val="left"/>
        <w:textAlignment w:val="auto"/>
        <w:outlineLvl w:val="0"/>
        <w:rPr>
          <w:rFonts w:hint="default" w:ascii="Times New Roman" w:hAnsi="Times New Roman" w:eastAsia="黑体" w:cs="Times New Roman"/>
          <w:color w:val="auto"/>
          <w:kern w:val="0"/>
          <w:sz w:val="32"/>
          <w:szCs w:val="32"/>
          <w:highlight w:val="none"/>
          <w:shd w:val="clear" w:color="auto" w:fill="FFFFFF"/>
          <w:lang w:val="zh-CN"/>
        </w:rPr>
      </w:pPr>
      <w:bookmarkStart w:id="77" w:name="_Toc18172"/>
      <w:bookmarkStart w:id="78" w:name="_Toc26892"/>
      <w:r>
        <w:rPr>
          <w:rFonts w:hint="default" w:ascii="Times New Roman" w:hAnsi="Times New Roman" w:eastAsia="黑体" w:cs="Times New Roman"/>
          <w:color w:val="auto"/>
          <w:sz w:val="32"/>
          <w:szCs w:val="32"/>
          <w:highlight w:val="none"/>
        </w:rPr>
        <w:t>附件</w:t>
      </w:r>
      <w:r>
        <w:rPr>
          <w:rFonts w:hint="default" w:ascii="Times New Roman" w:hAnsi="Times New Roman" w:eastAsia="黑体" w:cs="Times New Roman"/>
          <w:color w:val="auto"/>
          <w:sz w:val="32"/>
          <w:szCs w:val="32"/>
          <w:highlight w:val="none"/>
          <w:lang w:val="en-US" w:eastAsia="zh-CN"/>
        </w:rPr>
        <w:t>1</w:t>
      </w:r>
      <w:bookmarkEnd w:id="77"/>
      <w:bookmarkEnd w:id="78"/>
    </w:p>
    <w:p>
      <w:pPr>
        <w:keepNext w:val="0"/>
        <w:keepLines w:val="0"/>
        <w:pageBreakBefore w:val="0"/>
        <w:widowControl w:val="0"/>
        <w:kinsoku w:val="0"/>
        <w:wordWrap/>
        <w:overflowPunct w:val="0"/>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pacing w:val="1"/>
          <w:sz w:val="36"/>
          <w:szCs w:val="36"/>
        </w:rPr>
      </w:pPr>
      <w:r>
        <w:rPr>
          <w:rFonts w:hint="default" w:ascii="Times New Roman" w:hAnsi="Times New Roman" w:eastAsia="方正小标宋简体" w:cs="Times New Roman"/>
          <w:spacing w:val="1"/>
          <w:sz w:val="36"/>
          <w:szCs w:val="36"/>
        </w:rPr>
        <w:t>沐川县</w:t>
      </w:r>
      <w:r>
        <w:rPr>
          <w:rFonts w:hint="default" w:ascii="Times New Roman" w:hAnsi="Times New Roman" w:eastAsia="方正小标宋简体" w:cs="Times New Roman"/>
          <w:spacing w:val="1"/>
          <w:sz w:val="36"/>
          <w:szCs w:val="36"/>
          <w:lang w:eastAsia="zh-CN"/>
        </w:rPr>
        <w:t>交通运输局</w:t>
      </w:r>
      <w:r>
        <w:rPr>
          <w:rFonts w:hint="default" w:ascii="Times New Roman" w:hAnsi="Times New Roman" w:eastAsia="方正小标宋简体" w:cs="Times New Roman"/>
          <w:spacing w:val="1"/>
          <w:sz w:val="36"/>
          <w:szCs w:val="36"/>
        </w:rPr>
        <w:t>整体支出绩效自评报告</w:t>
      </w:r>
    </w:p>
    <w:p>
      <w:pPr>
        <w:pageBreakBefore w:val="0"/>
        <w:widowControl/>
        <w:wordWrap/>
        <w:topLinePunct w:val="0"/>
        <w:bidi w:val="0"/>
        <w:spacing w:line="560" w:lineRule="exact"/>
        <w:ind w:firstLine="640" w:firstLineChars="200"/>
        <w:contextualSpacing/>
        <w:jc w:val="center"/>
        <w:rPr>
          <w:rFonts w:hint="default" w:ascii="Times New Roman" w:hAnsi="Times New Roman" w:eastAsia="黑体" w:cs="Times New Roman"/>
          <w:szCs w:val="32"/>
        </w:rPr>
      </w:pPr>
      <w:r>
        <w:rPr>
          <w:rFonts w:hint="default" w:ascii="Times New Roman" w:hAnsi="Times New Roman" w:eastAsia="仿宋_GB2312" w:cs="Times New Roman"/>
          <w:sz w:val="32"/>
          <w:szCs w:val="32"/>
          <w:shd w:val="clear" w:color="auto" w:fill="FFFFFF"/>
        </w:rPr>
        <w:t>（报告范围包括机关和下属单位）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一、部门概况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rPr>
        <w:t>(一)机构组成</w:t>
      </w:r>
    </w:p>
    <w:p>
      <w:pPr>
        <w:pageBreakBefore w:val="0"/>
        <w:widowControl/>
        <w:wordWrap/>
        <w:topLinePunct w:val="0"/>
        <w:bidi w:val="0"/>
        <w:adjustRightInd w:val="0"/>
        <w:snapToGrid w:val="0"/>
        <w:spacing w:line="560" w:lineRule="exact"/>
        <w:ind w:firstLine="720"/>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themeColor="text1"/>
          <w:sz w:val="32"/>
          <w:szCs w:val="32"/>
          <w14:textFill>
            <w14:solidFill>
              <w14:schemeClr w14:val="tx1"/>
            </w14:solidFill>
          </w14:textFill>
        </w:rPr>
        <w:t>县交通运输局下属单位4个，其中参照公务员法管理的事业单位1个：县道路运输和港航服务中心；其他事业单位3个：县公路建设服务中心、县交通规划勘察设计所、县交通工程建设质量监督站。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lang w:eastAsia="zh-CN"/>
        </w:rPr>
        <w:t>（</w:t>
      </w:r>
      <w:r>
        <w:rPr>
          <w:rFonts w:hint="default" w:ascii="Times New Roman" w:hAnsi="Times New Roman" w:eastAsia="楷体" w:cs="Times New Roman"/>
          <w:b/>
          <w:color w:val="auto"/>
          <w:sz w:val="32"/>
          <w:szCs w:val="32"/>
          <w:highlight w:val="none"/>
          <w:lang w:val="en-US" w:eastAsia="zh-CN"/>
        </w:rPr>
        <w:t>二</w:t>
      </w:r>
      <w:r>
        <w:rPr>
          <w:rFonts w:hint="default" w:ascii="Times New Roman" w:hAnsi="Times New Roman" w:eastAsia="楷体" w:cs="Times New Roman"/>
          <w:b/>
          <w:color w:val="auto"/>
          <w:sz w:val="32"/>
          <w:szCs w:val="32"/>
          <w:highlight w:val="none"/>
          <w:lang w:eastAsia="zh-CN"/>
        </w:rPr>
        <w:t>）</w:t>
      </w:r>
      <w:r>
        <w:rPr>
          <w:rFonts w:hint="default" w:ascii="Times New Roman" w:hAnsi="Times New Roman" w:eastAsia="楷体" w:cs="Times New Roman"/>
          <w:b/>
          <w:color w:val="auto"/>
          <w:sz w:val="32"/>
          <w:szCs w:val="32"/>
          <w:highlight w:val="none"/>
        </w:rPr>
        <w:t>机构职能</w:t>
      </w:r>
    </w:p>
    <w:p>
      <w:pPr>
        <w:pageBreakBefore w:val="0"/>
        <w:widowControl/>
        <w:wordWrap/>
        <w:topLinePunct w:val="0"/>
        <w:bidi w:val="0"/>
        <w:adjustRightInd w:val="0"/>
        <w:snapToGrid w:val="0"/>
        <w:spacing w:line="560" w:lineRule="exact"/>
        <w:ind w:firstLine="72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①贯彻执行党和国家有关交通运输行业的方针、政策和法律、法规。研究拟订全县交通运输行业的规范性文件和政策措施。负责本系统、本部门依法行政工作。</w:t>
      </w:r>
    </w:p>
    <w:p>
      <w:pPr>
        <w:pageBreakBefore w:val="0"/>
        <w:widowControl/>
        <w:wordWrap/>
        <w:topLinePunct w:val="0"/>
        <w:bidi w:val="0"/>
        <w:adjustRightInd w:val="0"/>
        <w:snapToGrid w:val="0"/>
        <w:spacing w:line="560" w:lineRule="exact"/>
        <w:ind w:firstLine="72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②拟订全县运输业和物流业发展规划并组织实施。编制全县交通基础设施、城市公共交通、区域客货综合运输中长期发展规划并监督执行。负责全县交通行业综合统计、预测及信息引导工作。</w:t>
      </w:r>
    </w:p>
    <w:p>
      <w:pPr>
        <w:pageBreakBefore w:val="0"/>
        <w:widowControl/>
        <w:wordWrap/>
        <w:topLinePunct w:val="0"/>
        <w:bidi w:val="0"/>
        <w:adjustRightInd w:val="0"/>
        <w:snapToGrid w:val="0"/>
        <w:spacing w:line="560" w:lineRule="exact"/>
        <w:ind w:firstLine="720"/>
        <w:jc w:val="lef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③贯彻执行国家有关交通科技政策，指导实施交通行业计量、质量、技术标准和规范工作</w:t>
      </w:r>
      <w:r>
        <w:rPr>
          <w:rFonts w:hint="default" w:ascii="Times New Roman" w:hAnsi="Times New Roman" w:eastAsia="仿宋_GB2312" w:cs="Times New Roman"/>
          <w:color w:val="000000"/>
          <w:sz w:val="32"/>
          <w:szCs w:val="32"/>
        </w:rPr>
        <w:t>。拟订全县交通科技政策、技术标准，组织重大科技开发，推动行业科技创新和进步。负责拟订全县公路养护、农村公路建设的信息化、智能化建设规划并组织实施。</w:t>
      </w:r>
    </w:p>
    <w:p>
      <w:pPr>
        <w:pageBreakBefore w:val="0"/>
        <w:wordWrap/>
        <w:topLinePunct w:val="0"/>
        <w:autoSpaceDE w:val="0"/>
        <w:autoSpaceDN w:val="0"/>
        <w:bidi w:val="0"/>
        <w:adjustRightInd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④负责全县公路和水路交通运输（含客货运输市场、物流市场、汽车、航舶技术检测和维修市场、运输服务市场、搬运装卸市场以及汽车驾驶学校和驾驶员培训工作）行业管理，维护交通运输行业平等竞争秩序，指导城乡客、货运输的衔接协调工作。承担全县出租汽车、公交汽车运输行业的管理责任。指导地方交通运输行业优化结构、协调发展。对重大节假日旅客运输和抢险物资、救灾物资、重点物资运输进行必要的调控。</w:t>
      </w:r>
    </w:p>
    <w:p>
      <w:pPr>
        <w:pageBreakBefore w:val="0"/>
        <w:wordWrap/>
        <w:topLinePunct w:val="0"/>
        <w:autoSpaceDE w:val="0"/>
        <w:autoSpaceDN w:val="0"/>
        <w:bidi w:val="0"/>
        <w:adjustRightInd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⑤负责全县公路和水路交通建设（含客货运输和旅游运输场站建设）行业管理，维护交通建设行业平等竞争秩序。组织实施国家、省、市、县重点公路和水路工程建设，监督全县交通建设项目实施。负责“四好”农村路建设管理，推行“路长制”工作。做好全县农村公路建设的统一规划、协调、验收、管理等工作，指导乡镇具体组织实施。</w:t>
      </w:r>
    </w:p>
    <w:p>
      <w:pPr>
        <w:pageBreakBefore w:val="0"/>
        <w:wordWrap/>
        <w:topLinePunct w:val="0"/>
        <w:bidi w:val="0"/>
        <w:adjustRightInd w:val="0"/>
        <w:snapToGrid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⑥负责水上交通安全监管。负责水上交通管制，监督管理水上港航设施的建设养护及规费稽征、船舶检验、船舶登记和防止污染、救助打捞、通讯导航、危险品运输工作。负责船员培训和发证的归口管理工作。负责渔船检验和监督管理工作。负责港口、码头、航道建设、使用岸线布局的行业管理。负责指导水运市场规划、运力投放管理工作。</w:t>
      </w:r>
    </w:p>
    <w:p>
      <w:pPr>
        <w:pageBreakBefore w:val="0"/>
        <w:wordWrap/>
        <w:topLinePunct w:val="0"/>
        <w:bidi w:val="0"/>
        <w:adjustRightInd w:val="0"/>
        <w:snapToGrid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⑦负责道路运输安全监管。监督指导全县道路运输源头安全、公路工程建设及养护安全和交通企事业单位内部安全，督促法人安全责任制的落实。组织协调全县交通行业重特大责任事故应急救援和突发事件的处置，牵头负责一般责任事故调查处理，组织参与重特大事故调查处理工作。</w:t>
      </w:r>
    </w:p>
    <w:p>
      <w:pPr>
        <w:pageBreakBefore w:val="0"/>
        <w:wordWrap/>
        <w:topLinePunct w:val="0"/>
        <w:autoSpaceDE w:val="0"/>
        <w:autoSpaceDN w:val="0"/>
        <w:bidi w:val="0"/>
        <w:adjustRightInd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⑧指导交通行业的体制改革，负责交通特许经营企业的管理，建立健全规范的交通行业财务管理与会计核算体系，监督管理全县交通行业国有资产。开展省际、市际、县际交通经济技术合作与交通工作。</w:t>
      </w:r>
    </w:p>
    <w:p>
      <w:pPr>
        <w:pageBreakBefore w:val="0"/>
        <w:wordWrap/>
        <w:topLinePunct w:val="0"/>
        <w:autoSpaceDE w:val="0"/>
        <w:autoSpaceDN w:val="0"/>
        <w:bidi w:val="0"/>
        <w:adjustRightInd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⑨负责全县交通战备管理。承担全县重大国防交通运输工作的组织协调和监督检查，承担抢险救灾等突发事件的交通保障任务和交通战备物资运输必要的调控。</w:t>
      </w:r>
    </w:p>
    <w:p>
      <w:pPr>
        <w:pageBreakBefore w:val="0"/>
        <w:wordWrap/>
        <w:topLinePunct w:val="0"/>
        <w:bidi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⑩协调配合相关部门开展本行业违法违规事件的调查处理工作。</w:t>
      </w:r>
    </w:p>
    <w:p>
      <w:pPr>
        <w:pageBreakBefore w:val="0"/>
        <w:wordWrap/>
        <w:topLinePunct w:val="0"/>
        <w:bidi w:val="0"/>
        <w:spacing w:line="560" w:lineRule="exact"/>
        <w:ind w:firstLine="640"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color w:val="000000"/>
          <w:sz w:val="32"/>
          <w:szCs w:val="32"/>
        </w:rPr>
        <w:t>⑪负责职责范围内的安全生产和职业健康、生态环境保护等工作。</w:t>
      </w:r>
    </w:p>
    <w:p>
      <w:pPr>
        <w:pageBreakBefore w:val="0"/>
        <w:wordWrap/>
        <w:topLinePunct w:val="0"/>
        <w:bidi w:val="0"/>
        <w:spacing w:line="560" w:lineRule="exact"/>
        <w:ind w:firstLine="640" w:firstLineChars="200"/>
        <w:contextualSpacing/>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⑫完成县委、县政府交办的其他工作。</w:t>
      </w:r>
    </w:p>
    <w:p>
      <w:pPr>
        <w:pageBreakBefore w:val="0"/>
        <w:wordWrap/>
        <w:topLinePunct w:val="0"/>
        <w:bidi w:val="0"/>
        <w:spacing w:line="560" w:lineRule="exact"/>
        <w:ind w:firstLine="640" w:firstLineChars="200"/>
        <w:contextualSpacing/>
        <w:rPr>
          <w:rFonts w:hint="default" w:ascii="Times New Roman" w:hAnsi="Times New Roman" w:eastAsia="楷体_GB2312" w:cs="Times New Roman"/>
          <w:color w:val="000000"/>
          <w:kern w:val="0"/>
          <w:szCs w:val="32"/>
          <w:shd w:val="clear" w:color="auto" w:fill="FFFFFF"/>
          <w:lang w:val="en-US" w:eastAsia="zh-CN"/>
        </w:rPr>
      </w:pPr>
      <w:r>
        <w:rPr>
          <w:rFonts w:hint="default" w:ascii="Times New Roman" w:hAnsi="Times New Roman" w:eastAsia="仿宋_GB2312" w:cs="Times New Roman"/>
          <w:color w:val="000000"/>
          <w:sz w:val="32"/>
          <w:szCs w:val="32"/>
        </w:rPr>
        <w:t>⑬职能转变</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统筹推进承担行政职能的事业单位改革。县公路路政管理大队不再承担公路路政管理等行政职责。县道路运输管理所不再承担道路运输管理等行政职责。县航务管理处（县地方海事处）不再承担航务管理等行政职责。上述行政职责交由县交通运输局机关有关内设机构承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color w:val="auto"/>
          <w:sz w:val="32"/>
          <w:szCs w:val="32"/>
          <w:highlight w:val="none"/>
          <w:lang w:eastAsia="zh-CN"/>
        </w:rPr>
      </w:pPr>
      <w:r>
        <w:rPr>
          <w:rFonts w:hint="default" w:ascii="Times New Roman" w:hAnsi="Times New Roman" w:eastAsia="楷体" w:cs="Times New Roman"/>
          <w:b/>
          <w:color w:val="auto"/>
          <w:sz w:val="32"/>
          <w:szCs w:val="32"/>
          <w:highlight w:val="none"/>
          <w:lang w:eastAsia="zh-CN"/>
        </w:rPr>
        <w:t>（</w:t>
      </w:r>
      <w:r>
        <w:rPr>
          <w:rFonts w:hint="default" w:ascii="Times New Roman" w:hAnsi="Times New Roman" w:eastAsia="楷体" w:cs="Times New Roman"/>
          <w:b/>
          <w:color w:val="auto"/>
          <w:sz w:val="32"/>
          <w:szCs w:val="32"/>
          <w:highlight w:val="none"/>
          <w:lang w:val="en-US" w:eastAsia="zh-CN"/>
        </w:rPr>
        <w:t>三</w:t>
      </w:r>
      <w:r>
        <w:rPr>
          <w:rFonts w:hint="default" w:ascii="Times New Roman" w:hAnsi="Times New Roman" w:eastAsia="楷体" w:cs="Times New Roman"/>
          <w:b/>
          <w:color w:val="auto"/>
          <w:sz w:val="32"/>
          <w:szCs w:val="32"/>
          <w:highlight w:val="none"/>
          <w:lang w:eastAsia="zh-CN"/>
        </w:rPr>
        <w:t>）人员概况</w:t>
      </w:r>
    </w:p>
    <w:p>
      <w:pPr>
        <w:keepNext w:val="0"/>
        <w:keepLines w:val="0"/>
        <w:pageBreakBefore w:val="0"/>
        <w:kinsoku/>
        <w:wordWrap/>
        <w:overflowPunct/>
        <w:topLinePunct w:val="0"/>
        <w:bidi w:val="0"/>
        <w:snapToGrid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交通运输局现在职人员共11</w:t>
      </w: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人，其中行政人员</w:t>
      </w:r>
      <w:r>
        <w:rPr>
          <w:rFonts w:hint="default" w:ascii="Times New Roman" w:hAnsi="Times New Roman" w:eastAsia="仿宋_GB2312" w:cs="Times New Roman"/>
          <w:color w:val="000000"/>
          <w:sz w:val="32"/>
          <w:szCs w:val="32"/>
          <w:lang w:val="en-US" w:eastAsia="zh-CN"/>
        </w:rPr>
        <w:t>12</w:t>
      </w:r>
      <w:r>
        <w:rPr>
          <w:rFonts w:hint="default" w:ascii="Times New Roman" w:hAnsi="Times New Roman" w:eastAsia="仿宋_GB2312" w:cs="Times New Roman"/>
          <w:color w:val="000000"/>
          <w:sz w:val="32"/>
          <w:szCs w:val="32"/>
        </w:rPr>
        <w:t>人（编制10人</w:t>
      </w:r>
      <w:r>
        <w:rPr>
          <w:rFonts w:hint="default" w:ascii="Times New Roman" w:hAnsi="Times New Roman" w:eastAsia="仿宋_GB2312" w:cs="Times New Roman"/>
          <w:color w:val="000000"/>
          <w:sz w:val="32"/>
          <w:szCs w:val="32"/>
          <w:lang w:val="en-US" w:eastAsia="zh-CN"/>
        </w:rPr>
        <w:t>，提退1人，工勤1人</w:t>
      </w:r>
      <w:r>
        <w:rPr>
          <w:rFonts w:hint="default" w:ascii="Times New Roman" w:hAnsi="Times New Roman" w:eastAsia="仿宋_GB2312" w:cs="Times New Roman"/>
          <w:color w:val="000000"/>
          <w:sz w:val="32"/>
          <w:szCs w:val="32"/>
        </w:rPr>
        <w:t>），参照公务员法管理事业人员3人（编制6人），非参公事业人员104人：公路建设服务中心82人（编制</w:t>
      </w:r>
      <w:r>
        <w:rPr>
          <w:rFonts w:hint="default" w:ascii="Times New Roman" w:hAnsi="Times New Roman" w:eastAsia="仿宋_GB2312" w:cs="Times New Roman"/>
          <w:color w:val="000000"/>
          <w:sz w:val="32"/>
          <w:szCs w:val="32"/>
          <w:lang w:val="en-US" w:eastAsia="zh-CN"/>
        </w:rPr>
        <w:t>86</w:t>
      </w:r>
      <w:r>
        <w:rPr>
          <w:rFonts w:hint="default" w:ascii="Times New Roman" w:hAnsi="Times New Roman" w:eastAsia="仿宋_GB2312" w:cs="Times New Roman"/>
          <w:color w:val="000000"/>
          <w:sz w:val="32"/>
          <w:szCs w:val="32"/>
        </w:rPr>
        <w:t>人）、设计所9人（编制10人）、质监站1</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人（编制14人）。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部门财政资金收支情况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color w:val="auto"/>
          <w:sz w:val="32"/>
          <w:szCs w:val="32"/>
          <w:highlight w:val="none"/>
          <w:lang w:eastAsia="zh-CN"/>
        </w:rPr>
      </w:pPr>
      <w:r>
        <w:rPr>
          <w:rFonts w:hint="default" w:ascii="Times New Roman" w:hAnsi="Times New Roman" w:eastAsia="楷体" w:cs="Times New Roman"/>
          <w:b/>
          <w:color w:val="auto"/>
          <w:sz w:val="32"/>
          <w:szCs w:val="32"/>
          <w:highlight w:val="none"/>
          <w:lang w:eastAsia="zh-CN"/>
        </w:rPr>
        <w:t>（</w:t>
      </w:r>
      <w:r>
        <w:rPr>
          <w:rFonts w:hint="default" w:ascii="Times New Roman" w:hAnsi="Times New Roman" w:eastAsia="楷体" w:cs="Times New Roman"/>
          <w:b/>
          <w:color w:val="auto"/>
          <w:sz w:val="32"/>
          <w:szCs w:val="32"/>
          <w:highlight w:val="none"/>
          <w:lang w:val="en-US" w:eastAsia="zh-CN"/>
        </w:rPr>
        <w:t>一</w:t>
      </w:r>
      <w:r>
        <w:rPr>
          <w:rFonts w:hint="default" w:ascii="Times New Roman" w:hAnsi="Times New Roman" w:eastAsia="楷体" w:cs="Times New Roman"/>
          <w:b/>
          <w:color w:val="auto"/>
          <w:sz w:val="32"/>
          <w:szCs w:val="32"/>
          <w:highlight w:val="none"/>
          <w:lang w:eastAsia="zh-CN"/>
        </w:rPr>
        <w:t>）部门财政资金收入情况</w:t>
      </w:r>
    </w:p>
    <w:p>
      <w:pPr>
        <w:pageBreakBefore w:val="0"/>
        <w:wordWrap/>
        <w:topLinePunct w:val="0"/>
        <w:bidi w:val="0"/>
        <w:spacing w:line="560" w:lineRule="exact"/>
        <w:ind w:firstLine="640" w:firstLineChars="200"/>
        <w:rPr>
          <w:rFonts w:hint="default" w:ascii="Times New Roman" w:hAnsi="Times New Roman" w:eastAsia="仿宋_GB2312" w:cs="Times New Roman"/>
          <w:b w:val="0"/>
          <w:bCs w:val="0"/>
          <w:kern w:val="0"/>
          <w:sz w:val="32"/>
          <w:szCs w:val="32"/>
          <w:lang w:eastAsia="zh-CN"/>
        </w:rPr>
      </w:pPr>
      <w:r>
        <w:rPr>
          <w:rFonts w:hint="default" w:ascii="Times New Roman" w:hAnsi="Times New Roman" w:eastAsia="仿宋_GB2312" w:cs="Times New Roman"/>
          <w:b w:val="0"/>
          <w:bCs w:val="0"/>
          <w:color w:val="000000"/>
          <w:kern w:val="0"/>
          <w:sz w:val="32"/>
          <w:szCs w:val="32"/>
        </w:rPr>
        <w:t>202</w:t>
      </w:r>
      <w:r>
        <w:rPr>
          <w:rFonts w:hint="default" w:ascii="Times New Roman" w:hAnsi="Times New Roman" w:eastAsia="仿宋_GB2312" w:cs="Times New Roman"/>
          <w:b w:val="0"/>
          <w:bCs w:val="0"/>
          <w:color w:val="000000"/>
          <w:kern w:val="0"/>
          <w:sz w:val="32"/>
          <w:szCs w:val="32"/>
          <w:lang w:val="en-US" w:eastAsia="zh-CN"/>
        </w:rPr>
        <w:t>2</w:t>
      </w:r>
      <w:r>
        <w:rPr>
          <w:rFonts w:hint="default" w:ascii="Times New Roman" w:hAnsi="Times New Roman" w:eastAsia="仿宋_GB2312" w:cs="Times New Roman"/>
          <w:b w:val="0"/>
          <w:bCs w:val="0"/>
          <w:color w:val="000000"/>
          <w:kern w:val="0"/>
          <w:sz w:val="32"/>
          <w:szCs w:val="32"/>
        </w:rPr>
        <w:t>年交通运输局年初</w:t>
      </w:r>
      <w:r>
        <w:rPr>
          <w:rFonts w:hint="default" w:ascii="Times New Roman" w:hAnsi="Times New Roman" w:eastAsia="仿宋_GB2312" w:cs="Times New Roman"/>
          <w:b w:val="0"/>
          <w:bCs w:val="0"/>
          <w:color w:val="000000"/>
          <w:kern w:val="0"/>
          <w:sz w:val="32"/>
          <w:szCs w:val="32"/>
          <w:lang w:eastAsia="zh-CN"/>
        </w:rPr>
        <w:t>预算</w:t>
      </w:r>
      <w:r>
        <w:rPr>
          <w:rFonts w:hint="default" w:ascii="Times New Roman" w:hAnsi="Times New Roman" w:eastAsia="仿宋_GB2312" w:cs="Times New Roman"/>
          <w:b w:val="0"/>
          <w:bCs w:val="0"/>
          <w:color w:val="000000"/>
          <w:kern w:val="0"/>
          <w:sz w:val="32"/>
          <w:szCs w:val="32"/>
          <w:lang w:val="en-US" w:eastAsia="zh-CN"/>
        </w:rPr>
        <w:t>10073.97万元，其中</w:t>
      </w:r>
      <w:r>
        <w:rPr>
          <w:rFonts w:hint="default" w:ascii="Times New Roman" w:hAnsi="Times New Roman" w:eastAsia="仿宋_GB2312" w:cs="Times New Roman"/>
          <w:b w:val="0"/>
          <w:bCs w:val="0"/>
          <w:color w:val="000000"/>
          <w:kern w:val="0"/>
          <w:sz w:val="32"/>
          <w:szCs w:val="32"/>
        </w:rPr>
        <w:t>财政拨款收入</w:t>
      </w:r>
      <w:r>
        <w:rPr>
          <w:rFonts w:hint="default" w:ascii="Times New Roman" w:hAnsi="Times New Roman" w:eastAsia="仿宋_GB2312" w:cs="Times New Roman"/>
          <w:b w:val="0"/>
          <w:bCs w:val="0"/>
          <w:color w:val="000000"/>
          <w:kern w:val="0"/>
          <w:sz w:val="32"/>
          <w:szCs w:val="32"/>
          <w:lang w:val="en-US" w:eastAsia="zh-CN"/>
        </w:rPr>
        <w:t>9972.13</w:t>
      </w:r>
      <w:r>
        <w:rPr>
          <w:rFonts w:hint="default" w:ascii="Times New Roman" w:hAnsi="Times New Roman" w:eastAsia="仿宋_GB2312" w:cs="Times New Roman"/>
          <w:b w:val="0"/>
          <w:bCs w:val="0"/>
          <w:color w:val="000000"/>
          <w:kern w:val="0"/>
          <w:sz w:val="32"/>
          <w:szCs w:val="32"/>
        </w:rPr>
        <w:t>万元，</w:t>
      </w:r>
      <w:r>
        <w:rPr>
          <w:rFonts w:hint="default" w:ascii="Times New Roman" w:hAnsi="Times New Roman" w:eastAsia="仿宋_GB2312" w:cs="Times New Roman"/>
          <w:b w:val="0"/>
          <w:bCs w:val="0"/>
          <w:color w:val="000000"/>
          <w:kern w:val="0"/>
          <w:sz w:val="32"/>
          <w:szCs w:val="32"/>
          <w:lang w:eastAsia="zh-CN"/>
        </w:rPr>
        <w:t>年初结转</w:t>
      </w:r>
      <w:r>
        <w:rPr>
          <w:rFonts w:hint="default" w:ascii="Times New Roman" w:hAnsi="Times New Roman" w:eastAsia="仿宋_GB2312" w:cs="Times New Roman"/>
          <w:b w:val="0"/>
          <w:bCs w:val="0"/>
          <w:color w:val="000000"/>
          <w:kern w:val="0"/>
          <w:sz w:val="32"/>
          <w:szCs w:val="32"/>
          <w:lang w:val="en-US" w:eastAsia="zh-CN"/>
        </w:rPr>
        <w:t>101.84万元。年中</w:t>
      </w:r>
      <w:r>
        <w:rPr>
          <w:rFonts w:hint="default" w:ascii="Times New Roman" w:hAnsi="Times New Roman" w:eastAsia="仿宋_GB2312" w:cs="Times New Roman"/>
          <w:b w:val="0"/>
          <w:bCs w:val="0"/>
          <w:color w:val="000000"/>
          <w:kern w:val="0"/>
          <w:sz w:val="32"/>
          <w:szCs w:val="32"/>
        </w:rPr>
        <w:t>调整预算</w:t>
      </w:r>
      <w:r>
        <w:rPr>
          <w:rFonts w:hint="default" w:ascii="Times New Roman" w:hAnsi="Times New Roman" w:eastAsia="仿宋_GB2312" w:cs="Times New Roman"/>
          <w:b w:val="0"/>
          <w:bCs w:val="0"/>
          <w:color w:val="000000"/>
          <w:kern w:val="0"/>
          <w:sz w:val="32"/>
          <w:szCs w:val="32"/>
          <w:lang w:val="en-US" w:eastAsia="zh-CN"/>
        </w:rPr>
        <w:t>13041.35万元，其中财政拨款收入10857.58</w:t>
      </w:r>
      <w:r>
        <w:rPr>
          <w:rFonts w:hint="default" w:ascii="Times New Roman" w:hAnsi="Times New Roman" w:eastAsia="仿宋_GB2312" w:cs="Times New Roman"/>
          <w:b w:val="0"/>
          <w:bCs w:val="0"/>
          <w:color w:val="000000"/>
          <w:kern w:val="0"/>
          <w:sz w:val="32"/>
          <w:szCs w:val="32"/>
        </w:rPr>
        <w:t>万元</w:t>
      </w:r>
      <w:r>
        <w:rPr>
          <w:rFonts w:hint="default" w:ascii="Times New Roman" w:hAnsi="Times New Roman" w:eastAsia="仿宋_GB2312" w:cs="Times New Roman"/>
          <w:b w:val="0"/>
          <w:bCs w:val="0"/>
          <w:kern w:val="0"/>
          <w:sz w:val="32"/>
          <w:szCs w:val="32"/>
        </w:rPr>
        <w:t>，</w:t>
      </w:r>
      <w:r>
        <w:rPr>
          <w:rFonts w:hint="default" w:ascii="Times New Roman" w:hAnsi="Times New Roman" w:eastAsia="仿宋_GB2312" w:cs="Times New Roman"/>
          <w:b w:val="0"/>
          <w:bCs w:val="0"/>
          <w:kern w:val="0"/>
          <w:sz w:val="32"/>
          <w:szCs w:val="32"/>
          <w:lang w:eastAsia="zh-CN"/>
        </w:rPr>
        <w:t>其他收入</w:t>
      </w:r>
      <w:r>
        <w:rPr>
          <w:rFonts w:hint="default" w:ascii="Times New Roman" w:hAnsi="Times New Roman" w:eastAsia="仿宋_GB2312" w:cs="Times New Roman"/>
          <w:b w:val="0"/>
          <w:bCs w:val="0"/>
          <w:kern w:val="0"/>
          <w:sz w:val="32"/>
          <w:szCs w:val="32"/>
          <w:lang w:val="en-US" w:eastAsia="zh-CN"/>
        </w:rPr>
        <w:t>211.04万元，</w:t>
      </w:r>
      <w:r>
        <w:rPr>
          <w:rFonts w:hint="default" w:ascii="Times New Roman" w:hAnsi="Times New Roman" w:eastAsia="仿宋_GB2312" w:cs="Times New Roman"/>
          <w:b w:val="0"/>
          <w:bCs w:val="0"/>
          <w:kern w:val="0"/>
          <w:sz w:val="32"/>
          <w:szCs w:val="32"/>
          <w:lang w:eastAsia="zh-CN"/>
        </w:rPr>
        <w:t>上年结转</w:t>
      </w:r>
      <w:r>
        <w:rPr>
          <w:rFonts w:hint="default" w:ascii="Times New Roman" w:hAnsi="Times New Roman" w:eastAsia="仿宋_GB2312" w:cs="Times New Roman"/>
          <w:b w:val="0"/>
          <w:bCs w:val="0"/>
          <w:kern w:val="0"/>
          <w:sz w:val="32"/>
          <w:szCs w:val="32"/>
          <w:lang w:val="en-US" w:eastAsia="zh-CN"/>
        </w:rPr>
        <w:t>1972.72万元，</w:t>
      </w:r>
      <w:r>
        <w:rPr>
          <w:rFonts w:hint="default" w:ascii="Times New Roman" w:hAnsi="Times New Roman" w:eastAsia="仿宋_GB2312" w:cs="Times New Roman"/>
          <w:b w:val="0"/>
          <w:bCs w:val="0"/>
          <w:kern w:val="0"/>
          <w:sz w:val="32"/>
          <w:szCs w:val="32"/>
        </w:rPr>
        <w:t>在年初预算的基础上调整增加</w:t>
      </w:r>
      <w:r>
        <w:rPr>
          <w:rFonts w:hint="default" w:ascii="Times New Roman" w:hAnsi="Times New Roman" w:eastAsia="仿宋_GB2312" w:cs="Times New Roman"/>
          <w:b w:val="0"/>
          <w:bCs w:val="0"/>
          <w:kern w:val="0"/>
          <w:sz w:val="32"/>
          <w:szCs w:val="32"/>
          <w:lang w:val="en-US" w:eastAsia="zh-CN"/>
        </w:rPr>
        <w:t>2967.38</w:t>
      </w:r>
      <w:r>
        <w:rPr>
          <w:rFonts w:hint="default" w:ascii="Times New Roman" w:hAnsi="Times New Roman" w:eastAsia="仿宋_GB2312" w:cs="Times New Roman"/>
          <w:b w:val="0"/>
          <w:bCs w:val="0"/>
          <w:kern w:val="0"/>
          <w:sz w:val="32"/>
          <w:szCs w:val="32"/>
        </w:rPr>
        <w:t>万元</w:t>
      </w:r>
      <w:r>
        <w:rPr>
          <w:rFonts w:hint="default" w:ascii="Times New Roman" w:hAnsi="Times New Roman" w:eastAsia="仿宋_GB2312" w:cs="Times New Roman"/>
          <w:b w:val="0"/>
          <w:bCs w:val="0"/>
          <w:kern w:val="0"/>
          <w:sz w:val="32"/>
          <w:szCs w:val="32"/>
          <w:lang w:eastAsia="zh-CN"/>
        </w:rPr>
        <w:t>。</w:t>
      </w:r>
    </w:p>
    <w:p>
      <w:pPr>
        <w:pageBreakBefore w:val="0"/>
        <w:wordWrap/>
        <w:topLinePunct w:val="0"/>
        <w:bidi w:val="0"/>
        <w:spacing w:line="560" w:lineRule="exact"/>
        <w:ind w:firstLine="640" w:firstLineChars="200"/>
        <w:rPr>
          <w:rFonts w:hint="default" w:ascii="Times New Roman" w:hAnsi="Times New Roman" w:eastAsia="仿宋_GB2312" w:cs="Times New Roman"/>
          <w:b w:val="0"/>
          <w:bCs w:val="0"/>
          <w:color w:val="000000"/>
          <w:kern w:val="0"/>
          <w:sz w:val="32"/>
          <w:szCs w:val="32"/>
          <w:highlight w:val="none"/>
        </w:rPr>
      </w:pPr>
      <w:r>
        <w:rPr>
          <w:rFonts w:hint="default" w:ascii="Times New Roman" w:hAnsi="Times New Roman" w:eastAsia="仿宋_GB2312" w:cs="Times New Roman"/>
          <w:b w:val="0"/>
          <w:bCs w:val="0"/>
          <w:color w:val="000000"/>
          <w:kern w:val="0"/>
          <w:sz w:val="32"/>
          <w:szCs w:val="32"/>
          <w:highlight w:val="none"/>
        </w:rPr>
        <w:t>1</w:t>
      </w:r>
      <w:r>
        <w:rPr>
          <w:rFonts w:hint="default" w:ascii="Times New Roman" w:hAnsi="Times New Roman" w:eastAsia="仿宋_GB2312" w:cs="Times New Roman"/>
          <w:b w:val="0"/>
          <w:bCs w:val="0"/>
          <w:color w:val="000000"/>
          <w:kern w:val="0"/>
          <w:sz w:val="32"/>
          <w:szCs w:val="32"/>
          <w:highlight w:val="none"/>
          <w:lang w:val="en-US" w:eastAsia="zh-CN"/>
        </w:rPr>
        <w:t>．</w:t>
      </w:r>
      <w:r>
        <w:rPr>
          <w:rFonts w:hint="default" w:ascii="Times New Roman" w:hAnsi="Times New Roman" w:eastAsia="仿宋_GB2312" w:cs="Times New Roman"/>
          <w:b w:val="0"/>
          <w:bCs w:val="0"/>
          <w:sz w:val="32"/>
          <w:szCs w:val="32"/>
          <w:highlight w:val="none"/>
        </w:rPr>
        <w:t>年初预算收入。根据《</w:t>
      </w:r>
      <w:r>
        <w:rPr>
          <w:rFonts w:hint="default" w:ascii="Times New Roman" w:hAnsi="Times New Roman" w:eastAsia="仿宋_GB2312" w:cs="Times New Roman"/>
          <w:b w:val="0"/>
          <w:bCs w:val="0"/>
          <w:color w:val="000000"/>
          <w:kern w:val="0"/>
          <w:sz w:val="32"/>
          <w:szCs w:val="32"/>
          <w:highlight w:val="none"/>
        </w:rPr>
        <w:t>沐川县财政局关于批复202</w:t>
      </w:r>
      <w:r>
        <w:rPr>
          <w:rFonts w:hint="default" w:ascii="Times New Roman" w:hAnsi="Times New Roman" w:eastAsia="仿宋_GB2312" w:cs="Times New Roman"/>
          <w:b w:val="0"/>
          <w:bCs w:val="0"/>
          <w:color w:val="000000"/>
          <w:kern w:val="0"/>
          <w:sz w:val="32"/>
          <w:szCs w:val="32"/>
          <w:highlight w:val="none"/>
          <w:lang w:val="en-US" w:eastAsia="zh-CN"/>
        </w:rPr>
        <w:t>2</w:t>
      </w:r>
      <w:r>
        <w:rPr>
          <w:rFonts w:hint="default" w:ascii="Times New Roman" w:hAnsi="Times New Roman" w:eastAsia="仿宋_GB2312" w:cs="Times New Roman"/>
          <w:b w:val="0"/>
          <w:bCs w:val="0"/>
          <w:color w:val="000000"/>
          <w:kern w:val="0"/>
          <w:sz w:val="32"/>
          <w:szCs w:val="32"/>
          <w:highlight w:val="none"/>
        </w:rPr>
        <w:t>年部门预算的通知》（沐财发〔202</w:t>
      </w:r>
      <w:r>
        <w:rPr>
          <w:rFonts w:hint="default" w:ascii="Times New Roman" w:hAnsi="Times New Roman" w:eastAsia="仿宋_GB2312" w:cs="Times New Roman"/>
          <w:b w:val="0"/>
          <w:bCs w:val="0"/>
          <w:color w:val="000000"/>
          <w:kern w:val="0"/>
          <w:sz w:val="32"/>
          <w:szCs w:val="32"/>
          <w:highlight w:val="none"/>
          <w:lang w:val="en-US" w:eastAsia="zh-CN"/>
        </w:rPr>
        <w:t>2</w:t>
      </w:r>
      <w:r>
        <w:rPr>
          <w:rFonts w:hint="default" w:ascii="Times New Roman" w:hAnsi="Times New Roman" w:eastAsia="仿宋_GB2312" w:cs="Times New Roman"/>
          <w:b w:val="0"/>
          <w:bCs w:val="0"/>
          <w:color w:val="000000"/>
          <w:kern w:val="0"/>
          <w:sz w:val="32"/>
          <w:szCs w:val="32"/>
          <w:highlight w:val="none"/>
        </w:rPr>
        <w:t>〕</w:t>
      </w:r>
      <w:r>
        <w:rPr>
          <w:rFonts w:hint="default" w:ascii="Times New Roman" w:hAnsi="Times New Roman" w:eastAsia="仿宋_GB2312" w:cs="Times New Roman"/>
          <w:b w:val="0"/>
          <w:bCs w:val="0"/>
          <w:color w:val="000000"/>
          <w:kern w:val="0"/>
          <w:sz w:val="32"/>
          <w:szCs w:val="32"/>
          <w:highlight w:val="none"/>
          <w:lang w:val="en-US" w:eastAsia="zh-CN"/>
        </w:rPr>
        <w:t>23</w:t>
      </w:r>
      <w:r>
        <w:rPr>
          <w:rFonts w:hint="default" w:ascii="Times New Roman" w:hAnsi="Times New Roman" w:eastAsia="仿宋_GB2312" w:cs="Times New Roman"/>
          <w:b w:val="0"/>
          <w:bCs w:val="0"/>
          <w:color w:val="000000"/>
          <w:kern w:val="0"/>
          <w:sz w:val="32"/>
          <w:szCs w:val="32"/>
          <w:highlight w:val="none"/>
        </w:rPr>
        <w:t>号）文件，县财政局下达我单位年初预算</w:t>
      </w:r>
      <w:r>
        <w:rPr>
          <w:rFonts w:hint="default" w:ascii="Times New Roman" w:hAnsi="Times New Roman" w:eastAsia="仿宋_GB2312" w:cs="Times New Roman"/>
          <w:b w:val="0"/>
          <w:bCs w:val="0"/>
          <w:color w:val="000000"/>
          <w:kern w:val="0"/>
          <w:sz w:val="32"/>
          <w:szCs w:val="32"/>
          <w:highlight w:val="none"/>
          <w:lang w:val="en-US" w:eastAsia="zh-CN"/>
        </w:rPr>
        <w:t>10073.97万元，其中财政拨款</w:t>
      </w:r>
      <w:r>
        <w:rPr>
          <w:rFonts w:hint="default" w:ascii="Times New Roman" w:hAnsi="Times New Roman" w:eastAsia="仿宋_GB2312" w:cs="Times New Roman"/>
          <w:b w:val="0"/>
          <w:bCs w:val="0"/>
          <w:color w:val="000000"/>
          <w:kern w:val="0"/>
          <w:sz w:val="32"/>
          <w:szCs w:val="32"/>
          <w:highlight w:val="none"/>
        </w:rPr>
        <w:t>收入</w:t>
      </w:r>
      <w:r>
        <w:rPr>
          <w:rFonts w:hint="default" w:ascii="Times New Roman" w:hAnsi="Times New Roman" w:eastAsia="仿宋_GB2312" w:cs="Times New Roman"/>
          <w:b w:val="0"/>
          <w:bCs w:val="0"/>
          <w:color w:val="000000"/>
          <w:kern w:val="0"/>
          <w:sz w:val="32"/>
          <w:szCs w:val="32"/>
          <w:highlight w:val="none"/>
          <w:lang w:val="en-US" w:eastAsia="zh-CN"/>
        </w:rPr>
        <w:t>9972.13</w:t>
      </w:r>
      <w:r>
        <w:rPr>
          <w:rFonts w:hint="default" w:ascii="Times New Roman" w:hAnsi="Times New Roman" w:eastAsia="仿宋_GB2312" w:cs="Times New Roman"/>
          <w:b w:val="0"/>
          <w:bCs w:val="0"/>
          <w:color w:val="000000"/>
          <w:kern w:val="0"/>
          <w:sz w:val="32"/>
          <w:szCs w:val="32"/>
          <w:highlight w:val="none"/>
        </w:rPr>
        <w:t>万元</w:t>
      </w:r>
      <w:r>
        <w:rPr>
          <w:rFonts w:hint="default" w:ascii="Times New Roman" w:hAnsi="Times New Roman" w:eastAsia="仿宋_GB2312" w:cs="Times New Roman"/>
          <w:b w:val="0"/>
          <w:bCs w:val="0"/>
          <w:color w:val="000000"/>
          <w:kern w:val="0"/>
          <w:sz w:val="32"/>
          <w:szCs w:val="32"/>
          <w:highlight w:val="none"/>
          <w:lang w:eastAsia="zh-CN"/>
        </w:rPr>
        <w:t>，上年结转</w:t>
      </w:r>
      <w:r>
        <w:rPr>
          <w:rFonts w:hint="default" w:ascii="Times New Roman" w:hAnsi="Times New Roman" w:eastAsia="仿宋_GB2312" w:cs="Times New Roman"/>
          <w:b w:val="0"/>
          <w:bCs w:val="0"/>
          <w:color w:val="000000"/>
          <w:kern w:val="0"/>
          <w:sz w:val="32"/>
          <w:szCs w:val="32"/>
          <w:highlight w:val="none"/>
          <w:lang w:val="en-US" w:eastAsia="zh-CN"/>
        </w:rPr>
        <w:t>101.84万元</w:t>
      </w:r>
      <w:r>
        <w:rPr>
          <w:rFonts w:hint="default" w:ascii="Times New Roman" w:hAnsi="Times New Roman" w:eastAsia="仿宋_GB2312" w:cs="Times New Roman"/>
          <w:b w:val="0"/>
          <w:bCs w:val="0"/>
          <w:color w:val="000000"/>
          <w:kern w:val="0"/>
          <w:sz w:val="32"/>
          <w:szCs w:val="32"/>
          <w:highlight w:val="none"/>
        </w:rPr>
        <w:t>。</w:t>
      </w:r>
    </w:p>
    <w:p>
      <w:pPr>
        <w:pageBreakBefore w:val="0"/>
        <w:widowControl/>
        <w:wordWrap/>
        <w:topLinePunct w:val="0"/>
        <w:bidi w:val="0"/>
        <w:adjustRightInd w:val="0"/>
        <w:snapToGrid w:val="0"/>
        <w:spacing w:line="560" w:lineRule="exact"/>
        <w:ind w:firstLine="640"/>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（1）基本支出预算收入</w:t>
      </w:r>
      <w:r>
        <w:rPr>
          <w:rFonts w:hint="default" w:ascii="Times New Roman" w:hAnsi="Times New Roman" w:eastAsia="仿宋_GB2312" w:cs="Times New Roman"/>
          <w:b w:val="0"/>
          <w:bCs w:val="0"/>
          <w:color w:val="000000"/>
          <w:kern w:val="0"/>
          <w:sz w:val="32"/>
          <w:szCs w:val="32"/>
          <w:lang w:val="en-US" w:eastAsia="zh-CN"/>
        </w:rPr>
        <w:t>1372.93</w:t>
      </w:r>
      <w:r>
        <w:rPr>
          <w:rFonts w:hint="default" w:ascii="Times New Roman" w:hAnsi="Times New Roman" w:eastAsia="仿宋_GB2312" w:cs="Times New Roman"/>
          <w:b w:val="0"/>
          <w:bCs w:val="0"/>
          <w:color w:val="000000"/>
          <w:kern w:val="0"/>
          <w:sz w:val="32"/>
          <w:szCs w:val="32"/>
        </w:rPr>
        <w:t>万元，其中：工资福利支出</w:t>
      </w:r>
      <w:r>
        <w:rPr>
          <w:rFonts w:hint="default" w:ascii="Times New Roman" w:hAnsi="Times New Roman" w:eastAsia="仿宋_GB2312" w:cs="Times New Roman"/>
          <w:b w:val="0"/>
          <w:bCs w:val="0"/>
          <w:color w:val="000000"/>
          <w:kern w:val="0"/>
          <w:sz w:val="32"/>
          <w:szCs w:val="32"/>
          <w:lang w:val="en-US" w:eastAsia="zh-CN"/>
        </w:rPr>
        <w:t>1161.10</w:t>
      </w:r>
      <w:r>
        <w:rPr>
          <w:rFonts w:hint="default" w:ascii="Times New Roman" w:hAnsi="Times New Roman" w:eastAsia="仿宋_GB2312" w:cs="Times New Roman"/>
          <w:b w:val="0"/>
          <w:bCs w:val="0"/>
          <w:color w:val="000000"/>
          <w:kern w:val="0"/>
          <w:sz w:val="32"/>
          <w:szCs w:val="32"/>
        </w:rPr>
        <w:t>万元，对个人和家庭的补助</w:t>
      </w:r>
      <w:r>
        <w:rPr>
          <w:rFonts w:hint="default" w:ascii="Times New Roman" w:hAnsi="Times New Roman" w:eastAsia="仿宋_GB2312" w:cs="Times New Roman"/>
          <w:b w:val="0"/>
          <w:bCs w:val="0"/>
          <w:color w:val="000000"/>
          <w:kern w:val="0"/>
          <w:sz w:val="32"/>
          <w:szCs w:val="32"/>
          <w:lang w:val="en-US" w:eastAsia="zh-CN"/>
        </w:rPr>
        <w:t>31.45</w:t>
      </w:r>
      <w:r>
        <w:rPr>
          <w:rFonts w:hint="default" w:ascii="Times New Roman" w:hAnsi="Times New Roman" w:eastAsia="仿宋_GB2312" w:cs="Times New Roman"/>
          <w:b w:val="0"/>
          <w:bCs w:val="0"/>
          <w:color w:val="000000"/>
          <w:kern w:val="0"/>
          <w:sz w:val="32"/>
          <w:szCs w:val="32"/>
        </w:rPr>
        <w:t>万元，商品和服务支出</w:t>
      </w:r>
      <w:r>
        <w:rPr>
          <w:rFonts w:hint="default" w:ascii="Times New Roman" w:hAnsi="Times New Roman" w:eastAsia="仿宋_GB2312" w:cs="Times New Roman"/>
          <w:b w:val="0"/>
          <w:bCs w:val="0"/>
          <w:color w:val="000000"/>
          <w:kern w:val="0"/>
          <w:sz w:val="32"/>
          <w:szCs w:val="32"/>
          <w:lang w:val="en-US" w:eastAsia="zh-CN"/>
        </w:rPr>
        <w:t>176.38</w:t>
      </w:r>
      <w:r>
        <w:rPr>
          <w:rFonts w:hint="default" w:ascii="Times New Roman" w:hAnsi="Times New Roman" w:eastAsia="仿宋_GB2312" w:cs="Times New Roman"/>
          <w:b w:val="0"/>
          <w:bCs w:val="0"/>
          <w:color w:val="000000"/>
          <w:kern w:val="0"/>
          <w:sz w:val="32"/>
          <w:szCs w:val="32"/>
        </w:rPr>
        <w:t>万元，资本性支出</w:t>
      </w:r>
      <w:r>
        <w:rPr>
          <w:rFonts w:hint="default" w:ascii="Times New Roman" w:hAnsi="Times New Roman" w:eastAsia="仿宋_GB2312" w:cs="Times New Roman"/>
          <w:b w:val="0"/>
          <w:bCs w:val="0"/>
          <w:color w:val="000000"/>
          <w:kern w:val="0"/>
          <w:sz w:val="32"/>
          <w:szCs w:val="32"/>
          <w:lang w:val="en-US" w:eastAsia="zh-CN"/>
        </w:rPr>
        <w:t>4</w:t>
      </w:r>
      <w:r>
        <w:rPr>
          <w:rFonts w:hint="default" w:ascii="Times New Roman" w:hAnsi="Times New Roman" w:eastAsia="仿宋_GB2312" w:cs="Times New Roman"/>
          <w:b w:val="0"/>
          <w:bCs w:val="0"/>
          <w:color w:val="000000"/>
          <w:kern w:val="0"/>
          <w:sz w:val="32"/>
          <w:szCs w:val="32"/>
        </w:rPr>
        <w:t>万元。</w:t>
      </w:r>
    </w:p>
    <w:p>
      <w:pPr>
        <w:pageBreakBefore w:val="0"/>
        <w:widowControl/>
        <w:wordWrap/>
        <w:topLinePunct w:val="0"/>
        <w:bidi w:val="0"/>
        <w:adjustRightInd w:val="0"/>
        <w:snapToGrid w:val="0"/>
        <w:spacing w:line="560" w:lineRule="exact"/>
        <w:ind w:firstLine="640"/>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（2）项目支出预算收入</w:t>
      </w:r>
      <w:r>
        <w:rPr>
          <w:rFonts w:hint="default" w:ascii="Times New Roman" w:hAnsi="Times New Roman" w:eastAsia="仿宋_GB2312" w:cs="Times New Roman"/>
          <w:b w:val="0"/>
          <w:bCs w:val="0"/>
          <w:color w:val="000000"/>
          <w:kern w:val="0"/>
          <w:sz w:val="32"/>
          <w:szCs w:val="32"/>
          <w:lang w:val="en-US" w:eastAsia="zh-CN"/>
        </w:rPr>
        <w:t>8701.04</w:t>
      </w:r>
      <w:r>
        <w:rPr>
          <w:rFonts w:hint="default" w:ascii="Times New Roman" w:hAnsi="Times New Roman" w:eastAsia="仿宋_GB2312" w:cs="Times New Roman"/>
          <w:b w:val="0"/>
          <w:bCs w:val="0"/>
          <w:color w:val="000000"/>
          <w:kern w:val="0"/>
          <w:sz w:val="32"/>
          <w:szCs w:val="32"/>
        </w:rPr>
        <w:t>万元</w:t>
      </w:r>
      <w:r>
        <w:rPr>
          <w:rFonts w:hint="default" w:ascii="Times New Roman" w:hAnsi="Times New Roman" w:eastAsia="仿宋_GB2312" w:cs="Times New Roman"/>
          <w:b w:val="0"/>
          <w:bCs w:val="0"/>
          <w:color w:val="000000"/>
          <w:kern w:val="0"/>
          <w:sz w:val="32"/>
          <w:szCs w:val="32"/>
          <w:lang w:eastAsia="zh-CN"/>
        </w:rPr>
        <w:t>，其中一般公共预算项目</w:t>
      </w:r>
      <w:r>
        <w:rPr>
          <w:rFonts w:hint="default" w:ascii="Times New Roman" w:hAnsi="Times New Roman" w:eastAsia="仿宋_GB2312" w:cs="Times New Roman"/>
          <w:b w:val="0"/>
          <w:bCs w:val="0"/>
          <w:color w:val="000000"/>
          <w:kern w:val="0"/>
          <w:sz w:val="32"/>
          <w:szCs w:val="32"/>
          <w:lang w:val="en-US" w:eastAsia="zh-CN"/>
        </w:rPr>
        <w:t>1011.2万，政府基金预算项目7689.84万元</w:t>
      </w:r>
      <w:r>
        <w:rPr>
          <w:rFonts w:hint="default" w:ascii="Times New Roman" w:hAnsi="Times New Roman" w:eastAsia="仿宋_GB2312" w:cs="Times New Roman"/>
          <w:b w:val="0"/>
          <w:bCs w:val="0"/>
          <w:color w:val="000000"/>
          <w:kern w:val="0"/>
          <w:sz w:val="32"/>
          <w:szCs w:val="32"/>
        </w:rPr>
        <w:t>。</w:t>
      </w:r>
    </w:p>
    <w:p>
      <w:pPr>
        <w:pageBreakBefore w:val="0"/>
        <w:widowControl/>
        <w:wordWrap/>
        <w:topLinePunct w:val="0"/>
        <w:bidi w:val="0"/>
        <w:adjustRightInd w:val="0"/>
        <w:snapToGrid w:val="0"/>
        <w:spacing w:line="560" w:lineRule="exact"/>
        <w:ind w:firstLine="720"/>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2</w:t>
      </w:r>
      <w:r>
        <w:rPr>
          <w:rFonts w:hint="default" w:ascii="Times New Roman" w:hAnsi="Times New Roman" w:eastAsia="仿宋_GB2312" w:cs="Times New Roman"/>
          <w:b w:val="0"/>
          <w:bCs w:val="0"/>
          <w:color w:val="000000"/>
          <w:kern w:val="0"/>
          <w:sz w:val="32"/>
          <w:szCs w:val="32"/>
          <w:highlight w:val="none"/>
          <w:lang w:val="en-US" w:eastAsia="zh-CN"/>
        </w:rPr>
        <w:t>．</w:t>
      </w:r>
      <w:r>
        <w:rPr>
          <w:rFonts w:hint="default" w:ascii="Times New Roman" w:hAnsi="Times New Roman" w:eastAsia="仿宋_GB2312" w:cs="Times New Roman"/>
          <w:b w:val="0"/>
          <w:bCs w:val="0"/>
          <w:color w:val="000000"/>
          <w:kern w:val="0"/>
          <w:sz w:val="32"/>
          <w:szCs w:val="32"/>
        </w:rPr>
        <w:t>年中调整预算收入。</w:t>
      </w:r>
      <w:r>
        <w:rPr>
          <w:rFonts w:hint="default" w:ascii="Times New Roman" w:hAnsi="Times New Roman" w:eastAsia="仿宋_GB2312" w:cs="Times New Roman"/>
          <w:b w:val="0"/>
          <w:bCs w:val="0"/>
          <w:kern w:val="0"/>
          <w:sz w:val="32"/>
          <w:szCs w:val="32"/>
        </w:rPr>
        <w:t>202</w:t>
      </w:r>
      <w:r>
        <w:rPr>
          <w:rFonts w:hint="default" w:ascii="Times New Roman" w:hAnsi="Times New Roman" w:eastAsia="仿宋_GB2312" w:cs="Times New Roman"/>
          <w:b w:val="0"/>
          <w:bCs w:val="0"/>
          <w:kern w:val="0"/>
          <w:sz w:val="32"/>
          <w:szCs w:val="32"/>
          <w:lang w:val="en-US" w:eastAsia="zh-CN"/>
        </w:rPr>
        <w:t>2</w:t>
      </w:r>
      <w:r>
        <w:rPr>
          <w:rFonts w:hint="default" w:ascii="Times New Roman" w:hAnsi="Times New Roman" w:eastAsia="仿宋_GB2312" w:cs="Times New Roman"/>
          <w:b w:val="0"/>
          <w:bCs w:val="0"/>
          <w:kern w:val="0"/>
          <w:sz w:val="32"/>
          <w:szCs w:val="32"/>
        </w:rPr>
        <w:t>年调整预算收入</w:t>
      </w:r>
      <w:r>
        <w:rPr>
          <w:rFonts w:hint="default" w:ascii="Times New Roman" w:hAnsi="Times New Roman" w:eastAsia="仿宋_GB2312" w:cs="Times New Roman"/>
          <w:b w:val="0"/>
          <w:bCs w:val="0"/>
          <w:kern w:val="0"/>
          <w:sz w:val="32"/>
          <w:szCs w:val="32"/>
          <w:lang w:val="en-US" w:eastAsia="zh-CN"/>
        </w:rPr>
        <w:t>13041.35</w:t>
      </w:r>
      <w:r>
        <w:rPr>
          <w:rFonts w:hint="default" w:ascii="Times New Roman" w:hAnsi="Times New Roman" w:eastAsia="仿宋_GB2312" w:cs="Times New Roman"/>
          <w:b w:val="0"/>
          <w:bCs w:val="0"/>
          <w:kern w:val="0"/>
          <w:sz w:val="32"/>
          <w:szCs w:val="32"/>
        </w:rPr>
        <w:t>万元，在年初预算的基础上调整增加收入</w:t>
      </w:r>
      <w:r>
        <w:rPr>
          <w:rFonts w:hint="default" w:ascii="Times New Roman" w:hAnsi="Times New Roman" w:eastAsia="仿宋_GB2312" w:cs="Times New Roman"/>
          <w:b w:val="0"/>
          <w:bCs w:val="0"/>
          <w:kern w:val="0"/>
          <w:sz w:val="32"/>
          <w:szCs w:val="32"/>
          <w:lang w:val="en-US" w:eastAsia="zh-CN"/>
        </w:rPr>
        <w:t>2967.38</w:t>
      </w:r>
      <w:r>
        <w:rPr>
          <w:rFonts w:hint="default" w:ascii="Times New Roman" w:hAnsi="Times New Roman" w:eastAsia="仿宋_GB2312" w:cs="Times New Roman"/>
          <w:b w:val="0"/>
          <w:bCs w:val="0"/>
          <w:kern w:val="0"/>
          <w:sz w:val="32"/>
          <w:szCs w:val="32"/>
        </w:rPr>
        <w:t>万元。</w:t>
      </w:r>
    </w:p>
    <w:p>
      <w:pPr>
        <w:pageBreakBefore w:val="0"/>
        <w:widowControl/>
        <w:wordWrap/>
        <w:topLinePunct w:val="0"/>
        <w:bidi w:val="0"/>
        <w:adjustRightInd w:val="0"/>
        <w:snapToGrid w:val="0"/>
        <w:spacing w:line="560" w:lineRule="exact"/>
        <w:ind w:firstLine="640" w:firstLineChars="200"/>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（1）基本支出预算调整。因政策性调资、机构改革、发放202</w:t>
      </w:r>
      <w:r>
        <w:rPr>
          <w:rFonts w:hint="default" w:ascii="Times New Roman" w:hAnsi="Times New Roman" w:eastAsia="仿宋_GB2312" w:cs="Times New Roman"/>
          <w:b w:val="0"/>
          <w:bCs w:val="0"/>
          <w:color w:val="000000"/>
          <w:kern w:val="0"/>
          <w:sz w:val="32"/>
          <w:szCs w:val="32"/>
          <w:lang w:val="en-US" w:eastAsia="zh-CN"/>
        </w:rPr>
        <w:t>2</w:t>
      </w:r>
      <w:r>
        <w:rPr>
          <w:rFonts w:hint="default" w:ascii="Times New Roman" w:hAnsi="Times New Roman" w:eastAsia="仿宋_GB2312" w:cs="Times New Roman"/>
          <w:b w:val="0"/>
          <w:bCs w:val="0"/>
          <w:color w:val="000000"/>
          <w:kern w:val="0"/>
          <w:sz w:val="32"/>
          <w:szCs w:val="32"/>
        </w:rPr>
        <w:t>年度综合目标奖等共调整工资福利支出</w:t>
      </w:r>
      <w:r>
        <w:rPr>
          <w:rFonts w:hint="default" w:ascii="Times New Roman" w:hAnsi="Times New Roman" w:eastAsia="仿宋_GB2312" w:cs="Times New Roman"/>
          <w:b w:val="0"/>
          <w:bCs w:val="0"/>
          <w:color w:val="000000"/>
          <w:kern w:val="0"/>
          <w:sz w:val="32"/>
          <w:szCs w:val="32"/>
          <w:lang w:val="en-US" w:eastAsia="zh-CN"/>
        </w:rPr>
        <w:t>738.28</w:t>
      </w:r>
      <w:r>
        <w:rPr>
          <w:rFonts w:hint="default" w:ascii="Times New Roman" w:hAnsi="Times New Roman" w:eastAsia="仿宋_GB2312" w:cs="Times New Roman"/>
          <w:b w:val="0"/>
          <w:bCs w:val="0"/>
          <w:color w:val="000000"/>
          <w:kern w:val="0"/>
          <w:sz w:val="32"/>
          <w:szCs w:val="32"/>
        </w:rPr>
        <w:t>万元。</w:t>
      </w:r>
    </w:p>
    <w:p>
      <w:pPr>
        <w:pageBreakBefore w:val="0"/>
        <w:widowControl/>
        <w:wordWrap/>
        <w:topLinePunct w:val="0"/>
        <w:bidi w:val="0"/>
        <w:adjustRightInd w:val="0"/>
        <w:snapToGrid w:val="0"/>
        <w:spacing w:line="560" w:lineRule="exact"/>
        <w:ind w:firstLine="640" w:firstLineChars="200"/>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（2）项目支出预算调整</w:t>
      </w:r>
      <w:r>
        <w:rPr>
          <w:rFonts w:hint="default" w:ascii="Times New Roman" w:hAnsi="Times New Roman" w:eastAsia="仿宋_GB2312" w:cs="Times New Roman"/>
          <w:b w:val="0"/>
          <w:bCs w:val="0"/>
          <w:color w:val="000000"/>
          <w:kern w:val="0"/>
          <w:sz w:val="32"/>
          <w:szCs w:val="32"/>
          <w:lang w:val="en-US" w:eastAsia="zh-CN"/>
        </w:rPr>
        <w:t>2229.1</w:t>
      </w:r>
      <w:r>
        <w:rPr>
          <w:rFonts w:hint="default" w:ascii="Times New Roman" w:hAnsi="Times New Roman" w:eastAsia="仿宋_GB2312" w:cs="Times New Roman"/>
          <w:b w:val="0"/>
          <w:bCs w:val="0"/>
          <w:color w:val="000000"/>
          <w:kern w:val="0"/>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color w:val="auto"/>
          <w:sz w:val="32"/>
          <w:szCs w:val="32"/>
          <w:highlight w:val="none"/>
          <w:lang w:eastAsia="zh-CN"/>
        </w:rPr>
      </w:pPr>
      <w:r>
        <w:rPr>
          <w:rFonts w:hint="default" w:ascii="Times New Roman" w:hAnsi="Times New Roman" w:eastAsia="楷体" w:cs="Times New Roman"/>
          <w:b/>
          <w:color w:val="auto"/>
          <w:sz w:val="32"/>
          <w:szCs w:val="32"/>
          <w:highlight w:val="none"/>
          <w:lang w:eastAsia="zh-CN"/>
        </w:rPr>
        <w:t>（</w:t>
      </w:r>
      <w:r>
        <w:rPr>
          <w:rFonts w:hint="default" w:ascii="Times New Roman" w:hAnsi="Times New Roman" w:eastAsia="楷体" w:cs="Times New Roman"/>
          <w:b/>
          <w:color w:val="auto"/>
          <w:sz w:val="32"/>
          <w:szCs w:val="32"/>
          <w:highlight w:val="none"/>
          <w:lang w:val="en-US" w:eastAsia="zh-CN"/>
        </w:rPr>
        <w:t>二</w:t>
      </w:r>
      <w:r>
        <w:rPr>
          <w:rFonts w:hint="default" w:ascii="Times New Roman" w:hAnsi="Times New Roman" w:eastAsia="楷体" w:cs="Times New Roman"/>
          <w:b/>
          <w:color w:val="auto"/>
          <w:sz w:val="32"/>
          <w:szCs w:val="32"/>
          <w:highlight w:val="none"/>
          <w:lang w:eastAsia="zh-CN"/>
        </w:rPr>
        <w:t>）部门财政资金支出情况</w:t>
      </w:r>
    </w:p>
    <w:p>
      <w:pPr>
        <w:pageBreakBefore w:val="0"/>
        <w:widowControl/>
        <w:numPr>
          <w:ilvl w:val="0"/>
          <w:numId w:val="0"/>
        </w:numPr>
        <w:wordWrap/>
        <w:topLinePunct w:val="0"/>
        <w:bidi w:val="0"/>
        <w:adjustRightInd w:val="0"/>
        <w:snapToGrid w:val="0"/>
        <w:spacing w:line="560" w:lineRule="exact"/>
        <w:ind w:firstLine="640" w:firstLineChars="200"/>
        <w:contextualSpacing/>
        <w:jc w:val="left"/>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rPr>
        <w:t>1</w:t>
      </w:r>
      <w:r>
        <w:rPr>
          <w:rFonts w:hint="default" w:ascii="Times New Roman" w:hAnsi="Times New Roman" w:eastAsia="楷体_GB2312" w:cs="Times New Roman"/>
          <w:b w:val="0"/>
          <w:bCs w:val="0"/>
          <w:color w:val="000000"/>
          <w:kern w:val="0"/>
          <w:sz w:val="32"/>
          <w:szCs w:val="32"/>
          <w:highlight w:val="none"/>
          <w:lang w:val="en-US" w:eastAsia="zh-CN"/>
        </w:rPr>
        <w:t>．</w:t>
      </w:r>
      <w:r>
        <w:rPr>
          <w:rFonts w:hint="default" w:ascii="Times New Roman" w:hAnsi="Times New Roman" w:eastAsia="楷体_GB2312" w:cs="Times New Roman"/>
          <w:color w:val="000000"/>
          <w:kern w:val="0"/>
          <w:sz w:val="32"/>
          <w:szCs w:val="32"/>
        </w:rPr>
        <w:t>基本支出预算使用情况</w:t>
      </w:r>
    </w:p>
    <w:p>
      <w:pPr>
        <w:pageBreakBefore w:val="0"/>
        <w:widowControl/>
        <w:wordWrap/>
        <w:topLinePunct w:val="0"/>
        <w:bidi w:val="0"/>
        <w:adjustRightInd w:val="0"/>
        <w:snapToGrid w:val="0"/>
        <w:spacing w:line="560" w:lineRule="exact"/>
        <w:ind w:firstLine="72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202</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年县交通运输局保障机关及下属事业单位运转各项支出共</w:t>
      </w:r>
      <w:r>
        <w:rPr>
          <w:rFonts w:hint="default" w:ascii="Times New Roman" w:hAnsi="Times New Roman" w:eastAsia="仿宋_GB2312" w:cs="Times New Roman"/>
          <w:color w:val="000000"/>
          <w:kern w:val="0"/>
          <w:sz w:val="32"/>
          <w:szCs w:val="32"/>
          <w:lang w:val="en-US" w:eastAsia="zh-CN"/>
        </w:rPr>
        <w:t>2111.21</w:t>
      </w:r>
      <w:r>
        <w:rPr>
          <w:rFonts w:hint="default" w:ascii="Times New Roman" w:hAnsi="Times New Roman" w:eastAsia="仿宋_GB2312" w:cs="Times New Roman"/>
          <w:color w:val="000000"/>
          <w:kern w:val="0"/>
          <w:sz w:val="32"/>
          <w:szCs w:val="32"/>
        </w:rPr>
        <w:t>万元,主要用于保障本系统正常运转的日常支出，包括基本工资、津贴补贴等人员经费以及办公费、差旅费、公务接待费、公务用车运行维护费、印刷费、水电费、办公设备维护等日常公用经费。</w:t>
      </w:r>
    </w:p>
    <w:p>
      <w:pPr>
        <w:pageBreakBefore w:val="0"/>
        <w:widowControl/>
        <w:wordWrap/>
        <w:topLinePunct w:val="0"/>
        <w:bidi w:val="0"/>
        <w:adjustRightInd w:val="0"/>
        <w:snapToGrid w:val="0"/>
        <w:spacing w:line="560" w:lineRule="exact"/>
        <w:ind w:firstLine="640" w:firstLineChars="200"/>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rPr>
        <w:t>2</w:t>
      </w:r>
      <w:r>
        <w:rPr>
          <w:rFonts w:hint="default" w:ascii="Times New Roman" w:hAnsi="Times New Roman" w:eastAsia="仿宋_GB2312" w:cs="Times New Roman"/>
          <w:b w:val="0"/>
          <w:bCs w:val="0"/>
          <w:color w:val="000000"/>
          <w:kern w:val="0"/>
          <w:sz w:val="32"/>
          <w:szCs w:val="32"/>
          <w:highlight w:val="none"/>
          <w:lang w:val="en-US" w:eastAsia="zh-CN"/>
        </w:rPr>
        <w:t>．</w:t>
      </w:r>
      <w:r>
        <w:rPr>
          <w:rFonts w:hint="default" w:ascii="Times New Roman" w:hAnsi="Times New Roman" w:eastAsia="楷体_GB2312" w:cs="Times New Roman"/>
          <w:color w:val="000000"/>
          <w:kern w:val="0"/>
          <w:sz w:val="32"/>
          <w:szCs w:val="32"/>
        </w:rPr>
        <w:t>项目预算支出情况</w:t>
      </w:r>
    </w:p>
    <w:p>
      <w:pPr>
        <w:pageBreakBefore w:val="0"/>
        <w:widowControl/>
        <w:wordWrap/>
        <w:topLinePunct w:val="0"/>
        <w:bidi w:val="0"/>
        <w:adjustRightInd w:val="0"/>
        <w:snapToGrid w:val="0"/>
        <w:spacing w:line="560" w:lineRule="exact"/>
        <w:ind w:firstLine="720"/>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202</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2</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年县交通运输局项目预算支出</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10930.15</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万元。</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lang w:eastAsia="zh-CN"/>
        </w:rPr>
        <w:t>）城乡社区支出</w:t>
      </w:r>
      <w:r>
        <w:rPr>
          <w:rFonts w:hint="default" w:ascii="Times New Roman" w:hAnsi="Times New Roman" w:eastAsia="仿宋_GB2312" w:cs="Times New Roman"/>
          <w:color w:val="000000"/>
          <w:kern w:val="0"/>
          <w:sz w:val="32"/>
          <w:szCs w:val="32"/>
          <w:lang w:val="en-US" w:eastAsia="zh-CN"/>
        </w:rPr>
        <w:t>4947.72万元。主要包括：国有土地使用权出让收入安排的支出4947.72万元。</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农林水支出</w:t>
      </w:r>
      <w:r>
        <w:rPr>
          <w:rFonts w:hint="default" w:ascii="Times New Roman" w:hAnsi="Times New Roman" w:eastAsia="仿宋_GB2312" w:cs="Times New Roman"/>
          <w:color w:val="000000"/>
          <w:kern w:val="0"/>
          <w:sz w:val="32"/>
          <w:szCs w:val="32"/>
          <w:lang w:val="en-US" w:eastAsia="zh-CN"/>
        </w:rPr>
        <w:t>2620.02</w:t>
      </w:r>
      <w:r>
        <w:rPr>
          <w:rFonts w:hint="default" w:ascii="Times New Roman" w:hAnsi="Times New Roman" w:eastAsia="仿宋_GB2312" w:cs="Times New Roman"/>
          <w:color w:val="000000"/>
          <w:kern w:val="0"/>
          <w:sz w:val="32"/>
          <w:szCs w:val="32"/>
        </w:rPr>
        <w:t>万元，主要包括：巩固脱贫衔接乡村振兴</w:t>
      </w:r>
      <w:r>
        <w:rPr>
          <w:rFonts w:hint="default" w:ascii="Times New Roman" w:hAnsi="Times New Roman" w:eastAsia="仿宋_GB2312" w:cs="Times New Roman"/>
          <w:color w:val="000000"/>
          <w:kern w:val="0"/>
          <w:sz w:val="32"/>
          <w:szCs w:val="32"/>
          <w:lang w:val="en-US" w:eastAsia="zh-CN"/>
        </w:rPr>
        <w:t>2620.02</w:t>
      </w:r>
      <w:r>
        <w:rPr>
          <w:rFonts w:hint="default" w:ascii="Times New Roman" w:hAnsi="Times New Roman" w:eastAsia="仿宋_GB2312" w:cs="Times New Roman"/>
          <w:color w:val="000000"/>
          <w:kern w:val="0"/>
          <w:sz w:val="32"/>
          <w:szCs w:val="32"/>
        </w:rPr>
        <w:t>万元。</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color w:val="000000"/>
          <w:kern w:val="0"/>
          <w:szCs w:val="32"/>
          <w:shd w:val="clear" w:color="auto" w:fill="FFFFFF"/>
          <w:lang w:val="en-US" w:eastAsia="zh-CN"/>
        </w:rPr>
      </w:pP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交通运输支出</w:t>
      </w:r>
      <w:r>
        <w:rPr>
          <w:rFonts w:hint="default" w:ascii="Times New Roman" w:hAnsi="Times New Roman" w:eastAsia="仿宋_GB2312" w:cs="Times New Roman"/>
          <w:color w:val="000000"/>
          <w:kern w:val="0"/>
          <w:sz w:val="32"/>
          <w:szCs w:val="32"/>
          <w:lang w:val="en-US" w:eastAsia="zh-CN"/>
        </w:rPr>
        <w:t>3362.41</w:t>
      </w:r>
      <w:r>
        <w:rPr>
          <w:rFonts w:hint="default" w:ascii="Times New Roman" w:hAnsi="Times New Roman" w:eastAsia="仿宋_GB2312" w:cs="Times New Roman"/>
          <w:color w:val="000000"/>
          <w:kern w:val="0"/>
          <w:sz w:val="32"/>
          <w:szCs w:val="32"/>
        </w:rPr>
        <w:t>万元，主要包括：一般行政管理事务</w:t>
      </w:r>
      <w:r>
        <w:rPr>
          <w:rFonts w:hint="default" w:ascii="Times New Roman" w:hAnsi="Times New Roman" w:eastAsia="仿宋_GB2312" w:cs="Times New Roman"/>
          <w:color w:val="000000"/>
          <w:kern w:val="0"/>
          <w:sz w:val="32"/>
          <w:szCs w:val="32"/>
          <w:lang w:val="en-US" w:eastAsia="zh-CN"/>
        </w:rPr>
        <w:t>84.77</w:t>
      </w:r>
      <w:r>
        <w:rPr>
          <w:rFonts w:hint="default" w:ascii="Times New Roman" w:hAnsi="Times New Roman" w:eastAsia="仿宋_GB2312" w:cs="Times New Roman"/>
          <w:color w:val="000000"/>
          <w:kern w:val="0"/>
          <w:sz w:val="32"/>
          <w:szCs w:val="32"/>
        </w:rPr>
        <w:t>万元，公路建设</w:t>
      </w:r>
      <w:r>
        <w:rPr>
          <w:rFonts w:hint="default" w:ascii="Times New Roman" w:hAnsi="Times New Roman" w:eastAsia="仿宋_GB2312" w:cs="Times New Roman"/>
          <w:color w:val="000000"/>
          <w:kern w:val="0"/>
          <w:sz w:val="32"/>
          <w:szCs w:val="32"/>
          <w:lang w:val="en-US" w:eastAsia="zh-CN"/>
        </w:rPr>
        <w:t>1218.06</w:t>
      </w:r>
      <w:r>
        <w:rPr>
          <w:rFonts w:hint="default" w:ascii="Times New Roman" w:hAnsi="Times New Roman" w:eastAsia="仿宋_GB2312" w:cs="Times New Roman"/>
          <w:color w:val="000000"/>
          <w:kern w:val="0"/>
          <w:sz w:val="32"/>
          <w:szCs w:val="32"/>
        </w:rPr>
        <w:t>万元，公路养护</w:t>
      </w:r>
      <w:r>
        <w:rPr>
          <w:rFonts w:hint="default" w:ascii="Times New Roman" w:hAnsi="Times New Roman" w:eastAsia="仿宋_GB2312" w:cs="Times New Roman"/>
          <w:color w:val="000000"/>
          <w:kern w:val="0"/>
          <w:sz w:val="32"/>
          <w:szCs w:val="32"/>
          <w:lang w:val="en-US" w:eastAsia="zh-CN"/>
        </w:rPr>
        <w:t>675.26</w:t>
      </w:r>
      <w:r>
        <w:rPr>
          <w:rFonts w:hint="default" w:ascii="Times New Roman" w:hAnsi="Times New Roman" w:eastAsia="仿宋_GB2312" w:cs="Times New Roman"/>
          <w:color w:val="000000"/>
          <w:kern w:val="0"/>
          <w:sz w:val="32"/>
          <w:szCs w:val="32"/>
        </w:rPr>
        <w:t>万元，公路运输管理</w:t>
      </w:r>
      <w:r>
        <w:rPr>
          <w:rFonts w:hint="default" w:ascii="Times New Roman" w:hAnsi="Times New Roman" w:eastAsia="仿宋_GB2312" w:cs="Times New Roman"/>
          <w:color w:val="000000"/>
          <w:kern w:val="0"/>
          <w:sz w:val="32"/>
          <w:szCs w:val="32"/>
          <w:lang w:val="en-US" w:eastAsia="zh-CN"/>
        </w:rPr>
        <w:t>292.02</w:t>
      </w:r>
      <w:r>
        <w:rPr>
          <w:rFonts w:hint="default" w:ascii="Times New Roman" w:hAnsi="Times New Roman" w:eastAsia="仿宋_GB2312" w:cs="Times New Roman"/>
          <w:color w:val="000000"/>
          <w:kern w:val="0"/>
          <w:sz w:val="32"/>
          <w:szCs w:val="32"/>
        </w:rPr>
        <w:t>万元，水路运输管理支出</w:t>
      </w:r>
      <w:r>
        <w:rPr>
          <w:rFonts w:hint="default"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rPr>
        <w:t>万元，其他公路水路运输支出</w:t>
      </w:r>
      <w:r>
        <w:rPr>
          <w:rFonts w:hint="default" w:ascii="Times New Roman" w:hAnsi="Times New Roman" w:eastAsia="仿宋_GB2312" w:cs="Times New Roman"/>
          <w:color w:val="000000"/>
          <w:kern w:val="0"/>
          <w:sz w:val="32"/>
          <w:szCs w:val="32"/>
          <w:lang w:val="en-US" w:eastAsia="zh-CN"/>
        </w:rPr>
        <w:t>1091.30</w:t>
      </w:r>
      <w:r>
        <w:rPr>
          <w:rFonts w:hint="default" w:ascii="Times New Roman" w:hAnsi="Times New Roman" w:eastAsia="仿宋_GB2312" w:cs="Times New Roman"/>
          <w:color w:val="000000"/>
          <w:kern w:val="0"/>
          <w:sz w:val="32"/>
          <w:szCs w:val="32"/>
        </w:rPr>
        <w:t>万元</w:t>
      </w:r>
      <w:r>
        <w:rPr>
          <w:rFonts w:hint="default" w:ascii="Times New Roman" w:hAnsi="Times New Roman" w:eastAsia="仿宋_GB2312" w:cs="Times New Roman"/>
          <w:color w:val="0000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三、部门预算管理情况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color w:val="auto"/>
          <w:sz w:val="32"/>
          <w:szCs w:val="32"/>
          <w:highlight w:val="none"/>
          <w:lang w:eastAsia="zh-CN"/>
        </w:rPr>
      </w:pPr>
      <w:r>
        <w:rPr>
          <w:rFonts w:hint="default" w:ascii="Times New Roman" w:hAnsi="Times New Roman" w:eastAsia="楷体" w:cs="Times New Roman"/>
          <w:b/>
          <w:color w:val="auto"/>
          <w:sz w:val="32"/>
          <w:szCs w:val="32"/>
          <w:highlight w:val="none"/>
          <w:lang w:eastAsia="zh-CN"/>
        </w:rPr>
        <w:t>(一)预算编制情况</w:t>
      </w:r>
    </w:p>
    <w:p>
      <w:pPr>
        <w:pageBreakBefore w:val="0"/>
        <w:wordWrap/>
        <w:topLinePunct w:val="0"/>
        <w:bidi w:val="0"/>
        <w:spacing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按照县财政局202</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年部门预算编制通知要求，按时完成部门年初预算编制工作。在编制过程中，认真核实部门各单位实际财政供养人数和单位实有编制情况，正确编制人员经费、公用经费和项目经费，特别是对交通建设项目预算做到细化管理，分列项目资金支出明细科目和金额，明确项目绩效，按照两上两下原则及时上报财政审核，按要求做好预算公开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color w:val="auto"/>
          <w:sz w:val="32"/>
          <w:szCs w:val="32"/>
          <w:highlight w:val="none"/>
          <w:lang w:eastAsia="zh-CN"/>
        </w:rPr>
      </w:pPr>
      <w:r>
        <w:rPr>
          <w:rFonts w:hint="default" w:ascii="Times New Roman" w:hAnsi="Times New Roman" w:eastAsia="楷体" w:cs="Times New Roman"/>
          <w:b/>
          <w:color w:val="auto"/>
          <w:sz w:val="32"/>
          <w:szCs w:val="32"/>
          <w:highlight w:val="none"/>
          <w:lang w:eastAsia="zh-CN"/>
        </w:rPr>
        <w:t>（二）预算执行情况</w:t>
      </w:r>
    </w:p>
    <w:p>
      <w:pPr>
        <w:pageBreakBefore w:val="0"/>
        <w:wordWrap/>
        <w:topLinePunct w:val="0"/>
        <w:bidi w:val="0"/>
        <w:spacing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b w:val="0"/>
          <w:bCs w:val="0"/>
          <w:color w:val="000000"/>
          <w:kern w:val="0"/>
          <w:sz w:val="32"/>
          <w:szCs w:val="32"/>
          <w:highlight w:val="none"/>
          <w:lang w:val="en-US" w:eastAsia="zh-CN"/>
        </w:rPr>
        <w:t>．</w:t>
      </w:r>
      <w:r>
        <w:rPr>
          <w:rFonts w:hint="default" w:ascii="Times New Roman" w:hAnsi="Times New Roman" w:eastAsia="仿宋_GB2312" w:cs="Times New Roman"/>
          <w:color w:val="000000"/>
          <w:kern w:val="0"/>
          <w:sz w:val="32"/>
          <w:szCs w:val="32"/>
        </w:rPr>
        <w:t>我局严格执行工程招投标规定，实行县道县为业主，乡道乡为业主，村组道村为业主，明确任务，落实责任。加强工程质量监管，严格对交通运输建设项目的交（竣）工验收，公路在验收前，必须进行试验检测。强化资金管理，交通运输建设资金一律实行财政</w:t>
      </w:r>
      <w:r>
        <w:rPr>
          <w:rFonts w:hint="default" w:ascii="Times New Roman" w:hAnsi="Times New Roman" w:eastAsia="仿宋_GB2312" w:cs="Times New Roman"/>
          <w:color w:val="000000"/>
          <w:kern w:val="0"/>
          <w:sz w:val="32"/>
          <w:szCs w:val="32"/>
          <w:lang w:eastAsia="zh-CN"/>
        </w:rPr>
        <w:t>国库集中支付</w:t>
      </w:r>
      <w:r>
        <w:rPr>
          <w:rFonts w:hint="default" w:ascii="Times New Roman" w:hAnsi="Times New Roman" w:eastAsia="仿宋_GB2312" w:cs="Times New Roman"/>
          <w:color w:val="000000"/>
          <w:kern w:val="0"/>
          <w:sz w:val="32"/>
          <w:szCs w:val="32"/>
        </w:rPr>
        <w:t>给中标企业制度，严格按照</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沐川县人民政府关于进一步加强政府投资项目管理的意见</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沐府规〔2022〕3号</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、沐川县人民政府办公室《关于进一步规范农村公路建设管理的通知》（沐府办函〔2014〕21号）要求办理，切实做到专款专用，从而发挥好项目资金对项目实施的促进作用。</w:t>
      </w:r>
    </w:p>
    <w:p>
      <w:pPr>
        <w:pageBreakBefore w:val="0"/>
        <w:wordWrap/>
        <w:topLinePunct w:val="0"/>
        <w:bidi w:val="0"/>
        <w:spacing w:beforeLines="0" w:afterLines="0" w:line="560" w:lineRule="exact"/>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b w:val="0"/>
          <w:bCs w:val="0"/>
          <w:color w:val="000000"/>
          <w:kern w:val="0"/>
          <w:sz w:val="32"/>
          <w:szCs w:val="32"/>
          <w:highlight w:val="none"/>
          <w:lang w:val="en-US" w:eastAsia="zh-CN"/>
        </w:rPr>
        <w:t>．</w:t>
      </w:r>
      <w:r>
        <w:rPr>
          <w:rFonts w:hint="default" w:ascii="Times New Roman" w:hAnsi="Times New Roman" w:eastAsia="仿宋_GB2312" w:cs="Times New Roman"/>
          <w:color w:val="000000"/>
          <w:kern w:val="0"/>
          <w:sz w:val="32"/>
          <w:szCs w:val="32"/>
        </w:rPr>
        <w:t>我局今年支出全部在年度预算资金中按计划安排，无超支。按</w:t>
      </w:r>
      <w:r>
        <w:rPr>
          <w:rFonts w:hint="default" w:ascii="Times New Roman" w:hAnsi="Times New Roman" w:eastAsia="仿宋_GB2312" w:cs="Times New Roman"/>
          <w:sz w:val="32"/>
          <w:szCs w:val="32"/>
        </w:rPr>
        <w:t>《中华人民共和国预算法》《中华人民共和国预算法实施条例》</w:t>
      </w:r>
      <w:r>
        <w:rPr>
          <w:rFonts w:hint="default" w:ascii="Times New Roman" w:hAnsi="Times New Roman" w:eastAsia="仿宋_GB2312" w:cs="Times New Roman"/>
          <w:color w:val="000000"/>
          <w:kern w:val="0"/>
          <w:sz w:val="32"/>
          <w:szCs w:val="32"/>
        </w:rPr>
        <w:t>有关规定，职工工资</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公</w:t>
      </w:r>
      <w:r>
        <w:rPr>
          <w:rFonts w:hint="default" w:ascii="Times New Roman" w:hAnsi="Times New Roman" w:eastAsia="仿宋_GB2312" w:cs="Times New Roman"/>
          <w:color w:val="000000"/>
          <w:kern w:val="0"/>
          <w:sz w:val="32"/>
          <w:szCs w:val="32"/>
          <w:lang w:eastAsia="zh-CN"/>
        </w:rPr>
        <w:t>用经费按月</w:t>
      </w:r>
      <w:r>
        <w:rPr>
          <w:rFonts w:hint="default" w:ascii="Times New Roman" w:hAnsi="Times New Roman" w:eastAsia="仿宋_GB2312" w:cs="Times New Roman"/>
          <w:color w:val="000000"/>
          <w:kern w:val="0"/>
          <w:sz w:val="32"/>
          <w:szCs w:val="32"/>
        </w:rPr>
        <w:t>申报</w:t>
      </w:r>
      <w:r>
        <w:rPr>
          <w:rFonts w:hint="default" w:ascii="Times New Roman" w:hAnsi="Times New Roman" w:eastAsia="仿宋_GB2312" w:cs="Times New Roman"/>
          <w:color w:val="000000"/>
          <w:kern w:val="0"/>
          <w:sz w:val="32"/>
          <w:szCs w:val="32"/>
          <w:lang w:eastAsia="zh-CN"/>
        </w:rPr>
        <w:t>，及时</w:t>
      </w:r>
      <w:r>
        <w:rPr>
          <w:rFonts w:hint="default" w:ascii="Times New Roman" w:hAnsi="Times New Roman" w:eastAsia="仿宋_GB2312" w:cs="Times New Roman"/>
          <w:sz w:val="32"/>
          <w:szCs w:val="32"/>
          <w:lang w:eastAsia="zh-CN"/>
        </w:rPr>
        <w:t>支付</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kern w:val="0"/>
          <w:sz w:val="32"/>
          <w:szCs w:val="32"/>
        </w:rPr>
        <w:t>严格按照财政部《2023年政府收支分类科目》书关于“部门预算支出经济分类科目”要求规范使用部门经济科目</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项目支出按项目实施情况经单位和县财政审核无误后按项目进度拨付。在支付方式上，</w:t>
      </w:r>
      <w:r>
        <w:rPr>
          <w:rFonts w:hint="default" w:ascii="Times New Roman" w:hAnsi="Times New Roman" w:eastAsia="仿宋_GB2312" w:cs="Times New Roman"/>
          <w:color w:val="000000"/>
          <w:kern w:val="0"/>
          <w:sz w:val="32"/>
          <w:szCs w:val="32"/>
          <w:lang w:eastAsia="zh-CN"/>
        </w:rPr>
        <w:t>所有资金支付</w:t>
      </w:r>
      <w:r>
        <w:rPr>
          <w:rFonts w:hint="default" w:ascii="Times New Roman" w:hAnsi="Times New Roman" w:eastAsia="仿宋_GB2312" w:cs="Times New Roman"/>
          <w:color w:val="000000"/>
          <w:kern w:val="0"/>
          <w:sz w:val="32"/>
          <w:szCs w:val="32"/>
        </w:rPr>
        <w:t>实行</w:t>
      </w:r>
      <w:r>
        <w:rPr>
          <w:rFonts w:hint="default" w:ascii="Times New Roman" w:hAnsi="Times New Roman" w:eastAsia="仿宋_GB2312" w:cs="Times New Roman"/>
          <w:color w:val="000000"/>
          <w:kern w:val="0"/>
          <w:sz w:val="32"/>
          <w:szCs w:val="32"/>
          <w:lang w:eastAsia="zh-CN"/>
        </w:rPr>
        <w:t>国库集中</w:t>
      </w:r>
      <w:r>
        <w:rPr>
          <w:rFonts w:hint="default" w:ascii="Times New Roman" w:hAnsi="Times New Roman" w:eastAsia="仿宋_GB2312" w:cs="Times New Roman"/>
          <w:color w:val="000000"/>
          <w:kern w:val="0"/>
          <w:sz w:val="32"/>
          <w:szCs w:val="32"/>
        </w:rPr>
        <w:t>支付，基本无现金支出。</w:t>
      </w:r>
    </w:p>
    <w:p>
      <w:pPr>
        <w:pageBreakBefore w:val="0"/>
        <w:widowControl/>
        <w:wordWrap/>
        <w:topLinePunct w:val="0"/>
        <w:bidi w:val="0"/>
        <w:adjustRightInd w:val="0"/>
        <w:snapToGrid w:val="0"/>
        <w:spacing w:line="560" w:lineRule="exact"/>
        <w:ind w:firstLine="720"/>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lang w:val="en-US" w:eastAsia="zh-CN"/>
        </w:rPr>
        <w:t>3</w:t>
      </w:r>
      <w:r>
        <w:rPr>
          <w:rFonts w:hint="default" w:ascii="Times New Roman" w:hAnsi="Times New Roman" w:eastAsia="仿宋_GB2312" w:cs="Times New Roman"/>
          <w:b w:val="0"/>
          <w:bCs w:val="0"/>
          <w:color w:val="000000"/>
          <w:kern w:val="0"/>
          <w:sz w:val="32"/>
          <w:szCs w:val="32"/>
          <w:highlight w:val="none"/>
          <w:lang w:val="en-US" w:eastAsia="zh-CN"/>
        </w:rPr>
        <w:t>．</w:t>
      </w:r>
      <w:r>
        <w:rPr>
          <w:rFonts w:hint="default" w:ascii="Times New Roman" w:hAnsi="Times New Roman" w:eastAsia="仿宋_GB2312" w:cs="Times New Roman"/>
          <w:color w:val="000000"/>
          <w:kern w:val="0"/>
          <w:sz w:val="32"/>
          <w:szCs w:val="32"/>
        </w:rPr>
        <w:t>交通运输部门建设任务重，投资量大，项目资金缺口严重，为深入贯彻落实《预算法》，不得无预算支出，把有限的资金用在刀刃上，我局根据项目实施情况，对项目预算支出进行评估，对当年不再开工（实施）、当年无法执行完毕或项目执行完毕尚有预算结余的项目支出，提出调整预算的建议；对已有预算且存在支出缺口的交通项目，提供相应文件资料，提出增加预算的建议，报县政府批复，确保在当年实现支出，提高财政资金使用效益，保障交通项目建设顺利完成。</w:t>
      </w:r>
    </w:p>
    <w:p>
      <w:pPr>
        <w:pageBreakBefore w:val="0"/>
        <w:wordWrap/>
        <w:topLinePunct w:val="0"/>
        <w:bidi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b w:val="0"/>
          <w:bCs w:val="0"/>
          <w:color w:val="000000"/>
          <w:kern w:val="0"/>
          <w:sz w:val="32"/>
          <w:szCs w:val="32"/>
          <w:highlight w:val="none"/>
          <w:lang w:val="en-US" w:eastAsia="zh-CN"/>
        </w:rPr>
        <w:t>．</w:t>
      </w:r>
      <w:r>
        <w:rPr>
          <w:rFonts w:hint="default" w:ascii="Times New Roman" w:hAnsi="Times New Roman" w:eastAsia="仿宋_GB2312" w:cs="Times New Roman"/>
          <w:color w:val="000000"/>
          <w:kern w:val="0"/>
          <w:sz w:val="32"/>
          <w:szCs w:val="32"/>
        </w:rPr>
        <w:t>为真实、准确反应单位年度财务收、支情况，根据县财政编制决算报表的各项规定和要求，认真开展了部门年度决算报表编制。按照政府收支分类科目和财务报表支出情况分别按基本支出、项目支出编制部门决算，决算收入、支出口径与财政局国库</w:t>
      </w:r>
      <w:r>
        <w:rPr>
          <w:rFonts w:hint="default" w:ascii="Times New Roman" w:hAnsi="Times New Roman" w:eastAsia="仿宋_GB2312" w:cs="Times New Roman"/>
          <w:color w:val="000000"/>
          <w:kern w:val="0"/>
          <w:sz w:val="32"/>
          <w:szCs w:val="32"/>
          <w:lang w:eastAsia="zh-CN"/>
        </w:rPr>
        <w:t>支付中心</w:t>
      </w:r>
      <w:r>
        <w:rPr>
          <w:rFonts w:hint="default" w:ascii="Times New Roman" w:hAnsi="Times New Roman" w:eastAsia="仿宋_GB2312" w:cs="Times New Roman"/>
          <w:color w:val="000000"/>
          <w:kern w:val="0"/>
          <w:sz w:val="32"/>
          <w:szCs w:val="32"/>
        </w:rPr>
        <w:t>、预算股和经建股以及</w:t>
      </w:r>
      <w:r>
        <w:rPr>
          <w:rFonts w:hint="default" w:ascii="Times New Roman" w:hAnsi="Times New Roman" w:eastAsia="仿宋_GB2312" w:cs="Times New Roman"/>
          <w:color w:val="000000"/>
          <w:kern w:val="0"/>
          <w:sz w:val="32"/>
          <w:szCs w:val="32"/>
          <w:lang w:eastAsia="zh-CN"/>
        </w:rPr>
        <w:t>政府预算一体化平台</w:t>
      </w:r>
      <w:r>
        <w:rPr>
          <w:rFonts w:hint="default" w:ascii="Times New Roman" w:hAnsi="Times New Roman" w:eastAsia="仿宋_GB2312" w:cs="Times New Roman"/>
          <w:color w:val="000000"/>
          <w:kern w:val="0"/>
          <w:sz w:val="32"/>
          <w:szCs w:val="32"/>
        </w:rPr>
        <w:t>核对无误，做到账账相符、账实相符、账证相符，及时上报相关报表。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color w:val="auto"/>
          <w:sz w:val="32"/>
          <w:szCs w:val="32"/>
          <w:highlight w:val="none"/>
          <w:lang w:eastAsia="zh-CN"/>
        </w:rPr>
      </w:pPr>
      <w:r>
        <w:rPr>
          <w:rFonts w:hint="default" w:ascii="Times New Roman" w:hAnsi="Times New Roman" w:eastAsia="楷体" w:cs="Times New Roman"/>
          <w:b/>
          <w:color w:val="auto"/>
          <w:sz w:val="32"/>
          <w:szCs w:val="32"/>
          <w:highlight w:val="none"/>
          <w:lang w:eastAsia="zh-CN"/>
        </w:rPr>
        <w:t>(三)整体绩效情况</w:t>
      </w:r>
    </w:p>
    <w:p>
      <w:pPr>
        <w:pStyle w:val="38"/>
        <w:keepNext w:val="0"/>
        <w:keepLines w:val="0"/>
        <w:pageBreakBefore w:val="0"/>
        <w:kinsoku/>
        <w:wordWrap/>
        <w:overflowPunct/>
        <w:topLinePunct w:val="0"/>
        <w:bidi w:val="0"/>
        <w:spacing w:line="560" w:lineRule="exact"/>
        <w:ind w:firstLine="640" w:firstLineChars="200"/>
        <w:rPr>
          <w:rFonts w:hint="default" w:ascii="Times New Roman" w:hAnsi="Times New Roman" w:eastAsia="仿宋_GB2312" w:cs="Times New Roman"/>
          <w:szCs w:val="32"/>
        </w:rPr>
      </w:pPr>
      <w:r>
        <w:rPr>
          <w:rFonts w:hint="default" w:ascii="Times New Roman" w:hAnsi="Times New Roman" w:eastAsia="仿宋_GB2312" w:cs="Times New Roman"/>
          <w:b w:val="0"/>
          <w:bCs w:val="0"/>
          <w:szCs w:val="32"/>
        </w:rPr>
        <w:t>一是高速公路加快建设。</w:t>
      </w:r>
      <w:r>
        <w:rPr>
          <w:rFonts w:hint="default" w:ascii="Times New Roman" w:hAnsi="Times New Roman" w:eastAsia="仿宋_GB2312" w:cs="Times New Roman"/>
          <w:szCs w:val="32"/>
        </w:rPr>
        <w:t>仁沐公司今年计划投资2亿元，五指山隧道工程12月预计隧道进口左线累计掘进4516m，占隧道沐川段长的93.1％；右线累计掘进4535m，占隧道沐川段长的93.2％，完成投资2.06亿元，占年度投资任务的103%。仁沐新高速公路“三改”工程计划投资4000万元，12月预计足额完成投资全面完成工程量。乐西高速今年计划投资13亿元，四个标段已开工路基工程11段，完成挖填土石方478余万立方米，桥梁开工17座，隧道全部开工累计掘进7859米，12月预计路基、隧道、桥梁完成投资8亿元，占年度投资任务的61%。</w:t>
      </w:r>
    </w:p>
    <w:p>
      <w:pPr>
        <w:pStyle w:val="38"/>
        <w:keepNext w:val="0"/>
        <w:keepLines w:val="0"/>
        <w:pageBreakBefore w:val="0"/>
        <w:kinsoku/>
        <w:wordWrap/>
        <w:overflowPunct/>
        <w:topLinePunct w:val="0"/>
        <w:bidi w:val="0"/>
        <w:spacing w:line="560" w:lineRule="exact"/>
        <w:ind w:firstLine="640" w:firstLineChars="200"/>
        <w:rPr>
          <w:rFonts w:hint="default" w:ascii="Times New Roman" w:hAnsi="Times New Roman" w:eastAsia="仿宋_GB2312" w:cs="Times New Roman"/>
          <w:color w:val="000000"/>
          <w:szCs w:val="32"/>
          <w:lang w:bidi="ar"/>
        </w:rPr>
      </w:pPr>
      <w:r>
        <w:rPr>
          <w:rFonts w:hint="default" w:ascii="Times New Roman" w:hAnsi="Times New Roman" w:eastAsia="仿宋_GB2312" w:cs="Times New Roman"/>
          <w:b w:val="0"/>
          <w:bCs w:val="0"/>
          <w:szCs w:val="32"/>
        </w:rPr>
        <w:t>二是积极推进</w:t>
      </w:r>
      <w:r>
        <w:rPr>
          <w:rFonts w:hint="default" w:ascii="Times New Roman" w:hAnsi="Times New Roman" w:eastAsia="仿宋_GB2312" w:cs="Times New Roman"/>
          <w:b w:val="0"/>
          <w:bCs w:val="0"/>
          <w:szCs w:val="24"/>
        </w:rPr>
        <w:t>港区交通枢纽建设前期工作</w:t>
      </w:r>
      <w:r>
        <w:rPr>
          <w:rFonts w:hint="default" w:ascii="Times New Roman" w:hAnsi="Times New Roman" w:eastAsia="仿宋_GB2312" w:cs="Times New Roman"/>
          <w:b w:val="0"/>
          <w:bCs w:val="0"/>
          <w:szCs w:val="32"/>
        </w:rPr>
        <w:t>。</w:t>
      </w:r>
      <w:r>
        <w:rPr>
          <w:rFonts w:hint="default" w:ascii="Times New Roman" w:hAnsi="Times New Roman" w:eastAsia="仿宋_GB2312" w:cs="Times New Roman"/>
          <w:szCs w:val="32"/>
        </w:rPr>
        <w:t>S310线沐川县箭板镇至新凡段改建工程</w:t>
      </w:r>
      <w:r>
        <w:rPr>
          <w:rFonts w:hint="default" w:ascii="Times New Roman" w:hAnsi="Times New Roman" w:eastAsia="仿宋_GB2312" w:cs="Times New Roman"/>
          <w:color w:val="000000"/>
          <w:szCs w:val="32"/>
          <w:lang w:bidi="ar"/>
        </w:rPr>
        <w:t>已完成工可、初设、施设批复，完成交通安全性评价和社会风险稳定报告，完成分户打桩定界工作，正在开展财评和招商工作。12月预计完成投资3000万元；龙溪口库区沐溪河旅游航道建设工程于11月2日取得沐川、犍为两县发改局立项批复，航道两阶段勘察设计已完成招标，预计11月底完成初步设计、12月完成施工图设计，航道通航条件影响评价、用地预审与选址意见书、环境影响报告书等开工前置要件正在有序开展；乐山港沐川罗家坝作业区建设工程已完成可行性研究报告送审稿，待乐山港总体调规通过省政府批准后即进入可研审查工作。</w:t>
      </w:r>
    </w:p>
    <w:p>
      <w:pPr>
        <w:pStyle w:val="38"/>
        <w:keepNext w:val="0"/>
        <w:keepLines w:val="0"/>
        <w:pageBreakBefore w:val="0"/>
        <w:kinsoku/>
        <w:wordWrap/>
        <w:overflowPunct/>
        <w:topLinePunct w:val="0"/>
        <w:bidi w:val="0"/>
        <w:spacing w:line="560" w:lineRule="exact"/>
        <w:ind w:firstLine="640" w:firstLineChars="200"/>
        <w:rPr>
          <w:rFonts w:hint="default" w:ascii="Times New Roman" w:hAnsi="Times New Roman" w:eastAsia="仿宋_GB2312" w:cs="Times New Roman"/>
          <w:szCs w:val="32"/>
        </w:rPr>
      </w:pPr>
      <w:r>
        <w:rPr>
          <w:rFonts w:hint="default" w:ascii="Times New Roman" w:hAnsi="Times New Roman" w:eastAsia="仿宋_GB2312" w:cs="Times New Roman"/>
          <w:b w:val="0"/>
          <w:bCs w:val="0"/>
          <w:color w:val="000000"/>
          <w:szCs w:val="32"/>
          <w:lang w:bidi="ar"/>
        </w:rPr>
        <w:t>三</w:t>
      </w:r>
      <w:r>
        <w:rPr>
          <w:rFonts w:hint="default" w:ascii="Times New Roman" w:hAnsi="Times New Roman" w:eastAsia="仿宋_GB2312" w:cs="Times New Roman"/>
          <w:b w:val="0"/>
          <w:bCs w:val="0"/>
          <w:szCs w:val="32"/>
        </w:rPr>
        <w:t>是做好普通公路建设和养护管理工作。</w:t>
      </w:r>
      <w:r>
        <w:rPr>
          <w:rFonts w:hint="default" w:ascii="Times New Roman" w:hAnsi="Times New Roman" w:eastAsia="仿宋_GB2312" w:cs="Times New Roman"/>
          <w:szCs w:val="32"/>
        </w:rPr>
        <w:t>落实中央环保督察案件整改工作，由县公路建设服务中心作为项目业主实施新利路武圣至利店镇大修工程，2022年7月完成建设并通车；九黄路黄丹滑坡治理应急抢通工程2022年</w:t>
      </w:r>
      <w:r>
        <w:rPr>
          <w:rFonts w:hint="default" w:ascii="Times New Roman" w:hAnsi="Times New Roman" w:eastAsia="仿宋_GB2312" w:cs="Times New Roman"/>
        </w:rPr>
        <w:t>10月按期全部完成，彻底解决了黄丹场镇多年通行难和脏乱差问题</w:t>
      </w:r>
      <w:r>
        <w:rPr>
          <w:rFonts w:hint="default" w:ascii="Times New Roman" w:hAnsi="Times New Roman" w:eastAsia="仿宋_GB2312" w:cs="Times New Roman"/>
          <w:szCs w:val="32"/>
        </w:rPr>
        <w:t>；同时，积极开展“五清”行动，做好路面、挡墙、边坡等清理工作，进一步优化人居环境；积极开展道路安全隐患排查整治，</w:t>
      </w:r>
      <w:r>
        <w:rPr>
          <w:rFonts w:hint="default" w:ascii="Times New Roman" w:hAnsi="Times New Roman" w:eastAsia="仿宋_GB2312" w:cs="Times New Roman"/>
        </w:rPr>
        <w:t>已排查安全隐患337处，完成整改335处，正在整改2处。清理零星塌方200余处，清理土石方15000余立方米，更换损坏波形护栏1300米，校正、更换标志标牌40个，修补县、乡道路路面、坑槽20处1500平方米；</w:t>
      </w:r>
      <w:r>
        <w:rPr>
          <w:rFonts w:hint="default" w:ascii="Times New Roman" w:hAnsi="Times New Roman" w:eastAsia="仿宋_GB2312" w:cs="Times New Roman"/>
          <w:szCs w:val="32"/>
        </w:rPr>
        <w:t>查处路产损坏案件31起，收缴入库路产赔偿费16.8万元。</w:t>
      </w:r>
    </w:p>
    <w:p>
      <w:pPr>
        <w:pStyle w:val="38"/>
        <w:keepNext w:val="0"/>
        <w:keepLines w:val="0"/>
        <w:pageBreakBefore w:val="0"/>
        <w:kinsoku/>
        <w:wordWrap/>
        <w:overflowPunct/>
        <w:topLinePunct w:val="0"/>
        <w:bidi w:val="0"/>
        <w:spacing w:line="560" w:lineRule="exact"/>
        <w:ind w:firstLine="640" w:firstLineChars="200"/>
        <w:rPr>
          <w:rFonts w:hint="default" w:ascii="Times New Roman" w:hAnsi="Times New Roman" w:eastAsia="仿宋_GB2312" w:cs="Times New Roman"/>
          <w:szCs w:val="32"/>
        </w:rPr>
      </w:pPr>
      <w:r>
        <w:rPr>
          <w:rFonts w:hint="default" w:ascii="Times New Roman" w:hAnsi="Times New Roman" w:eastAsia="仿宋_GB2312" w:cs="Times New Roman"/>
          <w:b w:val="0"/>
          <w:bCs w:val="0"/>
          <w:szCs w:val="32"/>
        </w:rPr>
        <w:t>四是不断改善农村交通环境。</w:t>
      </w:r>
      <w:r>
        <w:rPr>
          <w:rFonts w:hint="default" w:ascii="Times New Roman" w:hAnsi="Times New Roman" w:eastAsia="仿宋_GB2312" w:cs="Times New Roman"/>
          <w:color w:val="000000"/>
          <w:szCs w:val="32"/>
          <w:lang w:bidi="ar"/>
        </w:rPr>
        <w:t>市上下达我县2022年度农村公路建设任务109.1公里，其中撤并建制村道路70.6公里，30户以上自然村通硬化路25.5公里，县乡道8公里，幸福美丽乡村路5公里，桥梁1座；农村公路养护工程166.3公里，农村公路安保工程24.7公里，年度计划投资11535.3万元。12月份预计完成农村公路127.8公里，完成投资13018.5万元，分别占里程和投资任务的117%和113%。完成村道安保工程建设任务43.4公里，完成投资950万元；</w:t>
      </w:r>
      <w:r>
        <w:rPr>
          <w:rFonts w:hint="default" w:ascii="Times New Roman" w:hAnsi="Times New Roman" w:eastAsia="仿宋_GB2312" w:cs="Times New Roman"/>
          <w:szCs w:val="32"/>
        </w:rPr>
        <w:t>底堡乡、永福镇、沐溪镇建和、箭板镇（含大楠载客点）4个乡镇运输服务站升级改造于2022年4月交工验收，完成投资22.34万元。</w:t>
      </w:r>
    </w:p>
    <w:p>
      <w:pPr>
        <w:pStyle w:val="38"/>
        <w:keepNext w:val="0"/>
        <w:keepLines w:val="0"/>
        <w:pageBreakBefore w:val="0"/>
        <w:kinsoku/>
        <w:wordWrap/>
        <w:overflowPunct/>
        <w:topLinePunct w:val="0"/>
        <w:bidi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Cs w:val="32"/>
        </w:rPr>
        <w:t>五是狠抓交通项目质量监管。</w:t>
      </w:r>
      <w:r>
        <w:rPr>
          <w:rFonts w:hint="default" w:ascii="Times New Roman" w:hAnsi="Times New Roman" w:eastAsia="仿宋_GB2312" w:cs="Times New Roman"/>
          <w:szCs w:val="32"/>
        </w:rPr>
        <w:t>监管新、续建的农村公路桥梁工程项目共94个，监督覆盖率达100%，完成了21个项目的交工检测。开展质量安全综合检查7余次，经常性巡查132次，项目监督检查率平均达1.4次/个，下发质量安全整改通知书9份，现场检查通知单26份，排查安全隐患12处，一次性交工验收合格率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Cs w:val="32"/>
          <w:highlight w:val="yellow"/>
        </w:rPr>
      </w:pPr>
      <w:r>
        <w:rPr>
          <w:rFonts w:hint="default" w:ascii="Times New Roman" w:hAnsi="Times New Roman" w:eastAsia="仿宋_GB2312" w:cs="Times New Roman"/>
          <w:color w:val="000000"/>
          <w:kern w:val="0"/>
          <w:sz w:val="32"/>
          <w:szCs w:val="32"/>
        </w:rPr>
        <w:t>部门整体自评认真仔细质量高、绩效目标和自评情况、评价结果按县财政要求按时公开。在自评中认真总结经验和工作中的注意事项，为来年工作做的更好打好基础，为财政部门和上级业务主管部门安排项目资金提供参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四、评价结论及建议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color w:val="auto"/>
          <w:sz w:val="32"/>
          <w:szCs w:val="32"/>
          <w:highlight w:val="none"/>
          <w:lang w:eastAsia="zh-CN"/>
        </w:rPr>
      </w:pPr>
      <w:r>
        <w:rPr>
          <w:rFonts w:hint="default" w:ascii="Times New Roman" w:hAnsi="Times New Roman" w:eastAsia="楷体" w:cs="Times New Roman"/>
          <w:b/>
          <w:color w:val="auto"/>
          <w:sz w:val="32"/>
          <w:szCs w:val="32"/>
          <w:highlight w:val="none"/>
          <w:lang w:eastAsia="zh-CN"/>
        </w:rPr>
        <w:t>(一)评价结论</w:t>
      </w:r>
    </w:p>
    <w:p>
      <w:pPr>
        <w:pageBreakBefore w:val="0"/>
        <w:widowControl/>
        <w:wordWrap/>
        <w:topLinePunct w:val="0"/>
        <w:bidi w:val="0"/>
        <w:adjustRightInd w:val="0"/>
        <w:snapToGrid w:val="0"/>
        <w:spacing w:line="560" w:lineRule="exact"/>
        <w:ind w:firstLine="720"/>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rPr>
        <w:t>202</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年交通运输局全面完成了县委、县政府和市交委下达的各项目标任务，为我县经济发展作出了应有的贡献，社会经济效益达到显著提高，群众满意度极高，整体评价自评得分</w:t>
      </w:r>
      <w:r>
        <w:rPr>
          <w:rFonts w:hint="default" w:ascii="Times New Roman" w:hAnsi="Times New Roman" w:eastAsia="仿宋_GB2312" w:cs="Times New Roman"/>
          <w:color w:val="000000"/>
          <w:kern w:val="0"/>
          <w:sz w:val="32"/>
          <w:szCs w:val="32"/>
          <w:highlight w:val="none"/>
          <w:lang w:val="en-US" w:eastAsia="zh-CN"/>
        </w:rPr>
        <w:t>91.6</w:t>
      </w:r>
      <w:r>
        <w:rPr>
          <w:rFonts w:hint="default" w:ascii="Times New Roman" w:hAnsi="Times New Roman" w:eastAsia="仿宋_GB2312" w:cs="Times New Roman"/>
          <w:color w:val="000000"/>
          <w:kern w:val="0"/>
          <w:sz w:val="32"/>
          <w:szCs w:val="32"/>
        </w:rPr>
        <w:t>分。</w:t>
      </w:r>
    </w:p>
    <w:p>
      <w:pPr>
        <w:pageBreakBefore w:val="0"/>
        <w:widowControl/>
        <w:wordWrap/>
        <w:topLinePunct w:val="0"/>
        <w:bidi w:val="0"/>
        <w:adjustRightInd w:val="0"/>
        <w:snapToGrid w:val="0"/>
        <w:spacing w:line="560" w:lineRule="exact"/>
        <w:ind w:firstLine="720"/>
        <w:jc w:val="left"/>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zh-CN"/>
        </w:rPr>
        <w:t>存在问题。</w:t>
      </w:r>
    </w:p>
    <w:p>
      <w:pPr>
        <w:pageBreakBefore w:val="0"/>
        <w:widowControl/>
        <w:wordWrap/>
        <w:topLinePunct w:val="0"/>
        <w:bidi w:val="0"/>
        <w:adjustRightInd w:val="0"/>
        <w:snapToGrid w:val="0"/>
        <w:spacing w:line="560" w:lineRule="exact"/>
        <w:ind w:firstLine="720"/>
        <w:jc w:val="left"/>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无。</w:t>
      </w:r>
    </w:p>
    <w:p>
      <w:pPr>
        <w:pageBreakBefore w:val="0"/>
        <w:widowControl/>
        <w:wordWrap/>
        <w:topLinePunct w:val="0"/>
        <w:bidi w:val="0"/>
        <w:adjustRightInd w:val="0"/>
        <w:snapToGrid w:val="0"/>
        <w:spacing w:line="560" w:lineRule="exact"/>
        <w:ind w:firstLine="720"/>
        <w:jc w:val="left"/>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zh-CN"/>
        </w:rPr>
        <w:t>改进建议。</w:t>
      </w:r>
    </w:p>
    <w:p>
      <w:pPr>
        <w:pageBreakBefore w:val="0"/>
        <w:widowControl/>
        <w:wordWrap/>
        <w:topLinePunct w:val="0"/>
        <w:bidi w:val="0"/>
        <w:adjustRightInd w:val="0"/>
        <w:snapToGrid w:val="0"/>
        <w:spacing w:line="560" w:lineRule="exact"/>
        <w:ind w:firstLine="720"/>
        <w:jc w:val="left"/>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zh-CN"/>
        </w:rPr>
        <w:t>无。</w:t>
      </w:r>
    </w:p>
    <w:p>
      <w:pPr>
        <w:pageBreakBefore w:val="0"/>
        <w:widowControl/>
        <w:wordWrap/>
        <w:topLinePunct w:val="0"/>
        <w:bidi w:val="0"/>
        <w:adjustRightInd w:val="0"/>
        <w:snapToGrid w:val="0"/>
        <w:spacing w:line="560" w:lineRule="exact"/>
        <w:ind w:firstLine="720"/>
        <w:jc w:val="left"/>
        <w:rPr>
          <w:rFonts w:hint="default" w:ascii="Times New Roman" w:hAnsi="Times New Roman" w:eastAsia="仿宋_GB2312" w:cs="Times New Roman"/>
          <w:color w:val="000000"/>
          <w:kern w:val="0"/>
          <w:sz w:val="32"/>
          <w:szCs w:val="32"/>
          <w:lang w:val="zh-CN"/>
        </w:rPr>
      </w:pPr>
    </w:p>
    <w:p>
      <w:pPr>
        <w:pageBreakBefore w:val="0"/>
        <w:widowControl/>
        <w:wordWrap/>
        <w:topLinePunct w:val="0"/>
        <w:bidi w:val="0"/>
        <w:adjustRightInd w:val="0"/>
        <w:snapToGrid w:val="0"/>
        <w:spacing w:line="560" w:lineRule="exact"/>
        <w:ind w:firstLine="720"/>
        <w:jc w:val="left"/>
        <w:rPr>
          <w:rFonts w:hint="default" w:ascii="Times New Roman" w:hAnsi="Times New Roman" w:eastAsia="仿宋_GB2312" w:cs="Times New Roman"/>
          <w:color w:val="000000"/>
          <w:kern w:val="0"/>
          <w:sz w:val="32"/>
          <w:szCs w:val="32"/>
          <w:lang w:val="zh-CN"/>
        </w:rPr>
      </w:pPr>
    </w:p>
    <w:p>
      <w:pPr>
        <w:pageBreakBefore w:val="0"/>
        <w:widowControl/>
        <w:wordWrap/>
        <w:topLinePunct w:val="0"/>
        <w:bidi w:val="0"/>
        <w:adjustRightInd w:val="0"/>
        <w:snapToGrid w:val="0"/>
        <w:spacing w:line="560" w:lineRule="exact"/>
        <w:ind w:firstLine="720"/>
        <w:jc w:val="left"/>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 xml:space="preserve">                            沐川县交通运输局</w:t>
      </w:r>
    </w:p>
    <w:p>
      <w:pPr>
        <w:pageBreakBefore w:val="0"/>
        <w:widowControl/>
        <w:wordWrap/>
        <w:topLinePunct w:val="0"/>
        <w:bidi w:val="0"/>
        <w:adjustRightInd w:val="0"/>
        <w:snapToGrid w:val="0"/>
        <w:spacing w:line="560" w:lineRule="exact"/>
        <w:ind w:firstLine="720"/>
        <w:jc w:val="left"/>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 xml:space="preserve">                              2023年7月5日</w:t>
      </w:r>
    </w:p>
    <w:p>
      <w:pPr>
        <w:pageBreakBefore w:val="0"/>
        <w:wordWrap/>
        <w:topLinePunct w:val="0"/>
        <w:bidi w:val="0"/>
        <w:spacing w:line="560" w:lineRule="exact"/>
        <w:rPr>
          <w:rFonts w:hint="default" w:ascii="Times New Roman" w:hAnsi="Times New Roman" w:eastAsia="黑体" w:cs="Times New Roman"/>
        </w:rPr>
      </w:pPr>
    </w:p>
    <w:p>
      <w:pPr>
        <w:pageBreakBefore w:val="0"/>
        <w:wordWrap/>
        <w:topLinePunct w:val="0"/>
        <w:bidi w:val="0"/>
        <w:spacing w:line="560" w:lineRule="exact"/>
        <w:rPr>
          <w:rFonts w:hint="default" w:ascii="Times New Roman" w:hAnsi="Times New Roman" w:eastAsia="黑体" w:cs="Times New Roman"/>
        </w:rPr>
      </w:pPr>
    </w:p>
    <w:p>
      <w:pPr>
        <w:pageBreakBefore w:val="0"/>
        <w:wordWrap/>
        <w:topLinePunct w:val="0"/>
        <w:bidi w:val="0"/>
        <w:spacing w:line="560" w:lineRule="exact"/>
        <w:rPr>
          <w:rFonts w:hint="default" w:ascii="Times New Roman" w:hAnsi="Times New Roman" w:eastAsia="黑体" w:cs="Times New Roman"/>
        </w:rPr>
      </w:pPr>
    </w:p>
    <w:p>
      <w:pPr>
        <w:pageBreakBefore w:val="0"/>
        <w:wordWrap/>
        <w:topLinePunct w:val="0"/>
        <w:bidi w:val="0"/>
        <w:spacing w:line="560" w:lineRule="exact"/>
        <w:rPr>
          <w:rFonts w:hint="default" w:ascii="Times New Roman" w:hAnsi="Times New Roman" w:eastAsia="黑体" w:cs="Times New Roman"/>
        </w:rPr>
      </w:pPr>
    </w:p>
    <w:p>
      <w:pPr>
        <w:pageBreakBefore w:val="0"/>
        <w:wordWrap/>
        <w:topLinePunct w:val="0"/>
        <w:bidi w:val="0"/>
        <w:spacing w:line="560" w:lineRule="exact"/>
        <w:rPr>
          <w:rFonts w:hint="default" w:ascii="Times New Roman" w:hAnsi="Times New Roman" w:eastAsia="黑体" w:cs="Times New Roman"/>
        </w:rPr>
      </w:pPr>
    </w:p>
    <w:p>
      <w:pPr>
        <w:pageBreakBefore w:val="0"/>
        <w:wordWrap/>
        <w:topLinePunct w:val="0"/>
        <w:bidi w:val="0"/>
        <w:spacing w:line="560" w:lineRule="exact"/>
        <w:rPr>
          <w:rFonts w:hint="default" w:ascii="Times New Roman" w:hAnsi="Times New Roman" w:eastAsia="黑体" w:cs="Times New Roman"/>
        </w:rPr>
      </w:pPr>
    </w:p>
    <w:p>
      <w:pPr>
        <w:pageBreakBefore w:val="0"/>
        <w:wordWrap/>
        <w:topLinePunct w:val="0"/>
        <w:bidi w:val="0"/>
        <w:spacing w:line="560" w:lineRule="exact"/>
        <w:rPr>
          <w:rFonts w:hint="default" w:ascii="Times New Roman" w:hAnsi="Times New Roman" w:eastAsia="黑体" w:cs="Times New Roman"/>
        </w:rPr>
      </w:pPr>
    </w:p>
    <w:p>
      <w:pPr>
        <w:pageBreakBefore w:val="0"/>
        <w:wordWrap/>
        <w:topLinePunct w:val="0"/>
        <w:bidi w:val="0"/>
        <w:spacing w:line="560" w:lineRule="exact"/>
        <w:rPr>
          <w:rFonts w:hint="default" w:ascii="Times New Roman" w:hAnsi="Times New Roman" w:eastAsia="黑体" w:cs="Times New Roman"/>
        </w:rPr>
      </w:pPr>
    </w:p>
    <w:p>
      <w:pPr>
        <w:pageBreakBefore w:val="0"/>
        <w:wordWrap/>
        <w:topLinePunct w:val="0"/>
        <w:bidi w:val="0"/>
        <w:spacing w:line="560" w:lineRule="exact"/>
        <w:rPr>
          <w:rFonts w:hint="default" w:ascii="Times New Roman" w:hAnsi="Times New Roman" w:eastAsia="黑体" w:cs="Times New Roman"/>
        </w:rPr>
      </w:pPr>
    </w:p>
    <w:p>
      <w:pPr>
        <w:pageBreakBefore w:val="0"/>
        <w:wordWrap/>
        <w:topLinePunct w:val="0"/>
        <w:bidi w:val="0"/>
        <w:spacing w:line="560" w:lineRule="exact"/>
        <w:rPr>
          <w:rFonts w:hint="default" w:ascii="Times New Roman" w:hAnsi="Times New Roman" w:eastAsia="黑体" w:cs="Times New Roman"/>
        </w:rPr>
      </w:pPr>
    </w:p>
    <w:p>
      <w:pPr>
        <w:pStyle w:val="2"/>
        <w:pageBreakBefore w:val="0"/>
        <w:wordWrap/>
        <w:topLinePunct w:val="0"/>
        <w:bidi w:val="0"/>
        <w:spacing w:line="560" w:lineRule="exact"/>
        <w:rPr>
          <w:rFonts w:hint="default" w:ascii="Times New Roman" w:hAnsi="Times New Roman" w:eastAsia="黑体" w:cs="Times New Roman"/>
        </w:rPr>
      </w:pPr>
    </w:p>
    <w:p>
      <w:pPr>
        <w:pStyle w:val="2"/>
        <w:pageBreakBefore w:val="0"/>
        <w:wordWrap/>
        <w:topLinePunct w:val="0"/>
        <w:bidi w:val="0"/>
        <w:spacing w:line="560" w:lineRule="exact"/>
        <w:rPr>
          <w:rFonts w:hint="default" w:ascii="Times New Roman" w:hAnsi="Times New Roman" w:eastAsia="黑体" w:cs="Times New Roman"/>
        </w:rPr>
      </w:pPr>
    </w:p>
    <w:p>
      <w:pPr>
        <w:pStyle w:val="2"/>
        <w:pageBreakBefore w:val="0"/>
        <w:wordWrap/>
        <w:topLinePunct w:val="0"/>
        <w:bidi w:val="0"/>
        <w:spacing w:line="560" w:lineRule="exact"/>
        <w:rPr>
          <w:rFonts w:hint="default" w:ascii="Times New Roman" w:hAnsi="Times New Roman" w:eastAsia="黑体" w:cs="Times New Roman"/>
        </w:rPr>
      </w:pPr>
    </w:p>
    <w:p>
      <w:pPr>
        <w:pageBreakBefore w:val="0"/>
        <w:wordWrap/>
        <w:topLinePunct w:val="0"/>
        <w:bidi w:val="0"/>
        <w:spacing w:line="560" w:lineRule="exact"/>
        <w:rPr>
          <w:rFonts w:hint="default" w:ascii="Times New Roman" w:hAnsi="Times New Roman" w:cs="Times New Roman"/>
        </w:rPr>
        <w:sectPr>
          <w:footerReference r:id="rId6" w:type="default"/>
          <w:pgSz w:w="11906" w:h="16838"/>
          <w:pgMar w:top="1440" w:right="1800" w:bottom="1440" w:left="1800" w:header="851" w:footer="992" w:gutter="0"/>
          <w:pgNumType w:fmt="decimal" w:start="1"/>
          <w:cols w:space="425" w:num="1"/>
          <w:docGrid w:type="lines" w:linePitch="312" w:charSpace="0"/>
        </w:sectPr>
      </w:pPr>
    </w:p>
    <w:tbl>
      <w:tblPr>
        <w:tblStyle w:val="15"/>
        <w:tblpPr w:leftFromText="180" w:rightFromText="180" w:vertAnchor="text" w:horzAnchor="page" w:tblpX="1493" w:tblpY="192"/>
        <w:tblOverlap w:val="never"/>
        <w:tblW w:w="129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8"/>
        <w:gridCol w:w="1079"/>
        <w:gridCol w:w="1079"/>
        <w:gridCol w:w="3261"/>
        <w:gridCol w:w="1080"/>
        <w:gridCol w:w="1080"/>
        <w:gridCol w:w="1079"/>
        <w:gridCol w:w="1080"/>
        <w:gridCol w:w="1080"/>
        <w:gridCol w:w="10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12975" w:type="dxa"/>
            <w:gridSpan w:val="10"/>
            <w:tcBorders>
              <w:top w:val="nil"/>
              <w:left w:val="nil"/>
              <w:bottom w:val="nil"/>
              <w:right w:val="nil"/>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沐川交通运输局整体支出绩效目标自评表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975" w:type="dxa"/>
            <w:gridSpan w:val="10"/>
            <w:tcBorders>
              <w:top w:val="nil"/>
              <w:left w:val="nil"/>
              <w:bottom w:val="nil"/>
              <w:right w:val="nil"/>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22"/>
                <w:szCs w:val="22"/>
                <w:u w:val="none"/>
              </w:rPr>
            </w:pPr>
            <w:r>
              <w:rPr>
                <w:rStyle w:val="39"/>
                <w:rFonts w:hint="default" w:ascii="Times New Roman" w:hAnsi="Times New Roman" w:eastAsia="仿宋_GB2312" w:cs="Times New Roman"/>
                <w:lang w:val="en-US" w:eastAsia="zh-CN" w:bidi="ar"/>
              </w:rPr>
              <w:t>（2022</w:t>
            </w:r>
            <w:r>
              <w:rPr>
                <w:rStyle w:val="40"/>
                <w:rFonts w:hint="default" w:ascii="Times New Roman" w:hAnsi="Times New Roman" w:eastAsia="仿宋_GB2312" w:cs="Times New Roman"/>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部门名称</w:t>
            </w:r>
          </w:p>
        </w:tc>
        <w:tc>
          <w:tcPr>
            <w:tcW w:w="973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沐川县交通运输局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年度主要任务</w:t>
            </w:r>
          </w:p>
        </w:tc>
        <w:tc>
          <w:tcPr>
            <w:tcW w:w="21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任务名称</w:t>
            </w:r>
          </w:p>
        </w:tc>
        <w:tc>
          <w:tcPr>
            <w:tcW w:w="3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主要内容</w:t>
            </w:r>
          </w:p>
        </w:tc>
        <w:tc>
          <w:tcPr>
            <w:tcW w:w="32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预算金额（万元）</w:t>
            </w:r>
          </w:p>
        </w:tc>
        <w:tc>
          <w:tcPr>
            <w:tcW w:w="323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实际执行（万元）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3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总额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财政拨款</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其他资金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总额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财政拨款</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Style w:val="41"/>
                <w:rFonts w:hint="default" w:ascii="Times New Roman" w:hAnsi="Times New Roman" w:eastAsia="仿宋_GB2312" w:cs="Times New Roman"/>
                <w:lang w:val="en-US" w:eastAsia="zh-CN" w:bidi="ar"/>
              </w:rPr>
              <w:t>仁沐</w:t>
            </w:r>
            <w:r>
              <w:rPr>
                <w:rStyle w:val="42"/>
                <w:rFonts w:hint="default" w:ascii="Times New Roman" w:hAnsi="Times New Roman" w:eastAsia="仿宋_GB2312" w:cs="Times New Roman"/>
                <w:lang w:val="en-US" w:eastAsia="zh-CN" w:bidi="ar"/>
              </w:rPr>
              <w:t>新高速</w:t>
            </w:r>
            <w:r>
              <w:rPr>
                <w:rStyle w:val="41"/>
                <w:rFonts w:hint="default" w:ascii="Times New Roman" w:hAnsi="Times New Roman" w:eastAsia="仿宋_GB2312" w:cs="Times New Roman"/>
                <w:lang w:val="en-US" w:eastAsia="zh-CN" w:bidi="ar"/>
              </w:rPr>
              <w:t>公路建设</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完成仁沐新高速公路工作经费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80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80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52.73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52.73</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农村公路质量监测设计经费</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完成2022年全县村组公路质监、测设任务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45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45</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32.04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32.04</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黄丹纸厂转制工作经费</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完成黄丹纸厂依法破产工作、安置破产企业职工。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30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30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农村客运车辆保险补贴</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w:t>
            </w:r>
            <w:r>
              <w:rPr>
                <w:rStyle w:val="43"/>
                <w:rFonts w:hint="default" w:ascii="Times New Roman" w:hAnsi="Times New Roman" w:eastAsia="仿宋_GB2312" w:cs="Times New Roman"/>
                <w:lang w:val="en-US" w:eastAsia="zh-CN" w:bidi="ar"/>
              </w:rPr>
              <w:t>2022</w:t>
            </w:r>
            <w:r>
              <w:rPr>
                <w:rFonts w:hint="default" w:ascii="Times New Roman" w:hAnsi="Times New Roman" w:eastAsia="仿宋_GB2312" w:cs="Times New Roman"/>
                <w:i w:val="0"/>
                <w:iCs w:val="0"/>
                <w:color w:val="000000"/>
                <w:kern w:val="0"/>
                <w:sz w:val="16"/>
                <w:szCs w:val="16"/>
                <w:u w:val="none"/>
                <w:lang w:val="en-US" w:eastAsia="zh-CN" w:bidi="ar"/>
              </w:rPr>
              <w:t>年农村客运车辆保险的补贴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65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65</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47.55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47.55</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水路客运责任保险</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w:t>
            </w:r>
            <w:r>
              <w:rPr>
                <w:rStyle w:val="43"/>
                <w:rFonts w:hint="default" w:ascii="Times New Roman" w:hAnsi="Times New Roman" w:eastAsia="仿宋_GB2312" w:cs="Times New Roman"/>
                <w:lang w:val="en-US" w:eastAsia="zh-CN" w:bidi="ar"/>
              </w:rPr>
              <w:t>2022</w:t>
            </w:r>
            <w:r>
              <w:rPr>
                <w:rFonts w:hint="default" w:ascii="Times New Roman" w:hAnsi="Times New Roman" w:eastAsia="仿宋_GB2312" w:cs="Times New Roman"/>
                <w:i w:val="0"/>
                <w:iCs w:val="0"/>
                <w:color w:val="000000"/>
                <w:kern w:val="0"/>
                <w:sz w:val="16"/>
                <w:szCs w:val="16"/>
                <w:u w:val="none"/>
                <w:lang w:val="en-US" w:eastAsia="zh-CN" w:bidi="ar"/>
              </w:rPr>
              <w:t>年水路客运责任保险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8.2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8.2</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3.25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3.25</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赵坝村二组船工工资</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完成2022年赵坝村二组船工工资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城市公交运营补贴</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w:t>
            </w:r>
            <w:r>
              <w:rPr>
                <w:rStyle w:val="43"/>
                <w:rFonts w:hint="default" w:ascii="Times New Roman" w:hAnsi="Times New Roman" w:eastAsia="仿宋_GB2312" w:cs="Times New Roman"/>
                <w:lang w:val="en-US" w:eastAsia="zh-CN" w:bidi="ar"/>
              </w:rPr>
              <w:t>2022</w:t>
            </w:r>
            <w:r>
              <w:rPr>
                <w:rFonts w:hint="default" w:ascii="Times New Roman" w:hAnsi="Times New Roman" w:eastAsia="仿宋_GB2312" w:cs="Times New Roman"/>
                <w:i w:val="0"/>
                <w:iCs w:val="0"/>
                <w:color w:val="000000"/>
                <w:kern w:val="0"/>
                <w:sz w:val="16"/>
                <w:szCs w:val="16"/>
                <w:u w:val="none"/>
                <w:lang w:val="en-US" w:eastAsia="zh-CN" w:bidi="ar"/>
              </w:rPr>
              <w:t>年经营性城市公交运营补贴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300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300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220.5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220.5</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乐山五通桥经犍为至沐川快速公路工程回购款</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w:t>
            </w:r>
            <w:r>
              <w:rPr>
                <w:rStyle w:val="43"/>
                <w:rFonts w:hint="default" w:ascii="Times New Roman" w:hAnsi="Times New Roman" w:eastAsia="仿宋_GB2312" w:cs="Times New Roman"/>
                <w:lang w:val="en-US" w:eastAsia="zh-CN" w:bidi="ar"/>
              </w:rPr>
              <w:t>2022</w:t>
            </w:r>
            <w:r>
              <w:rPr>
                <w:rFonts w:hint="default" w:ascii="Times New Roman" w:hAnsi="Times New Roman" w:eastAsia="仿宋_GB2312" w:cs="Times New Roman"/>
                <w:i w:val="0"/>
                <w:iCs w:val="0"/>
                <w:color w:val="000000"/>
                <w:kern w:val="0"/>
                <w:sz w:val="16"/>
                <w:szCs w:val="16"/>
                <w:u w:val="none"/>
                <w:lang w:val="en-US" w:eastAsia="zh-CN" w:bidi="ar"/>
              </w:rPr>
              <w:t>年乐山五通桥经犍为至沐川快速公路工程回购款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7000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7000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4325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4325</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城乡客运发展资金</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完成支持城乡客运发展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30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交通工程项目资金</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 xml:space="preserve">项目前期工可、设计、评审、立项等工作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600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600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600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600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五沐快速管养经费</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w:t>
            </w:r>
            <w:r>
              <w:rPr>
                <w:rStyle w:val="43"/>
                <w:rFonts w:hint="default" w:ascii="Times New Roman" w:hAnsi="Times New Roman" w:eastAsia="仿宋_GB2312" w:cs="Times New Roman"/>
                <w:lang w:val="en-US" w:eastAsia="zh-CN" w:bidi="ar"/>
              </w:rPr>
              <w:t>2022</w:t>
            </w:r>
            <w:r>
              <w:rPr>
                <w:rFonts w:hint="default" w:ascii="Times New Roman" w:hAnsi="Times New Roman" w:eastAsia="仿宋_GB2312" w:cs="Times New Roman"/>
                <w:i w:val="0"/>
                <w:iCs w:val="0"/>
                <w:color w:val="000000"/>
                <w:kern w:val="0"/>
                <w:sz w:val="16"/>
                <w:szCs w:val="16"/>
                <w:u w:val="none"/>
                <w:lang w:val="en-US" w:eastAsia="zh-CN" w:bidi="ar"/>
              </w:rPr>
              <w:t>年五沐快速管养</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40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40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40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40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Style w:val="43"/>
                <w:rFonts w:hint="default" w:ascii="Times New Roman" w:hAnsi="Times New Roman" w:eastAsia="仿宋_GB2312" w:cs="Times New Roman"/>
                <w:lang w:val="en-US" w:eastAsia="zh-CN" w:bidi="ar"/>
              </w:rPr>
              <w:t xml:space="preserve"> </w:t>
            </w:r>
            <w:r>
              <w:rPr>
                <w:rFonts w:hint="default" w:ascii="Times New Roman" w:hAnsi="Times New Roman" w:eastAsia="仿宋_GB2312" w:cs="Times New Roman"/>
                <w:i w:val="0"/>
                <w:iCs w:val="0"/>
                <w:color w:val="000000"/>
                <w:kern w:val="0"/>
                <w:sz w:val="16"/>
                <w:szCs w:val="16"/>
                <w:u w:val="none"/>
                <w:lang w:val="en-US" w:eastAsia="zh-CN" w:bidi="ar"/>
              </w:rPr>
              <w:t>道路养护经费</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w:t>
            </w:r>
            <w:r>
              <w:rPr>
                <w:rStyle w:val="43"/>
                <w:rFonts w:hint="default" w:ascii="Times New Roman" w:hAnsi="Times New Roman" w:eastAsia="仿宋_GB2312" w:cs="Times New Roman"/>
                <w:lang w:val="en-US" w:eastAsia="zh-CN" w:bidi="ar"/>
              </w:rPr>
              <w:t>2022</w:t>
            </w:r>
            <w:r>
              <w:rPr>
                <w:rFonts w:hint="default" w:ascii="Times New Roman" w:hAnsi="Times New Roman" w:eastAsia="仿宋_GB2312" w:cs="Times New Roman"/>
                <w:i w:val="0"/>
                <w:iCs w:val="0"/>
                <w:color w:val="000000"/>
                <w:kern w:val="0"/>
                <w:sz w:val="16"/>
                <w:szCs w:val="16"/>
                <w:u w:val="none"/>
                <w:lang w:val="en-US" w:eastAsia="zh-CN" w:bidi="ar"/>
              </w:rPr>
              <w:t>年</w:t>
            </w:r>
            <w:r>
              <w:rPr>
                <w:rStyle w:val="43"/>
                <w:rFonts w:hint="default" w:ascii="Times New Roman" w:hAnsi="Times New Roman" w:eastAsia="仿宋_GB2312" w:cs="Times New Roman"/>
                <w:lang w:val="en-US" w:eastAsia="zh-CN" w:bidi="ar"/>
              </w:rPr>
              <w:t xml:space="preserve"> </w:t>
            </w:r>
            <w:r>
              <w:rPr>
                <w:rFonts w:hint="default" w:ascii="Times New Roman" w:hAnsi="Times New Roman" w:eastAsia="仿宋_GB2312" w:cs="Times New Roman"/>
                <w:i w:val="0"/>
                <w:iCs w:val="0"/>
                <w:color w:val="000000"/>
                <w:kern w:val="0"/>
                <w:sz w:val="16"/>
                <w:szCs w:val="16"/>
                <w:u w:val="none"/>
                <w:lang w:val="en-US" w:eastAsia="zh-CN" w:bidi="ar"/>
              </w:rPr>
              <w:t>道路养护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400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400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181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181</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节能与新能源公交车运营补助</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w:t>
            </w:r>
            <w:r>
              <w:rPr>
                <w:rStyle w:val="43"/>
                <w:rFonts w:hint="default" w:ascii="Times New Roman" w:hAnsi="Times New Roman" w:eastAsia="仿宋_GB2312" w:cs="Times New Roman"/>
                <w:lang w:val="en-US" w:eastAsia="zh-CN" w:bidi="ar"/>
              </w:rPr>
              <w:t>2022</w:t>
            </w:r>
            <w:r>
              <w:rPr>
                <w:rFonts w:hint="default" w:ascii="Times New Roman" w:hAnsi="Times New Roman" w:eastAsia="仿宋_GB2312" w:cs="Times New Roman"/>
                <w:i w:val="0"/>
                <w:iCs w:val="0"/>
                <w:color w:val="000000"/>
                <w:kern w:val="0"/>
                <w:sz w:val="16"/>
                <w:szCs w:val="16"/>
                <w:u w:val="none"/>
                <w:lang w:val="en-US" w:eastAsia="zh-CN" w:bidi="ar"/>
              </w:rPr>
              <w:t>年节能与新能源公交车运营补助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12</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12</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普通国省干线公路养护管理检查考核资金</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完成普通国省干线公路养护管理检查考核资金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89.84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89.84</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保障单位正常运转</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按时发放人员的工资福利支出，保障机关正常运转，行政权力正常运行。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1372.93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1372.93</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2111.21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2111.21</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交通项目资金</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left"/>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5174.03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5174.03</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211.04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金额合计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10073.97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10073.97</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13041.35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12830.31</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211.04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0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年度总体目标</w:t>
            </w:r>
          </w:p>
        </w:tc>
        <w:tc>
          <w:tcPr>
            <w:tcW w:w="64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预期目标</w:t>
            </w:r>
          </w:p>
        </w:tc>
        <w:tc>
          <w:tcPr>
            <w:tcW w:w="53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6499" w:type="dxa"/>
            <w:gridSpan w:val="4"/>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加快仁沐新高速公路建设，全力做好各方协调工作，确保仁沐新高速足额完成投资，全面完成工程量以及乐山五通桥经犍为至沐川快速公路工程预回购工作顺利进行。狠抓交通项目质量监管，保障公路完好、整洁、畅通，消除安全隐患，保障行人、车辆出行安全，对渡口码头进行优化减存，完成龙拖坝港湾式锚地第一阶段建设任务；打造沐川绿色交通低碳出行环境；继续发展“金通工程”车辆，着力构造“客运＋货运”“客运＋物流”“客运＋旅游”网络。完成黄丹纸厂破产清算小组工作人员与守厂人员工资及日常支出等。保障公路完好、整洁、畅通，消除安全隐患，保障行人、车辆出行安全</w:t>
            </w:r>
          </w:p>
        </w:tc>
        <w:tc>
          <w:tcPr>
            <w:tcW w:w="539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全面完成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6499" w:type="dxa"/>
            <w:gridSpan w:val="4"/>
            <w:vMerge w:val="continue"/>
            <w:tcBorders>
              <w:top w:val="single" w:color="000000" w:sz="4" w:space="0"/>
              <w:left w:val="single" w:color="000000" w:sz="4" w:space="0"/>
              <w:bottom w:val="nil"/>
              <w:right w:val="single" w:color="000000" w:sz="4" w:space="0"/>
            </w:tcBorders>
            <w:shd w:val="clear" w:color="auto" w:fill="auto"/>
            <w:vAlign w:val="center"/>
          </w:tcPr>
          <w:p>
            <w:pPr>
              <w:pageBreakBefore w:val="0"/>
              <w:wordWrap/>
              <w:topLinePunct w:val="0"/>
              <w:bidi w:val="0"/>
              <w:spacing w:line="560" w:lineRule="exact"/>
              <w:jc w:val="left"/>
              <w:rPr>
                <w:rFonts w:hint="default" w:ascii="Times New Roman" w:hAnsi="Times New Roman" w:eastAsia="仿宋_GB2312" w:cs="Times New Roman"/>
                <w:i w:val="0"/>
                <w:iCs w:val="0"/>
                <w:color w:val="000000"/>
                <w:sz w:val="16"/>
                <w:szCs w:val="16"/>
                <w:u w:val="none"/>
              </w:rPr>
            </w:pPr>
          </w:p>
        </w:tc>
        <w:tc>
          <w:tcPr>
            <w:tcW w:w="539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0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年度绩效指标</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一级指标</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二级指标</w:t>
            </w: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三级指标</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预期指标值（包含数字及文字描述）</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完成指标</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数量指标</w:t>
            </w: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村组公路测设、质量检测公里数</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Style w:val="43"/>
                <w:rFonts w:hint="default" w:ascii="Times New Roman" w:hAnsi="Times New Roman" w:eastAsia="仿宋_GB2312" w:cs="Times New Roman"/>
                <w:lang w:val="en-US" w:eastAsia="zh-CN" w:bidi="ar"/>
              </w:rPr>
              <w:t>280</w:t>
            </w:r>
            <w:r>
              <w:rPr>
                <w:rFonts w:hint="default" w:ascii="Times New Roman" w:hAnsi="Times New Roman" w:eastAsia="仿宋_GB2312" w:cs="Times New Roman"/>
                <w:i w:val="0"/>
                <w:iCs w:val="0"/>
                <w:color w:val="000000"/>
                <w:kern w:val="0"/>
                <w:sz w:val="16"/>
                <w:szCs w:val="16"/>
                <w:u w:val="none"/>
                <w:lang w:val="en-US" w:eastAsia="zh-CN" w:bidi="ar"/>
              </w:rPr>
              <w:t>公里</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Style w:val="43"/>
                <w:rFonts w:hint="default" w:ascii="Times New Roman" w:hAnsi="Times New Roman" w:eastAsia="仿宋_GB2312" w:cs="Times New Roman"/>
                <w:lang w:val="en-US" w:eastAsia="zh-CN" w:bidi="ar"/>
              </w:rPr>
              <w:t>280</w:t>
            </w:r>
            <w:r>
              <w:rPr>
                <w:rFonts w:hint="default" w:ascii="Times New Roman" w:hAnsi="Times New Roman" w:eastAsia="仿宋_GB2312" w:cs="Times New Roman"/>
                <w:i w:val="0"/>
                <w:iCs w:val="0"/>
                <w:color w:val="000000"/>
                <w:kern w:val="0"/>
                <w:sz w:val="16"/>
                <w:szCs w:val="16"/>
                <w:u w:val="none"/>
                <w:lang w:val="en-US" w:eastAsia="zh-CN" w:bidi="ar"/>
              </w:rPr>
              <w:t>公里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仁沐新高速公路沐川段建设里程</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Style w:val="43"/>
                <w:rFonts w:hint="default" w:ascii="Times New Roman" w:hAnsi="Times New Roman" w:eastAsia="仿宋_GB2312" w:cs="Times New Roman"/>
                <w:lang w:val="en-US" w:eastAsia="zh-CN" w:bidi="ar"/>
              </w:rPr>
              <w:t>55</w:t>
            </w:r>
            <w:r>
              <w:rPr>
                <w:rFonts w:hint="default" w:ascii="Times New Roman" w:hAnsi="Times New Roman" w:eastAsia="仿宋_GB2312" w:cs="Times New Roman"/>
                <w:i w:val="0"/>
                <w:iCs w:val="0"/>
                <w:color w:val="000000"/>
                <w:kern w:val="0"/>
                <w:sz w:val="16"/>
                <w:szCs w:val="16"/>
                <w:u w:val="none"/>
                <w:lang w:val="en-US" w:eastAsia="zh-CN" w:bidi="ar"/>
              </w:rPr>
              <w:t>公里</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Style w:val="43"/>
                <w:rFonts w:hint="default" w:ascii="Times New Roman" w:hAnsi="Times New Roman" w:eastAsia="仿宋_GB2312" w:cs="Times New Roman"/>
                <w:lang w:val="en-US" w:eastAsia="zh-CN" w:bidi="ar"/>
              </w:rPr>
              <w:t>55</w:t>
            </w:r>
            <w:r>
              <w:rPr>
                <w:rFonts w:hint="default" w:ascii="Times New Roman" w:hAnsi="Times New Roman" w:eastAsia="仿宋_GB2312" w:cs="Times New Roman"/>
                <w:i w:val="0"/>
                <w:iCs w:val="0"/>
                <w:color w:val="000000"/>
                <w:kern w:val="0"/>
                <w:sz w:val="16"/>
                <w:szCs w:val="16"/>
                <w:u w:val="none"/>
                <w:lang w:val="en-US" w:eastAsia="zh-CN" w:bidi="ar"/>
              </w:rPr>
              <w:t>公里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S310线沐川县箭板镇至新凡段改建工程环评、用地、林地占用等开工前置要件</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完成2022年经营性城市公交运营补贴、2022年农村客运车辆保险的补贴、支持城乡客运发展</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农村客运车辆</w:t>
            </w:r>
            <w:r>
              <w:rPr>
                <w:rStyle w:val="43"/>
                <w:rFonts w:hint="default" w:ascii="Times New Roman" w:hAnsi="Times New Roman" w:eastAsia="仿宋_GB2312" w:cs="Times New Roman"/>
                <w:lang w:val="en-US" w:eastAsia="zh-CN" w:bidi="ar"/>
              </w:rPr>
              <w:t>54</w:t>
            </w:r>
            <w:r>
              <w:rPr>
                <w:rFonts w:hint="default" w:ascii="Times New Roman" w:hAnsi="Times New Roman" w:eastAsia="仿宋_GB2312" w:cs="Times New Roman"/>
                <w:i w:val="0"/>
                <w:iCs w:val="0"/>
                <w:color w:val="000000"/>
                <w:kern w:val="0"/>
                <w:sz w:val="16"/>
                <w:szCs w:val="16"/>
                <w:u w:val="none"/>
                <w:lang w:val="en-US" w:eastAsia="zh-CN" w:bidi="ar"/>
              </w:rPr>
              <w:t>辆</w:t>
            </w:r>
            <w:r>
              <w:rPr>
                <w:rStyle w:val="43"/>
                <w:rFonts w:hint="default" w:ascii="Times New Roman" w:hAnsi="Times New Roman" w:eastAsia="仿宋_GB2312" w:cs="Times New Roman"/>
                <w:lang w:val="en-US" w:eastAsia="zh-CN" w:bidi="ar"/>
              </w:rPr>
              <w:br w:type="textWrapping"/>
            </w:r>
            <w:r>
              <w:rPr>
                <w:rFonts w:hint="default" w:ascii="Times New Roman" w:hAnsi="Times New Roman" w:eastAsia="仿宋_GB2312" w:cs="Times New Roman"/>
                <w:i w:val="0"/>
                <w:iCs w:val="0"/>
                <w:color w:val="000000"/>
                <w:kern w:val="0"/>
                <w:sz w:val="16"/>
                <w:szCs w:val="16"/>
                <w:u w:val="none"/>
                <w:lang w:val="en-US" w:eastAsia="zh-CN" w:bidi="ar"/>
              </w:rPr>
              <w:t>经营性城市公交：</w:t>
            </w:r>
            <w:r>
              <w:rPr>
                <w:rStyle w:val="43"/>
                <w:rFonts w:hint="default" w:ascii="Times New Roman" w:hAnsi="Times New Roman" w:eastAsia="仿宋_GB2312" w:cs="Times New Roman"/>
                <w:lang w:val="en-US" w:eastAsia="zh-CN" w:bidi="ar"/>
              </w:rPr>
              <w:t>50</w:t>
            </w:r>
            <w:r>
              <w:rPr>
                <w:rFonts w:hint="default" w:ascii="Times New Roman" w:hAnsi="Times New Roman" w:eastAsia="仿宋_GB2312" w:cs="Times New Roman"/>
                <w:i w:val="0"/>
                <w:iCs w:val="0"/>
                <w:color w:val="000000"/>
                <w:kern w:val="0"/>
                <w:sz w:val="16"/>
                <w:szCs w:val="16"/>
                <w:u w:val="none"/>
                <w:lang w:val="en-US" w:eastAsia="zh-CN" w:bidi="ar"/>
              </w:rPr>
              <w:t>辆</w:t>
            </w:r>
            <w:r>
              <w:rPr>
                <w:rStyle w:val="43"/>
                <w:rFonts w:hint="default" w:ascii="Times New Roman" w:hAnsi="Times New Roman" w:eastAsia="仿宋_GB2312" w:cs="Times New Roman"/>
                <w:lang w:val="en-US" w:eastAsia="zh-CN" w:bidi="ar"/>
              </w:rPr>
              <w:br w:type="textWrapping"/>
            </w:r>
            <w:r>
              <w:rPr>
                <w:rFonts w:hint="default" w:ascii="Times New Roman" w:hAnsi="Times New Roman" w:eastAsia="仿宋_GB2312" w:cs="Times New Roman"/>
                <w:i w:val="0"/>
                <w:iCs w:val="0"/>
                <w:color w:val="000000"/>
                <w:kern w:val="0"/>
                <w:sz w:val="16"/>
                <w:szCs w:val="16"/>
                <w:u w:val="none"/>
                <w:lang w:val="en-US" w:eastAsia="zh-CN" w:bidi="ar"/>
              </w:rPr>
              <w:t>城乡客运车辆：</w:t>
            </w:r>
            <w:r>
              <w:rPr>
                <w:rStyle w:val="43"/>
                <w:rFonts w:hint="default" w:ascii="Times New Roman" w:hAnsi="Times New Roman" w:eastAsia="仿宋_GB2312" w:cs="Times New Roman"/>
                <w:lang w:val="en-US" w:eastAsia="zh-CN" w:bidi="ar"/>
              </w:rPr>
              <w:t>54</w:t>
            </w:r>
            <w:r>
              <w:rPr>
                <w:rFonts w:hint="default" w:ascii="Times New Roman" w:hAnsi="Times New Roman" w:eastAsia="仿宋_GB2312" w:cs="Times New Roman"/>
                <w:i w:val="0"/>
                <w:iCs w:val="0"/>
                <w:color w:val="000000"/>
                <w:kern w:val="0"/>
                <w:sz w:val="16"/>
                <w:szCs w:val="16"/>
                <w:u w:val="none"/>
                <w:lang w:val="en-US" w:eastAsia="zh-CN" w:bidi="ar"/>
              </w:rPr>
              <w:t>辆</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农村客运车辆</w:t>
            </w:r>
            <w:r>
              <w:rPr>
                <w:rStyle w:val="43"/>
                <w:rFonts w:hint="default" w:ascii="Times New Roman" w:hAnsi="Times New Roman" w:eastAsia="仿宋_GB2312" w:cs="Times New Roman"/>
                <w:lang w:val="en-US" w:eastAsia="zh-CN" w:bidi="ar"/>
              </w:rPr>
              <w:t>42</w:t>
            </w:r>
            <w:r>
              <w:rPr>
                <w:rFonts w:hint="default" w:ascii="Times New Roman" w:hAnsi="Times New Roman" w:eastAsia="仿宋_GB2312" w:cs="Times New Roman"/>
                <w:i w:val="0"/>
                <w:iCs w:val="0"/>
                <w:color w:val="000000"/>
                <w:kern w:val="0"/>
                <w:sz w:val="16"/>
                <w:szCs w:val="16"/>
                <w:u w:val="none"/>
                <w:lang w:val="en-US" w:eastAsia="zh-CN" w:bidi="ar"/>
              </w:rPr>
              <w:t>辆</w:t>
            </w:r>
            <w:r>
              <w:rPr>
                <w:rStyle w:val="43"/>
                <w:rFonts w:hint="default" w:ascii="Times New Roman" w:hAnsi="Times New Roman" w:eastAsia="仿宋_GB2312" w:cs="Times New Roman"/>
                <w:lang w:val="en-US" w:eastAsia="zh-CN" w:bidi="ar"/>
              </w:rPr>
              <w:br w:type="textWrapping"/>
            </w:r>
            <w:r>
              <w:rPr>
                <w:rFonts w:hint="default" w:ascii="Times New Roman" w:hAnsi="Times New Roman" w:eastAsia="仿宋_GB2312" w:cs="Times New Roman"/>
                <w:i w:val="0"/>
                <w:iCs w:val="0"/>
                <w:color w:val="000000"/>
                <w:kern w:val="0"/>
                <w:sz w:val="16"/>
                <w:szCs w:val="16"/>
                <w:u w:val="none"/>
                <w:lang w:val="en-US" w:eastAsia="zh-CN" w:bidi="ar"/>
              </w:rPr>
              <w:t>经营性城市公交：</w:t>
            </w:r>
            <w:r>
              <w:rPr>
                <w:rStyle w:val="43"/>
                <w:rFonts w:hint="default" w:ascii="Times New Roman" w:hAnsi="Times New Roman" w:eastAsia="仿宋_GB2312" w:cs="Times New Roman"/>
                <w:lang w:val="en-US" w:eastAsia="zh-CN" w:bidi="ar"/>
              </w:rPr>
              <w:t>46</w:t>
            </w:r>
            <w:r>
              <w:rPr>
                <w:rFonts w:hint="default" w:ascii="Times New Roman" w:hAnsi="Times New Roman" w:eastAsia="仿宋_GB2312" w:cs="Times New Roman"/>
                <w:i w:val="0"/>
                <w:iCs w:val="0"/>
                <w:color w:val="000000"/>
                <w:kern w:val="0"/>
                <w:sz w:val="16"/>
                <w:szCs w:val="16"/>
                <w:u w:val="none"/>
                <w:lang w:val="en-US" w:eastAsia="zh-CN" w:bidi="ar"/>
              </w:rPr>
              <w:t>辆</w:t>
            </w:r>
            <w:r>
              <w:rPr>
                <w:rStyle w:val="43"/>
                <w:rFonts w:hint="default" w:ascii="Times New Roman" w:hAnsi="Times New Roman" w:eastAsia="仿宋_GB2312" w:cs="Times New Roman"/>
                <w:lang w:val="en-US" w:eastAsia="zh-CN" w:bidi="ar"/>
              </w:rPr>
              <w:br w:type="textWrapping"/>
            </w:r>
            <w:r>
              <w:rPr>
                <w:rFonts w:hint="default" w:ascii="Times New Roman" w:hAnsi="Times New Roman" w:eastAsia="仿宋_GB2312" w:cs="Times New Roman"/>
                <w:i w:val="0"/>
                <w:iCs w:val="0"/>
                <w:color w:val="000000"/>
                <w:kern w:val="0"/>
                <w:sz w:val="16"/>
                <w:szCs w:val="16"/>
                <w:u w:val="none"/>
                <w:lang w:val="en-US" w:eastAsia="zh-CN" w:bidi="ar"/>
              </w:rPr>
              <w:t>城乡客运车辆：</w:t>
            </w:r>
            <w:r>
              <w:rPr>
                <w:rStyle w:val="43"/>
                <w:rFonts w:hint="default" w:ascii="Times New Roman" w:hAnsi="Times New Roman" w:eastAsia="仿宋_GB2312" w:cs="Times New Roman"/>
                <w:lang w:val="en-US" w:eastAsia="zh-CN" w:bidi="ar"/>
              </w:rPr>
              <w:t>42</w:t>
            </w:r>
            <w:r>
              <w:rPr>
                <w:rFonts w:hint="default" w:ascii="Times New Roman" w:hAnsi="Times New Roman" w:eastAsia="仿宋_GB2312" w:cs="Times New Roman"/>
                <w:i w:val="0"/>
                <w:iCs w:val="0"/>
                <w:color w:val="000000"/>
                <w:kern w:val="0"/>
                <w:sz w:val="16"/>
                <w:szCs w:val="16"/>
                <w:u w:val="none"/>
                <w:lang w:val="en-US" w:eastAsia="zh-CN" w:bidi="ar"/>
              </w:rPr>
              <w:t>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国、省、县、乡道路养护</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农村公路建设任务</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完成目标任务</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完成目标任务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黄丹纸厂破产清算小组工作人员与守厂人员：</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Style w:val="43"/>
                <w:rFonts w:hint="default" w:ascii="Times New Roman" w:hAnsi="Times New Roman" w:eastAsia="仿宋_GB2312" w:cs="Times New Roman"/>
                <w:lang w:val="en-US" w:eastAsia="zh-CN" w:bidi="ar"/>
              </w:rPr>
              <w:t>9</w:t>
            </w:r>
            <w:r>
              <w:rPr>
                <w:rFonts w:hint="default" w:ascii="Times New Roman" w:hAnsi="Times New Roman" w:eastAsia="仿宋_GB2312" w:cs="Times New Roman"/>
                <w:i w:val="0"/>
                <w:iCs w:val="0"/>
                <w:color w:val="000000"/>
                <w:kern w:val="0"/>
                <w:sz w:val="16"/>
                <w:szCs w:val="16"/>
                <w:u w:val="none"/>
                <w:lang w:val="en-US" w:eastAsia="zh-CN" w:bidi="ar"/>
              </w:rPr>
              <w:t>人</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Style w:val="43"/>
                <w:rFonts w:hint="default" w:ascii="Times New Roman" w:hAnsi="Times New Roman" w:eastAsia="仿宋_GB2312" w:cs="Times New Roman"/>
                <w:lang w:val="en-US" w:eastAsia="zh-CN" w:bidi="ar"/>
              </w:rPr>
              <w:t>9</w:t>
            </w:r>
            <w:r>
              <w:rPr>
                <w:rFonts w:hint="default" w:ascii="Times New Roman" w:hAnsi="Times New Roman" w:eastAsia="仿宋_GB2312" w:cs="Times New Roman"/>
                <w:i w:val="0"/>
                <w:iCs w:val="0"/>
                <w:color w:val="000000"/>
                <w:kern w:val="0"/>
                <w:sz w:val="16"/>
                <w:szCs w:val="16"/>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重点渡口码头的安全监管、航道的养护和日常管理，完成2022年16艘客渡船承运人保险</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客渡船：</w:t>
            </w:r>
            <w:r>
              <w:rPr>
                <w:rStyle w:val="43"/>
                <w:rFonts w:hint="default" w:ascii="Times New Roman" w:hAnsi="Times New Roman" w:eastAsia="仿宋_GB2312" w:cs="Times New Roman"/>
                <w:lang w:val="en-US" w:eastAsia="zh-CN" w:bidi="ar"/>
              </w:rPr>
              <w:t>16</w:t>
            </w:r>
            <w:r>
              <w:rPr>
                <w:rFonts w:hint="default" w:ascii="Times New Roman" w:hAnsi="Times New Roman" w:eastAsia="仿宋_GB2312" w:cs="Times New Roman"/>
                <w:i w:val="0"/>
                <w:iCs w:val="0"/>
                <w:color w:val="000000"/>
                <w:kern w:val="0"/>
                <w:sz w:val="16"/>
                <w:szCs w:val="16"/>
                <w:u w:val="none"/>
                <w:lang w:val="en-US" w:eastAsia="zh-CN" w:bidi="ar"/>
              </w:rPr>
              <w:t>艘</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客渡船：</w:t>
            </w:r>
            <w:r>
              <w:rPr>
                <w:rStyle w:val="43"/>
                <w:rFonts w:hint="default" w:ascii="Times New Roman" w:hAnsi="Times New Roman" w:eastAsia="仿宋_GB2312" w:cs="Times New Roman"/>
                <w:lang w:val="en-US" w:eastAsia="zh-CN" w:bidi="ar"/>
              </w:rPr>
              <w:t>7</w:t>
            </w:r>
            <w:r>
              <w:rPr>
                <w:rFonts w:hint="default" w:ascii="Times New Roman" w:hAnsi="Times New Roman" w:eastAsia="仿宋_GB2312" w:cs="Times New Roman"/>
                <w:i w:val="0"/>
                <w:iCs w:val="0"/>
                <w:color w:val="000000"/>
                <w:kern w:val="0"/>
                <w:sz w:val="16"/>
                <w:szCs w:val="16"/>
                <w:u w:val="none"/>
                <w:lang w:val="en-US" w:eastAsia="zh-CN" w:bidi="ar"/>
              </w:rPr>
              <w:t>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质量指标</w:t>
            </w: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确保村组公路测设、质量检测工作顺畅运行</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优良中低差</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确保仁沐新高速公路沐川段工程建设、地方协调工作顺利进行</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优良中低差</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确保黄丹纸厂破产清算小组工作的正常运行</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优良中低差</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完成2022年54辆农村客运车辆保险的补助</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优良中低差</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完成客渡船承运人购买保险</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优良中低差</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维护船工利益</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优良中低差</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促进城市公交行业的稳定发展</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优良中低差</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资金使用合规，确保回购程序有序进行</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优良中低差</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完善资金使用方案</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优良中低差</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确保交通行业的稳定发展</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优良中低差</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时效指标</w:t>
            </w: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农村公路质量监测设计经费</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Style w:val="43"/>
                <w:rFonts w:hint="default" w:ascii="Times New Roman" w:hAnsi="Times New Roman" w:eastAsia="仿宋_GB2312" w:cs="Times New Roman"/>
                <w:lang w:val="en-US" w:eastAsia="zh-CN" w:bidi="ar"/>
              </w:rPr>
              <w:t>2022</w:t>
            </w:r>
            <w:r>
              <w:rPr>
                <w:rFonts w:hint="default" w:ascii="Times New Roman" w:hAnsi="Times New Roman" w:eastAsia="仿宋_GB2312" w:cs="Times New Roman"/>
                <w:i w:val="0"/>
                <w:iCs w:val="0"/>
                <w:color w:val="000000"/>
                <w:kern w:val="0"/>
                <w:sz w:val="16"/>
                <w:szCs w:val="16"/>
                <w:u w:val="none"/>
                <w:lang w:val="en-US" w:eastAsia="zh-CN" w:bidi="ar"/>
              </w:rPr>
              <w:t>年</w:t>
            </w:r>
            <w:r>
              <w:rPr>
                <w:rStyle w:val="43"/>
                <w:rFonts w:hint="default" w:ascii="Times New Roman" w:hAnsi="Times New Roman" w:eastAsia="仿宋_GB2312" w:cs="Times New Roman"/>
                <w:lang w:val="en-US" w:eastAsia="zh-CN" w:bidi="ar"/>
              </w:rPr>
              <w:t>12</w:t>
            </w:r>
            <w:r>
              <w:rPr>
                <w:rFonts w:hint="default" w:ascii="Times New Roman" w:hAnsi="Times New Roman" w:eastAsia="仿宋_GB2312" w:cs="Times New Roman"/>
                <w:i w:val="0"/>
                <w:iCs w:val="0"/>
                <w:color w:val="000000"/>
                <w:kern w:val="0"/>
                <w:sz w:val="16"/>
                <w:szCs w:val="16"/>
                <w:u w:val="none"/>
                <w:lang w:val="en-US" w:eastAsia="zh-CN" w:bidi="ar"/>
              </w:rPr>
              <w:t>月</w:t>
            </w:r>
            <w:r>
              <w:rPr>
                <w:rStyle w:val="43"/>
                <w:rFonts w:hint="default" w:ascii="Times New Roman" w:hAnsi="Times New Roman" w:eastAsia="仿宋_GB2312" w:cs="Times New Roman"/>
                <w:lang w:val="en-US" w:eastAsia="zh-CN" w:bidi="ar"/>
              </w:rPr>
              <w:t>31</w:t>
            </w:r>
            <w:r>
              <w:rPr>
                <w:rFonts w:hint="default" w:ascii="Times New Roman" w:hAnsi="Times New Roman" w:eastAsia="仿宋_GB2312" w:cs="Times New Roman"/>
                <w:i w:val="0"/>
                <w:iCs w:val="0"/>
                <w:color w:val="000000"/>
                <w:kern w:val="0"/>
                <w:sz w:val="16"/>
                <w:szCs w:val="16"/>
                <w:u w:val="none"/>
                <w:lang w:val="en-US" w:eastAsia="zh-CN" w:bidi="ar"/>
              </w:rPr>
              <w:t>日前</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黄丹纸厂依法破产安置企业职工</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按照县政府同意安排办理</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效益指标</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社会效益</w:t>
            </w: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消除安全隐患，保障行人、车辆安全出行</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公路畅通完好率</w:t>
            </w:r>
            <w:r>
              <w:rPr>
                <w:rStyle w:val="43"/>
                <w:rFonts w:hint="default" w:ascii="Times New Roman" w:hAnsi="Times New Roman" w:eastAsia="仿宋_GB2312" w:cs="Times New Roman"/>
                <w:lang w:val="en-US" w:eastAsia="zh-CN" w:bidi="ar"/>
              </w:rPr>
              <w:t>90%</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Style w:val="44"/>
                <w:rFonts w:hint="default" w:ascii="Times New Roman" w:hAnsi="Times New Roman" w:eastAsia="仿宋_GB2312" w:cs="Times New Roman"/>
                <w:lang w:val="en-US" w:eastAsia="zh-CN" w:bidi="ar"/>
              </w:rPr>
              <w:t>公路畅通完好率</w:t>
            </w:r>
            <w:r>
              <w:rPr>
                <w:rStyle w:val="45"/>
                <w:rFonts w:hint="default" w:ascii="Times New Roman" w:hAnsi="Times New Roman" w:eastAsia="仿宋_GB2312" w:cs="Times New Roman"/>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ordWrap/>
              <w:topLinePunct w:val="0"/>
              <w:bidi w:val="0"/>
              <w:spacing w:line="560" w:lineRule="exact"/>
              <w:jc w:val="center"/>
              <w:rPr>
                <w:rFonts w:hint="default" w:ascii="Times New Roman" w:hAnsi="Times New Roman" w:eastAsia="仿宋_GB2312" w:cs="Times New Roman"/>
                <w:i w:val="0"/>
                <w:iCs w:val="0"/>
                <w:color w:val="000000"/>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满意度</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满意度指标</w:t>
            </w:r>
          </w:p>
        </w:tc>
        <w:tc>
          <w:tcPr>
            <w:tcW w:w="54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人民群众满意度</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95%</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95%</w:t>
            </w:r>
          </w:p>
        </w:tc>
      </w:tr>
    </w:tbl>
    <w:p>
      <w:pPr>
        <w:pageBreakBefore w:val="0"/>
        <w:wordWrap/>
        <w:topLinePunct w:val="0"/>
        <w:bidi w:val="0"/>
        <w:spacing w:line="560" w:lineRule="exact"/>
        <w:rPr>
          <w:rFonts w:hint="default" w:ascii="Times New Roman" w:hAnsi="Times New Roman" w:eastAsia="黑体" w:cs="Times New Roman"/>
          <w:sz w:val="32"/>
          <w:szCs w:val="32"/>
          <w:lang w:val="en-US" w:eastAsia="zh-CN"/>
        </w:rPr>
      </w:pPr>
    </w:p>
    <w:p>
      <w:pPr>
        <w:pStyle w:val="21"/>
        <w:pageBreakBefore w:val="0"/>
        <w:wordWrap/>
        <w:topLinePunct w:val="0"/>
        <w:bidi w:val="0"/>
        <w:spacing w:line="560" w:lineRule="exact"/>
        <w:rPr>
          <w:rFonts w:hint="default" w:ascii="Times New Roman" w:hAnsi="Times New Roman" w:cs="Times New Roman"/>
        </w:rPr>
      </w:pPr>
    </w:p>
    <w:p>
      <w:pPr>
        <w:pStyle w:val="21"/>
        <w:pageBreakBefore w:val="0"/>
        <w:wordWrap/>
        <w:topLinePunct w:val="0"/>
        <w:bidi w:val="0"/>
        <w:spacing w:line="560" w:lineRule="exact"/>
        <w:rPr>
          <w:rFonts w:hint="default" w:ascii="Times New Roman" w:hAnsi="Times New Roman" w:cs="Times New Roman"/>
        </w:rPr>
        <w:sectPr>
          <w:pgSz w:w="16838" w:h="11906" w:orient="landscape"/>
          <w:pgMar w:top="1800" w:right="1440" w:bottom="1800" w:left="1440" w:header="851" w:footer="992" w:gutter="0"/>
          <w:pgNumType w:fmt="decimal"/>
          <w:cols w:space="425" w:num="1"/>
          <w:docGrid w:type="lines" w:linePitch="312" w:charSpace="0"/>
        </w:sectPr>
      </w:pPr>
    </w:p>
    <w:p>
      <w:pPr>
        <w:pageBreakBefore w:val="0"/>
        <w:kinsoku w:val="0"/>
        <w:wordWrap/>
        <w:overflowPunct w:val="0"/>
        <w:topLinePunct w:val="0"/>
        <w:bidi w:val="0"/>
        <w:spacing w:line="560" w:lineRule="exact"/>
        <w:jc w:val="center"/>
        <w:rPr>
          <w:rFonts w:hint="default" w:ascii="Times New Roman" w:hAnsi="Times New Roman" w:eastAsia="黑体" w:cs="Times New Roman"/>
          <w:spacing w:val="1"/>
          <w:sz w:val="32"/>
          <w:szCs w:val="32"/>
        </w:rPr>
      </w:pPr>
      <w:r>
        <w:rPr>
          <w:rFonts w:hint="default" w:ascii="Times New Roman" w:hAnsi="Times New Roman" w:eastAsia="黑体" w:cs="Times New Roman"/>
          <w:spacing w:val="1"/>
          <w:sz w:val="32"/>
          <w:szCs w:val="32"/>
        </w:rPr>
        <w:t>2022年度部门整体支出绩效评价指标体系</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572"/>
        <w:gridCol w:w="615"/>
        <w:gridCol w:w="458"/>
        <w:gridCol w:w="1556"/>
        <w:gridCol w:w="4148"/>
        <w:gridCol w:w="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gridSpan w:val="3"/>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绩效指标</w:t>
            </w:r>
          </w:p>
        </w:tc>
        <w:tc>
          <w:tcPr>
            <w:tcW w:w="277" w:type="pct"/>
            <w:vMerge w:val="restar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指标</w:t>
            </w:r>
          </w:p>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分值</w:t>
            </w:r>
          </w:p>
        </w:tc>
        <w:tc>
          <w:tcPr>
            <w:tcW w:w="921" w:type="pct"/>
            <w:vMerge w:val="restar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指标解释</w:t>
            </w:r>
          </w:p>
        </w:tc>
        <w:tc>
          <w:tcPr>
            <w:tcW w:w="2442" w:type="pct"/>
            <w:vMerge w:val="restar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计分标准</w:t>
            </w:r>
          </w:p>
        </w:tc>
        <w:tc>
          <w:tcPr>
            <w:tcW w:w="211" w:type="pct"/>
            <w:vMerge w:val="restar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一级指标</w:t>
            </w:r>
          </w:p>
        </w:tc>
        <w:tc>
          <w:tcPr>
            <w:tcW w:w="344"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二级指标</w:t>
            </w:r>
          </w:p>
        </w:tc>
        <w:tc>
          <w:tcPr>
            <w:tcW w:w="369"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三级指标</w:t>
            </w:r>
          </w:p>
        </w:tc>
        <w:tc>
          <w:tcPr>
            <w:tcW w:w="277"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921"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2442"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211"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restar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部门预算管理(80分)</w:t>
            </w:r>
          </w:p>
        </w:tc>
        <w:tc>
          <w:tcPr>
            <w:tcW w:w="344" w:type="pct"/>
            <w:vMerge w:val="restar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预算编制(30分)</w:t>
            </w:r>
          </w:p>
        </w:tc>
        <w:tc>
          <w:tcPr>
            <w:tcW w:w="369"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目标制定</w:t>
            </w:r>
          </w:p>
        </w:tc>
        <w:tc>
          <w:tcPr>
            <w:tcW w:w="277"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10</w:t>
            </w:r>
          </w:p>
        </w:tc>
        <w:tc>
          <w:tcPr>
            <w:tcW w:w="921"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评价部门绩效目标是否要素完整、细化量化。</w:t>
            </w:r>
          </w:p>
        </w:tc>
        <w:tc>
          <w:tcPr>
            <w:tcW w:w="2442"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1.绩效目标编制要素完整的，得5分，否则酌情扣分。</w:t>
            </w:r>
          </w:p>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2.绩效指标细化量化的，得5分，否则酌情扣分。</w:t>
            </w:r>
          </w:p>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有项目绩效目标的部门，根据项目绩效目标编制质量打分，无项目绩效目标的部门，根据部门整体支出绩效目标打分。</w:t>
            </w:r>
          </w:p>
        </w:tc>
        <w:tc>
          <w:tcPr>
            <w:tcW w:w="211" w:type="pct"/>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lang w:val="en-US" w:eastAsia="zh-CN"/>
              </w:rPr>
            </w:pPr>
            <w:r>
              <w:rPr>
                <w:rFonts w:hint="default" w:ascii="Times New Roman" w:hAnsi="Times New Roman" w:eastAsia="仿宋_GB2312" w:cs="Times New Roman"/>
                <w:b w:val="0"/>
                <w:bCs w:val="0"/>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344"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369"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目标实现</w:t>
            </w:r>
          </w:p>
        </w:tc>
        <w:tc>
          <w:tcPr>
            <w:tcW w:w="277"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10</w:t>
            </w:r>
          </w:p>
        </w:tc>
        <w:tc>
          <w:tcPr>
            <w:tcW w:w="921"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评价部门绩效目标实际实现程度与预期目标的偏离度。</w:t>
            </w:r>
          </w:p>
        </w:tc>
        <w:tc>
          <w:tcPr>
            <w:tcW w:w="2442"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lang w:eastAsia="zh-CN"/>
              </w:rPr>
            </w:pPr>
            <w:r>
              <w:rPr>
                <w:rFonts w:hint="default" w:ascii="Times New Roman" w:hAnsi="Times New Roman" w:eastAsia="仿宋_GB2312" w:cs="Times New Roman"/>
                <w:b w:val="0"/>
                <w:bCs w:val="0"/>
                <w:color w:val="000000"/>
                <w:sz w:val="18"/>
                <w:szCs w:val="18"/>
              </w:rPr>
              <w:t>以项目完成数量为核心，评价项目实际完成情况与与预期绩效目标偏离度，单个数量指标实际完成未达到预期指标或超过预期指标30%以上的，均不计分。该项指标得分=达到预期值的数量指标个数/全部数量指标个数(即评价选取的项目绩效目标包含的所有数量指标)</w:t>
            </w:r>
          </w:p>
        </w:tc>
        <w:tc>
          <w:tcPr>
            <w:tcW w:w="211" w:type="pct"/>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lang w:val="en-US" w:eastAsia="zh-CN"/>
              </w:rPr>
            </w:pPr>
            <w:r>
              <w:rPr>
                <w:rFonts w:hint="default" w:ascii="Times New Roman" w:hAnsi="Times New Roman" w:eastAsia="仿宋_GB2312" w:cs="Times New Roman"/>
                <w:b w:val="0"/>
                <w:bCs w:val="0"/>
                <w:color w:val="000000"/>
                <w:sz w:val="18"/>
                <w:szCs w:val="18"/>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344"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369"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编制准确</w:t>
            </w:r>
          </w:p>
        </w:tc>
        <w:tc>
          <w:tcPr>
            <w:tcW w:w="277"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10</w:t>
            </w:r>
          </w:p>
        </w:tc>
        <w:tc>
          <w:tcPr>
            <w:tcW w:w="921"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评价部门年初预算编制是否科学准确。</w:t>
            </w:r>
          </w:p>
        </w:tc>
        <w:tc>
          <w:tcPr>
            <w:tcW w:w="2442"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指标得分=(1-(10×部门全年预算调剂金额/年初部门预算数))*指标分值。其中：若部门全年预算调剂金额/年初部门预算数&gt;0.1，此项得0分。</w:t>
            </w:r>
          </w:p>
        </w:tc>
        <w:tc>
          <w:tcPr>
            <w:tcW w:w="211" w:type="pct"/>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lang w:val="en-US" w:eastAsia="zh-CN"/>
              </w:rPr>
            </w:pPr>
            <w:r>
              <w:rPr>
                <w:rFonts w:hint="default" w:ascii="Times New Roman" w:hAnsi="Times New Roman" w:eastAsia="仿宋_GB2312" w:cs="Times New Roman"/>
                <w:b w:val="0"/>
                <w:bCs w:val="0"/>
                <w:color w:val="000000"/>
                <w:sz w:val="18"/>
                <w:szCs w:val="18"/>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344" w:type="pct"/>
            <w:vMerge w:val="restar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预算执行(30分)</w:t>
            </w:r>
          </w:p>
        </w:tc>
        <w:tc>
          <w:tcPr>
            <w:tcW w:w="369"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支出控制</w:t>
            </w:r>
          </w:p>
        </w:tc>
        <w:tc>
          <w:tcPr>
            <w:tcW w:w="277"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10</w:t>
            </w:r>
          </w:p>
        </w:tc>
        <w:tc>
          <w:tcPr>
            <w:tcW w:w="921"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部门公用经费及非定额公用支出控制情况。</w:t>
            </w:r>
          </w:p>
        </w:tc>
        <w:tc>
          <w:tcPr>
            <w:tcW w:w="2442"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计算部门日常公用经费、项目支出中“办公费、印刷费、水费、电费、物业管理费”等科目年初预算数与决算数偏差程度预决算偏差程度在10%以内的，得10分。偏差度在10%-20%之间的，得5分，偏差度超过20%的，不得分。</w:t>
            </w:r>
          </w:p>
        </w:tc>
        <w:tc>
          <w:tcPr>
            <w:tcW w:w="211" w:type="pct"/>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lang w:val="en-US" w:eastAsia="zh-CN"/>
              </w:rPr>
            </w:pPr>
            <w:r>
              <w:rPr>
                <w:rFonts w:hint="default" w:ascii="Times New Roman" w:hAnsi="Times New Roman" w:eastAsia="仿宋_GB2312" w:cs="Times New Roman"/>
                <w:b w:val="0"/>
                <w:bCs w:val="0"/>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344"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369"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动态调整</w:t>
            </w:r>
          </w:p>
        </w:tc>
        <w:tc>
          <w:tcPr>
            <w:tcW w:w="277"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10</w:t>
            </w:r>
          </w:p>
        </w:tc>
        <w:tc>
          <w:tcPr>
            <w:tcW w:w="921"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评价部门开展绩效运行监控后，将绩效监控结果应用到预算调整的情况。</w:t>
            </w:r>
          </w:p>
        </w:tc>
        <w:tc>
          <w:tcPr>
            <w:tcW w:w="2442"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highlight w:val="none"/>
              </w:rPr>
            </w:pPr>
            <w:r>
              <w:rPr>
                <w:rFonts w:hint="default" w:ascii="Times New Roman" w:hAnsi="Times New Roman" w:eastAsia="仿宋_GB2312" w:cs="Times New Roman"/>
                <w:b w:val="0"/>
                <w:bCs w:val="0"/>
                <w:color w:val="000000"/>
                <w:sz w:val="18"/>
                <w:szCs w:val="18"/>
                <w:highlight w:val="none"/>
              </w:rPr>
              <w:t>1.当部门绩效监控调整取消额和结余注销额均不为零时，指标得分=部门项目支出绩效监控调整取消额÷(部门绩效监控调整取消额+预算结余注销额)*10。</w:t>
            </w:r>
          </w:p>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highlight w:val="none"/>
              </w:rPr>
            </w:pPr>
            <w:r>
              <w:rPr>
                <w:rFonts w:hint="default" w:ascii="Times New Roman" w:hAnsi="Times New Roman" w:eastAsia="仿宋_GB2312" w:cs="Times New Roman"/>
                <w:b w:val="0"/>
                <w:bCs w:val="0"/>
                <w:color w:val="000000"/>
                <w:sz w:val="18"/>
                <w:szCs w:val="18"/>
                <w:highlight w:val="none"/>
              </w:rPr>
              <w:t>2.当部门绩效监控调整取消额为零，结余注销额不为零时，指标得分=(1-10*结余注销额/年度预算总额)*10，结余注销额超过部门年度预算总额10%的，指标不得分。</w:t>
            </w:r>
          </w:p>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highlight w:val="none"/>
              </w:rPr>
            </w:pPr>
            <w:r>
              <w:rPr>
                <w:rFonts w:hint="default" w:ascii="Times New Roman" w:hAnsi="Times New Roman" w:eastAsia="仿宋_GB2312" w:cs="Times New Roman"/>
                <w:b w:val="0"/>
                <w:bCs w:val="0"/>
                <w:color w:val="000000"/>
                <w:sz w:val="18"/>
                <w:szCs w:val="18"/>
                <w:highlight w:val="none"/>
              </w:rPr>
              <w:t>3.当部门绩效监控调整取消额与结余注销额均为零时，得满分</w:t>
            </w:r>
          </w:p>
        </w:tc>
        <w:tc>
          <w:tcPr>
            <w:tcW w:w="211" w:type="pct"/>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lang w:val="en-US" w:eastAsia="zh-CN"/>
              </w:rPr>
            </w:pPr>
            <w:r>
              <w:rPr>
                <w:rFonts w:hint="default" w:ascii="Times New Roman" w:hAnsi="Times New Roman" w:eastAsia="仿宋_GB2312" w:cs="Times New Roman"/>
                <w:b w:val="0"/>
                <w:bCs w:val="0"/>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344"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369"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执行进度</w:t>
            </w:r>
          </w:p>
        </w:tc>
        <w:tc>
          <w:tcPr>
            <w:tcW w:w="277"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10</w:t>
            </w:r>
          </w:p>
        </w:tc>
        <w:tc>
          <w:tcPr>
            <w:tcW w:w="921"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评价部门在6、9、11月的预算执行情况。</w:t>
            </w:r>
          </w:p>
        </w:tc>
        <w:tc>
          <w:tcPr>
            <w:tcW w:w="2442"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部门预算执行进度在6、9、11月应达到序时进度的80%、90%、90%，即实际支出进度分别达到40%、67.5%、82.5%。6、9、11月部门预算执行进度达到量化指标的分别得3、4、3分，未达到目标进度的的按其实际进度占目标进度的比重计算得分。</w:t>
            </w:r>
          </w:p>
        </w:tc>
        <w:tc>
          <w:tcPr>
            <w:tcW w:w="211" w:type="pct"/>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lang w:val="en-US" w:eastAsia="zh-CN"/>
              </w:rPr>
            </w:pPr>
            <w:r>
              <w:rPr>
                <w:rFonts w:hint="default" w:ascii="Times New Roman" w:hAnsi="Times New Roman" w:eastAsia="仿宋_GB2312" w:cs="Times New Roman"/>
                <w:b w:val="0"/>
                <w:bCs w:val="0"/>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344" w:type="pct"/>
            <w:vMerge w:val="restar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完成结果(20分)</w:t>
            </w:r>
          </w:p>
        </w:tc>
        <w:tc>
          <w:tcPr>
            <w:tcW w:w="369"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预算完成</w:t>
            </w:r>
          </w:p>
        </w:tc>
        <w:tc>
          <w:tcPr>
            <w:tcW w:w="277"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10</w:t>
            </w:r>
          </w:p>
        </w:tc>
        <w:tc>
          <w:tcPr>
            <w:tcW w:w="921"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评价部门预算项目年终预算执行情况。</w:t>
            </w:r>
          </w:p>
        </w:tc>
        <w:tc>
          <w:tcPr>
            <w:tcW w:w="2442"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部门预算项目12月预算执行进度达到100%的，得10分，未达100%的，按照实际进度量化计算得分。</w:t>
            </w:r>
          </w:p>
        </w:tc>
        <w:tc>
          <w:tcPr>
            <w:tcW w:w="211" w:type="pct"/>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lang w:val="en-US" w:eastAsia="zh-CN"/>
              </w:rPr>
            </w:pPr>
            <w:r>
              <w:rPr>
                <w:rFonts w:hint="default" w:ascii="Times New Roman" w:hAnsi="Times New Roman" w:eastAsia="仿宋_GB2312" w:cs="Times New Roman"/>
                <w:b w:val="0"/>
                <w:bCs w:val="0"/>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344"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369"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违规记录</w:t>
            </w:r>
          </w:p>
        </w:tc>
        <w:tc>
          <w:tcPr>
            <w:tcW w:w="277"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10</w:t>
            </w:r>
          </w:p>
        </w:tc>
        <w:tc>
          <w:tcPr>
            <w:tcW w:w="921"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根据审计监督、财政检查结果反映部门上一年度部门预算管理是否合规。</w:t>
            </w:r>
          </w:p>
        </w:tc>
        <w:tc>
          <w:tcPr>
            <w:tcW w:w="2442"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依据评价年度审计监督、财政检查结果，出现部门预算管理方面违纪违规问题的，每个问题扣0.5分，直至扣完。</w:t>
            </w:r>
          </w:p>
        </w:tc>
        <w:tc>
          <w:tcPr>
            <w:tcW w:w="211" w:type="pct"/>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lang w:val="en-US" w:eastAsia="zh-CN"/>
              </w:rPr>
            </w:pPr>
            <w:r>
              <w:rPr>
                <w:rFonts w:hint="default" w:ascii="Times New Roman" w:hAnsi="Times New Roman" w:eastAsia="仿宋_GB2312" w:cs="Times New Roman"/>
                <w:b w:val="0"/>
                <w:bCs w:val="0"/>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restar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绩效结果应用(10分)</w:t>
            </w:r>
          </w:p>
        </w:tc>
        <w:tc>
          <w:tcPr>
            <w:tcW w:w="344"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信息公开(2分)</w:t>
            </w:r>
          </w:p>
        </w:tc>
        <w:tc>
          <w:tcPr>
            <w:tcW w:w="369"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自评公开</w:t>
            </w:r>
          </w:p>
        </w:tc>
        <w:tc>
          <w:tcPr>
            <w:tcW w:w="277"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2</w:t>
            </w:r>
          </w:p>
        </w:tc>
        <w:tc>
          <w:tcPr>
            <w:tcW w:w="921"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评价部门是否按要求将部门整体绩效自评情况和自行组织的评价情况向社会公开。</w:t>
            </w:r>
          </w:p>
        </w:tc>
        <w:tc>
          <w:tcPr>
            <w:tcW w:w="2442"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按要求将相关绩效信息随同决算公开的，得2分，否则不得分。</w:t>
            </w:r>
          </w:p>
        </w:tc>
        <w:tc>
          <w:tcPr>
            <w:tcW w:w="211" w:type="pct"/>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lang w:val="en-US" w:eastAsia="zh-CN"/>
              </w:rPr>
            </w:pPr>
            <w:r>
              <w:rPr>
                <w:rFonts w:hint="default" w:ascii="Times New Roman" w:hAnsi="Times New Roman" w:eastAsia="仿宋_GB2312" w:cs="Times New Roman"/>
                <w:b w:val="0"/>
                <w:bCs w:val="0"/>
                <w:color w:val="00000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344" w:type="pct"/>
            <w:vMerge w:val="restar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整改反馈(8分)</w:t>
            </w:r>
          </w:p>
        </w:tc>
        <w:tc>
          <w:tcPr>
            <w:tcW w:w="369"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结果整改</w:t>
            </w:r>
          </w:p>
        </w:tc>
        <w:tc>
          <w:tcPr>
            <w:tcW w:w="277"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4</w:t>
            </w:r>
          </w:p>
        </w:tc>
        <w:tc>
          <w:tcPr>
            <w:tcW w:w="921"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评价部门根据绩效管理结果整改问题、完善政策、改进管理的情况。</w:t>
            </w:r>
          </w:p>
        </w:tc>
        <w:tc>
          <w:tcPr>
            <w:tcW w:w="2442"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针对绩效管理过程中(包括绩效目标核查、绩效监控核查和重点绩效评价)提出的问题进行整改，将绩效管理结果应用于完善政策、改进管理、预算挂钩等的，得4分。否则，酌情扣分。</w:t>
            </w:r>
          </w:p>
        </w:tc>
        <w:tc>
          <w:tcPr>
            <w:tcW w:w="211" w:type="pct"/>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lang w:val="en-US" w:eastAsia="zh-CN"/>
              </w:rPr>
            </w:pPr>
            <w:r>
              <w:rPr>
                <w:rFonts w:hint="default" w:ascii="Times New Roman" w:hAnsi="Times New Roman" w:eastAsia="仿宋_GB2312" w:cs="Times New Roman"/>
                <w:b w:val="0"/>
                <w:bCs w:val="0"/>
                <w:color w:val="00000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344" w:type="pct"/>
            <w:vMerge w:val="continue"/>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rPr>
            </w:pPr>
          </w:p>
        </w:tc>
        <w:tc>
          <w:tcPr>
            <w:tcW w:w="369"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应用反馈</w:t>
            </w:r>
          </w:p>
        </w:tc>
        <w:tc>
          <w:tcPr>
            <w:tcW w:w="277"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4</w:t>
            </w:r>
          </w:p>
        </w:tc>
        <w:tc>
          <w:tcPr>
            <w:tcW w:w="921"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评价部门按要求及时向财政部门反馈结果应用情况。</w:t>
            </w:r>
          </w:p>
        </w:tc>
        <w:tc>
          <w:tcPr>
            <w:tcW w:w="2442"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部门在规定时间内向财政部门反馈应用绩效结果报告的，得满分，否则不得分。</w:t>
            </w:r>
          </w:p>
        </w:tc>
        <w:tc>
          <w:tcPr>
            <w:tcW w:w="211" w:type="pct"/>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lang w:val="en-US" w:eastAsia="zh-CN"/>
              </w:rPr>
            </w:pPr>
            <w:r>
              <w:rPr>
                <w:rFonts w:hint="default" w:ascii="Times New Roman" w:hAnsi="Times New Roman" w:eastAsia="仿宋_GB2312" w:cs="Times New Roman"/>
                <w:b w:val="0"/>
                <w:bCs w:val="0"/>
                <w:color w:val="00000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自评质量</w:t>
            </w:r>
          </w:p>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(10分)</w:t>
            </w:r>
          </w:p>
        </w:tc>
        <w:tc>
          <w:tcPr>
            <w:tcW w:w="344"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自评质量(10分)</w:t>
            </w:r>
          </w:p>
        </w:tc>
        <w:tc>
          <w:tcPr>
            <w:tcW w:w="369"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自评准确</w:t>
            </w:r>
          </w:p>
        </w:tc>
        <w:tc>
          <w:tcPr>
            <w:tcW w:w="277" w:type="pct"/>
            <w:noWrap w:val="0"/>
            <w:vAlign w:val="center"/>
          </w:tcPr>
          <w:p>
            <w:pPr>
              <w:pageBreakBefore w:val="0"/>
              <w:wordWrap/>
              <w:topLinePunct w:val="0"/>
              <w:bidi w:val="0"/>
              <w:spacing w:line="560" w:lineRule="exact"/>
              <w:jc w:val="center"/>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10</w:t>
            </w:r>
          </w:p>
        </w:tc>
        <w:tc>
          <w:tcPr>
            <w:tcW w:w="921"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评价部门整体支出自评准确率。</w:t>
            </w:r>
          </w:p>
        </w:tc>
        <w:tc>
          <w:tcPr>
            <w:tcW w:w="2442" w:type="pct"/>
            <w:noWrap w:val="0"/>
            <w:vAlign w:val="center"/>
          </w:tcPr>
          <w:p>
            <w:pPr>
              <w:pageBreakBefore w:val="0"/>
              <w:wordWrap/>
              <w:topLinePunct w:val="0"/>
              <w:bidi w:val="0"/>
              <w:spacing w:line="560" w:lineRule="exact"/>
              <w:textAlignment w:val="center"/>
              <w:rPr>
                <w:rFonts w:hint="default" w:ascii="Times New Roman" w:hAnsi="Times New Roman" w:eastAsia="仿宋_GB2312" w:cs="Times New Roman"/>
                <w:b w:val="0"/>
                <w:bCs w:val="0"/>
                <w:color w:val="000000"/>
                <w:sz w:val="18"/>
                <w:szCs w:val="18"/>
              </w:rPr>
            </w:pPr>
            <w:r>
              <w:rPr>
                <w:rFonts w:hint="default" w:ascii="Times New Roman" w:hAnsi="Times New Roman" w:eastAsia="仿宋_GB2312" w:cs="Times New Roman"/>
                <w:b w:val="0"/>
                <w:bCs w:val="0"/>
                <w:color w:val="000000"/>
                <w:sz w:val="18"/>
                <w:szCs w:val="18"/>
              </w:rPr>
              <w:t>部门整体支出自评得分与评价组抽查得分差异在5%以内的，不扣分；在5%-10%之间的，扣4分，在10%-20%的，扣8分，在20%以上的，扣10分。(部门在自评时，此项指标无需打分，部门自评满分为90分)</w:t>
            </w:r>
          </w:p>
        </w:tc>
        <w:tc>
          <w:tcPr>
            <w:tcW w:w="211" w:type="pct"/>
            <w:noWrap w:val="0"/>
            <w:vAlign w:val="center"/>
          </w:tcPr>
          <w:p>
            <w:pPr>
              <w:pageBreakBefore w:val="0"/>
              <w:wordWrap/>
              <w:topLinePunct w:val="0"/>
              <w:bidi w:val="0"/>
              <w:spacing w:line="560" w:lineRule="exact"/>
              <w:jc w:val="center"/>
              <w:rPr>
                <w:rFonts w:hint="default" w:ascii="Times New Roman" w:hAnsi="Times New Roman" w:eastAsia="仿宋_GB2312" w:cs="Times New Roman"/>
                <w:b w:val="0"/>
                <w:bCs w:val="0"/>
                <w:color w:val="000000"/>
                <w:sz w:val="18"/>
                <w:szCs w:val="18"/>
                <w:lang w:val="en-US" w:eastAsia="zh-CN"/>
              </w:rPr>
            </w:pPr>
            <w:r>
              <w:rPr>
                <w:rFonts w:hint="default" w:ascii="Times New Roman" w:hAnsi="Times New Roman" w:eastAsia="仿宋_GB2312" w:cs="Times New Roman"/>
                <w:b w:val="0"/>
                <w:bCs w:val="0"/>
                <w:color w:val="000000"/>
                <w:sz w:val="18"/>
                <w:szCs w:val="18"/>
                <w:lang w:val="en-US" w:eastAsia="zh-CN"/>
              </w:rPr>
              <w:t>10</w:t>
            </w:r>
          </w:p>
        </w:tc>
      </w:tr>
    </w:tbl>
    <w:p>
      <w:pPr>
        <w:pStyle w:val="6"/>
        <w:pageBreakBefore w:val="0"/>
        <w:wordWrap/>
        <w:topLinePunct w:val="0"/>
        <w:bidi w:val="0"/>
        <w:spacing w:line="560" w:lineRule="exact"/>
        <w:rPr>
          <w:rFonts w:hint="default" w:ascii="Times New Roman" w:hAnsi="Times New Roman" w:cs="Times New Roman"/>
          <w:color w:val="auto"/>
          <w:kern w:val="0"/>
          <w:sz w:val="32"/>
          <w:szCs w:val="32"/>
          <w:highlight w:val="none"/>
          <w:shd w:val="clear" w:color="auto" w:fill="FFFFFF"/>
          <w:lang w:val="zh-CN"/>
        </w:rPr>
      </w:pPr>
    </w:p>
    <w:p>
      <w:pPr>
        <w:pStyle w:val="6"/>
        <w:pageBreakBefore w:val="0"/>
        <w:wordWrap/>
        <w:topLinePunct w:val="0"/>
        <w:bidi w:val="0"/>
        <w:spacing w:line="560" w:lineRule="exact"/>
        <w:rPr>
          <w:rFonts w:hint="default" w:ascii="Times New Roman" w:hAnsi="Times New Roman" w:cs="Times New Roman"/>
          <w:color w:val="auto"/>
          <w:kern w:val="0"/>
          <w:sz w:val="32"/>
          <w:szCs w:val="32"/>
          <w:highlight w:val="none"/>
          <w:shd w:val="clear" w:color="auto" w:fill="FFFFFF"/>
          <w:lang w:val="zh-CN"/>
        </w:rPr>
      </w:pPr>
    </w:p>
    <w:p>
      <w:pPr>
        <w:pStyle w:val="6"/>
        <w:pageBreakBefore w:val="0"/>
        <w:wordWrap/>
        <w:topLinePunct w:val="0"/>
        <w:bidi w:val="0"/>
        <w:spacing w:line="560" w:lineRule="exact"/>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附件2</w:t>
      </w:r>
    </w:p>
    <w:p>
      <w:pPr>
        <w:keepNext w:val="0"/>
        <w:keepLines w:val="0"/>
        <w:pageBreakBefore w:val="0"/>
        <w:widowControl w:val="0"/>
        <w:kinsoku w:val="0"/>
        <w:wordWrap/>
        <w:overflowPunct w:val="0"/>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pacing w:val="1"/>
          <w:sz w:val="36"/>
          <w:szCs w:val="36"/>
          <w:lang w:eastAsia="zh-CN"/>
        </w:rPr>
      </w:pPr>
      <w:r>
        <w:rPr>
          <w:rFonts w:hint="default" w:ascii="Times New Roman" w:hAnsi="Times New Roman" w:eastAsia="方正小标宋简体" w:cs="Times New Roman"/>
          <w:spacing w:val="1"/>
          <w:sz w:val="36"/>
          <w:szCs w:val="36"/>
        </w:rPr>
        <w:t>沐川县</w:t>
      </w:r>
      <w:r>
        <w:rPr>
          <w:rFonts w:hint="default" w:ascii="Times New Roman" w:hAnsi="Times New Roman" w:eastAsia="方正小标宋简体" w:cs="Times New Roman"/>
          <w:spacing w:val="1"/>
          <w:sz w:val="36"/>
          <w:szCs w:val="36"/>
          <w:lang w:eastAsia="zh-CN"/>
        </w:rPr>
        <w:t>交通运输局</w:t>
      </w:r>
    </w:p>
    <w:p>
      <w:pPr>
        <w:keepNext w:val="0"/>
        <w:keepLines w:val="0"/>
        <w:pageBreakBefore w:val="0"/>
        <w:widowControl w:val="0"/>
        <w:kinsoku w:val="0"/>
        <w:wordWrap/>
        <w:overflowPunct w:val="0"/>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pacing w:val="1"/>
          <w:sz w:val="36"/>
          <w:szCs w:val="36"/>
        </w:rPr>
      </w:pPr>
      <w:r>
        <w:rPr>
          <w:rFonts w:hint="default" w:ascii="Times New Roman" w:hAnsi="Times New Roman" w:eastAsia="方正小标宋简体" w:cs="Times New Roman"/>
          <w:spacing w:val="1"/>
          <w:sz w:val="36"/>
          <w:szCs w:val="36"/>
        </w:rPr>
        <w:t>2022年度</w:t>
      </w:r>
      <w:r>
        <w:rPr>
          <w:rFonts w:hint="default" w:ascii="Times New Roman" w:hAnsi="Times New Roman" w:eastAsia="方正小标宋简体" w:cs="Times New Roman"/>
          <w:spacing w:val="1"/>
          <w:sz w:val="36"/>
          <w:szCs w:val="36"/>
          <w:lang w:val="zh-CN" w:eastAsia="zh-CN"/>
        </w:rPr>
        <w:t>农村客运车辆保险补贴</w:t>
      </w:r>
      <w:r>
        <w:rPr>
          <w:rFonts w:hint="default" w:ascii="Times New Roman" w:hAnsi="Times New Roman" w:eastAsia="方正小标宋简体" w:cs="Times New Roman"/>
          <w:spacing w:val="1"/>
          <w:sz w:val="36"/>
          <w:szCs w:val="36"/>
        </w:rPr>
        <w:t>项目支出</w:t>
      </w:r>
    </w:p>
    <w:p>
      <w:pPr>
        <w:keepNext w:val="0"/>
        <w:keepLines w:val="0"/>
        <w:pageBreakBefore w:val="0"/>
        <w:widowControl w:val="0"/>
        <w:kinsoku w:val="0"/>
        <w:wordWrap/>
        <w:overflowPunct w:val="0"/>
        <w:topLinePunct w:val="0"/>
        <w:autoSpaceDE/>
        <w:autoSpaceDN/>
        <w:bidi w:val="0"/>
        <w:adjustRightInd/>
        <w:snapToGrid/>
        <w:spacing w:line="560" w:lineRule="exact"/>
        <w:jc w:val="center"/>
        <w:textAlignment w:val="auto"/>
        <w:rPr>
          <w:rFonts w:hint="default" w:ascii="Times New Roman" w:hAnsi="Times New Roman" w:eastAsia="黑体" w:cs="Times New Roman"/>
          <w:bCs/>
          <w:szCs w:val="32"/>
        </w:rPr>
      </w:pPr>
      <w:r>
        <w:rPr>
          <w:rFonts w:hint="default" w:ascii="Times New Roman" w:hAnsi="Times New Roman" w:eastAsia="方正小标宋简体" w:cs="Times New Roman"/>
          <w:spacing w:val="1"/>
          <w:sz w:val="36"/>
          <w:szCs w:val="36"/>
        </w:rPr>
        <w:t>绩效自评报告</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一、项目基本情况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color w:val="auto"/>
          <w:sz w:val="32"/>
          <w:szCs w:val="32"/>
          <w:highlight w:val="none"/>
          <w:lang w:eastAsia="zh-CN"/>
        </w:rPr>
      </w:pPr>
      <w:bookmarkStart w:id="79" w:name="_Toc5285"/>
      <w:bookmarkStart w:id="80" w:name="_Toc13220"/>
      <w:r>
        <w:rPr>
          <w:rFonts w:hint="default" w:ascii="Times New Roman" w:hAnsi="Times New Roman" w:eastAsia="楷体" w:cs="Times New Roman"/>
          <w:b/>
          <w:color w:val="auto"/>
          <w:sz w:val="32"/>
          <w:szCs w:val="32"/>
          <w:highlight w:val="none"/>
          <w:lang w:eastAsia="zh-CN"/>
        </w:rPr>
        <w:t>（一）绩效目标情况</w:t>
      </w:r>
      <w:bookmarkEnd w:id="79"/>
      <w:bookmarkEnd w:id="80"/>
    </w:p>
    <w:p>
      <w:pPr>
        <w:pStyle w:val="2"/>
        <w:pageBreakBefore w:val="0"/>
        <w:wordWrap/>
        <w:topLinePunct w:val="0"/>
        <w:bidi w:val="0"/>
        <w:spacing w:line="560" w:lineRule="exact"/>
        <w:ind w:firstLine="640" w:firstLineChars="200"/>
        <w:rPr>
          <w:rFonts w:hint="default" w:ascii="Times New Roman" w:hAnsi="Times New Roman" w:eastAsia="仿宋_GB2312" w:cs="Times New Roman"/>
          <w:kern w:val="2"/>
          <w:sz w:val="32"/>
          <w:szCs w:val="32"/>
          <w:highlight w:val="none"/>
          <w:lang w:val="zh-CN" w:eastAsia="zh-CN" w:bidi="ar-SA"/>
        </w:rPr>
      </w:pPr>
      <w:r>
        <w:rPr>
          <w:rFonts w:hint="default" w:ascii="Times New Roman" w:hAnsi="Times New Roman" w:eastAsia="仿宋_GB2312" w:cs="Times New Roman"/>
          <w:kern w:val="2"/>
          <w:sz w:val="32"/>
          <w:szCs w:val="32"/>
          <w:lang w:val="zh-CN" w:eastAsia="zh-CN" w:bidi="ar-SA"/>
        </w:rPr>
        <w:t>农村客运车辆保险补贴是公路运输管理类项目，</w:t>
      </w:r>
      <w:r>
        <w:rPr>
          <w:rFonts w:hint="default" w:ascii="Times New Roman" w:hAnsi="Times New Roman" w:eastAsia="仿宋_GB2312" w:cs="Times New Roman"/>
          <w:kern w:val="2"/>
          <w:sz w:val="32"/>
          <w:szCs w:val="32"/>
          <w:lang w:val="en-US" w:eastAsia="zh-CN" w:bidi="ar-SA"/>
        </w:rPr>
        <w:t>2022年</w:t>
      </w:r>
      <w:r>
        <w:rPr>
          <w:rFonts w:hint="default" w:ascii="Times New Roman" w:hAnsi="Times New Roman" w:eastAsia="仿宋_GB2312" w:cs="Times New Roman"/>
          <w:kern w:val="2"/>
          <w:sz w:val="32"/>
          <w:szCs w:val="32"/>
          <w:lang w:val="zh-CN" w:eastAsia="zh-CN" w:bidi="ar-SA"/>
        </w:rPr>
        <w:t>该项目主要对</w:t>
      </w:r>
      <w:r>
        <w:rPr>
          <w:rFonts w:hint="default" w:ascii="Times New Roman" w:hAnsi="Times New Roman" w:eastAsia="仿宋_GB2312" w:cs="Times New Roman"/>
          <w:kern w:val="2"/>
          <w:sz w:val="32"/>
          <w:szCs w:val="32"/>
          <w:lang w:val="en-US" w:eastAsia="zh-CN" w:bidi="ar-SA"/>
        </w:rPr>
        <w:t>2018年我县42辆农村客运车辆保险进行补贴，确保</w:t>
      </w:r>
      <w:r>
        <w:rPr>
          <w:rFonts w:hint="default" w:ascii="Times New Roman" w:hAnsi="Times New Roman" w:eastAsia="仿宋_GB2312" w:cs="Times New Roman"/>
          <w:kern w:val="2"/>
          <w:sz w:val="32"/>
          <w:szCs w:val="32"/>
          <w:highlight w:val="none"/>
          <w:lang w:val="en-US" w:eastAsia="zh-CN" w:bidi="ar-SA"/>
        </w:rPr>
        <w:t>道路运输行业的稳定，积极发展农村客运的发展。</w:t>
      </w:r>
    </w:p>
    <w:p>
      <w:pPr>
        <w:keepNext w:val="0"/>
        <w:keepLines w:val="0"/>
        <w:pageBreakBefore w:val="0"/>
        <w:kinsoku/>
        <w:wordWrap/>
        <w:overflowPunct/>
        <w:topLinePunct w:val="0"/>
        <w:autoSpaceDE/>
        <w:autoSpaceDN/>
        <w:bidi w:val="0"/>
        <w:spacing w:line="560" w:lineRule="exact"/>
        <w:ind w:firstLine="643" w:firstLineChars="200"/>
        <w:textAlignment w:val="auto"/>
        <w:outlineLvl w:val="0"/>
        <w:rPr>
          <w:rFonts w:hint="default" w:ascii="Times New Roman" w:hAnsi="Times New Roman" w:eastAsia="楷体" w:cs="Times New Roman"/>
          <w:b/>
          <w:color w:val="auto"/>
          <w:sz w:val="32"/>
          <w:szCs w:val="32"/>
          <w:highlight w:val="none"/>
          <w:lang w:val="en-US" w:eastAsia="zh-CN"/>
        </w:rPr>
      </w:pPr>
      <w:bookmarkStart w:id="81" w:name="_Toc12901"/>
      <w:bookmarkStart w:id="82" w:name="_Toc1144"/>
      <w:r>
        <w:rPr>
          <w:rFonts w:hint="default" w:ascii="Times New Roman" w:hAnsi="Times New Roman" w:eastAsia="楷体" w:cs="Times New Roman"/>
          <w:b/>
          <w:color w:val="auto"/>
          <w:sz w:val="32"/>
          <w:szCs w:val="32"/>
          <w:highlight w:val="none"/>
          <w:lang w:val="en-US" w:eastAsia="zh-CN"/>
        </w:rPr>
        <w:t>（二）资金安排情况</w:t>
      </w:r>
      <w:bookmarkEnd w:id="81"/>
      <w:bookmarkEnd w:id="82"/>
    </w:p>
    <w:p>
      <w:pPr>
        <w:pStyle w:val="2"/>
        <w:pageBreakBefore w:val="0"/>
        <w:wordWrap/>
        <w:topLinePunct w:val="0"/>
        <w:bidi w:val="0"/>
        <w:spacing w:line="560" w:lineRule="exact"/>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highlight w:val="none"/>
          <w:lang w:val="zh-CN" w:eastAsia="zh-CN" w:bidi="ar-SA"/>
        </w:rPr>
        <w:t>根据《沐川</w:t>
      </w:r>
      <w:r>
        <w:rPr>
          <w:rFonts w:hint="default" w:ascii="Times New Roman" w:hAnsi="Times New Roman" w:eastAsia="仿宋_GB2312" w:cs="Times New Roman"/>
          <w:kern w:val="2"/>
          <w:sz w:val="32"/>
          <w:szCs w:val="32"/>
          <w:lang w:val="zh-CN" w:eastAsia="zh-CN" w:bidi="ar-SA"/>
        </w:rPr>
        <w:t>县财政局关于批复2022年部门预算的通知》（沐财发〔2022〕23号）文件，县财政局下达我单位农村客运车辆保险补贴</w:t>
      </w:r>
      <w:r>
        <w:rPr>
          <w:rFonts w:hint="default" w:ascii="Times New Roman" w:hAnsi="Times New Roman" w:eastAsia="仿宋_GB2312" w:cs="Times New Roman"/>
          <w:kern w:val="2"/>
          <w:sz w:val="32"/>
          <w:szCs w:val="32"/>
          <w:lang w:val="en-US" w:eastAsia="zh-CN" w:bidi="ar-SA"/>
        </w:rPr>
        <w:t>项目年初预算收入65万元，主要是一般公共预算拨款收入。</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二、绩效目标完成情况分析</w:t>
      </w:r>
    </w:p>
    <w:p>
      <w:pPr>
        <w:keepNext w:val="0"/>
        <w:keepLines w:val="0"/>
        <w:pageBreakBefore w:val="0"/>
        <w:kinsoku/>
        <w:wordWrap/>
        <w:overflowPunct/>
        <w:topLinePunct w:val="0"/>
        <w:autoSpaceDE/>
        <w:autoSpaceDN/>
        <w:bidi w:val="0"/>
        <w:spacing w:line="560" w:lineRule="exact"/>
        <w:ind w:firstLine="643" w:firstLineChars="200"/>
        <w:textAlignment w:val="auto"/>
        <w:outlineLvl w:val="0"/>
        <w:rPr>
          <w:rFonts w:hint="default" w:ascii="Times New Roman" w:hAnsi="Times New Roman" w:eastAsia="楷体" w:cs="Times New Roman"/>
          <w:b/>
          <w:color w:val="auto"/>
          <w:sz w:val="32"/>
          <w:szCs w:val="32"/>
          <w:highlight w:val="none"/>
          <w:lang w:val="en-US" w:eastAsia="zh-CN"/>
        </w:rPr>
      </w:pPr>
      <w:bookmarkStart w:id="83" w:name="_Toc29155"/>
      <w:bookmarkStart w:id="84" w:name="_Toc31830"/>
      <w:r>
        <w:rPr>
          <w:rFonts w:hint="default" w:ascii="Times New Roman" w:hAnsi="Times New Roman" w:eastAsia="楷体" w:cs="Times New Roman"/>
          <w:b/>
          <w:color w:val="auto"/>
          <w:sz w:val="32"/>
          <w:szCs w:val="32"/>
          <w:highlight w:val="none"/>
          <w:lang w:val="en-US" w:eastAsia="zh-CN"/>
        </w:rPr>
        <w:t>（一）预算执行进度情况分析</w:t>
      </w:r>
      <w:bookmarkEnd w:id="83"/>
      <w:bookmarkEnd w:id="84"/>
    </w:p>
    <w:p>
      <w:pPr>
        <w:pStyle w:val="2"/>
        <w:pageBreakBefore w:val="0"/>
        <w:wordWrap/>
        <w:topLinePunct w:val="0"/>
        <w:bidi w:val="0"/>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rPr>
        <w:t>本单位2022</w:t>
      </w:r>
      <w:r>
        <w:rPr>
          <w:rFonts w:hint="default" w:ascii="Times New Roman" w:hAnsi="Times New Roman" w:eastAsia="仿宋_GB2312" w:cs="Times New Roman"/>
          <w:sz w:val="32"/>
          <w:szCs w:val="32"/>
          <w:lang w:eastAsia="zh-CN"/>
        </w:rPr>
        <w:t>年根据</w:t>
      </w:r>
      <w:r>
        <w:rPr>
          <w:rFonts w:hint="default" w:ascii="Times New Roman" w:hAnsi="Times New Roman" w:eastAsia="仿宋_GB2312" w:cs="Times New Roman"/>
          <w:sz w:val="32"/>
          <w:szCs w:val="32"/>
        </w:rPr>
        <w:t>预算批复文件合理安排支出，按</w:t>
      </w:r>
      <w:r>
        <w:rPr>
          <w:rFonts w:hint="default" w:ascii="Times New Roman" w:hAnsi="Times New Roman" w:eastAsia="仿宋_GB2312" w:cs="Times New Roman"/>
          <w:sz w:val="32"/>
          <w:szCs w:val="32"/>
          <w:lang w:eastAsia="zh-CN"/>
        </w:rPr>
        <w:t>需</w:t>
      </w:r>
      <w:r>
        <w:rPr>
          <w:rFonts w:hint="default" w:ascii="Times New Roman" w:hAnsi="Times New Roman" w:eastAsia="仿宋_GB2312" w:cs="Times New Roman"/>
          <w:sz w:val="32"/>
          <w:szCs w:val="32"/>
        </w:rPr>
        <w:t>申报用款计划，项目资金申报与实际实施内容相符，申报目标合理可行。截止2022年底，</w:t>
      </w:r>
      <w:r>
        <w:rPr>
          <w:rFonts w:hint="default" w:ascii="Times New Roman" w:hAnsi="Times New Roman" w:eastAsia="仿宋_GB2312" w:cs="Times New Roman"/>
          <w:kern w:val="2"/>
          <w:sz w:val="32"/>
          <w:szCs w:val="32"/>
          <w:lang w:val="zh-CN" w:eastAsia="zh-CN" w:bidi="ar-SA"/>
        </w:rPr>
        <w:t>农村客运车辆保险补贴</w:t>
      </w:r>
      <w:r>
        <w:rPr>
          <w:rFonts w:hint="default" w:ascii="Times New Roman" w:hAnsi="Times New Roman" w:eastAsia="仿宋_GB2312" w:cs="Times New Roman"/>
          <w:sz w:val="32"/>
          <w:szCs w:val="32"/>
          <w:highlight w:val="none"/>
        </w:rPr>
        <w:t>支出决算数</w:t>
      </w:r>
      <w:r>
        <w:rPr>
          <w:rFonts w:hint="default" w:ascii="Times New Roman" w:hAnsi="Times New Roman" w:eastAsia="仿宋_GB2312" w:cs="Times New Roman"/>
          <w:sz w:val="32"/>
          <w:szCs w:val="32"/>
          <w:highlight w:val="none"/>
          <w:lang w:val="en-US" w:eastAsia="zh-CN"/>
        </w:rPr>
        <w:t>47.55</w:t>
      </w:r>
      <w:r>
        <w:rPr>
          <w:rFonts w:hint="default" w:ascii="Times New Roman" w:hAnsi="Times New Roman" w:eastAsia="仿宋_GB2312" w:cs="Times New Roman"/>
          <w:sz w:val="32"/>
          <w:szCs w:val="32"/>
          <w:highlight w:val="none"/>
        </w:rPr>
        <w:t>万元，主要用于</w:t>
      </w:r>
      <w:r>
        <w:rPr>
          <w:rFonts w:hint="default" w:ascii="Times New Roman" w:hAnsi="Times New Roman" w:eastAsia="仿宋_GB2312" w:cs="Times New Roman"/>
          <w:sz w:val="32"/>
          <w:szCs w:val="32"/>
          <w:highlight w:val="none"/>
          <w:lang w:eastAsia="zh-CN"/>
        </w:rPr>
        <w:t>对</w:t>
      </w:r>
      <w:r>
        <w:rPr>
          <w:rFonts w:hint="default" w:ascii="Times New Roman" w:hAnsi="Times New Roman" w:eastAsia="仿宋_GB2312" w:cs="Times New Roman"/>
          <w:kern w:val="2"/>
          <w:sz w:val="32"/>
          <w:szCs w:val="32"/>
          <w:lang w:val="en-US" w:eastAsia="zh-CN" w:bidi="ar-SA"/>
        </w:rPr>
        <w:t>2018年我县42辆农村客运车辆保险进行补贴</w:t>
      </w:r>
      <w:r>
        <w:rPr>
          <w:rFonts w:hint="default" w:ascii="Times New Roman" w:hAnsi="Times New Roman" w:eastAsia="仿宋_GB2312" w:cs="Times New Roman"/>
          <w:sz w:val="32"/>
          <w:szCs w:val="32"/>
          <w:highlight w:val="none"/>
          <w:lang w:val="zh-CN" w:eastAsia="zh-CN"/>
        </w:rPr>
        <w:t>。</w:t>
      </w:r>
    </w:p>
    <w:p>
      <w:pPr>
        <w:keepNext w:val="0"/>
        <w:keepLines w:val="0"/>
        <w:pageBreakBefore w:val="0"/>
        <w:kinsoku/>
        <w:wordWrap/>
        <w:overflowPunct/>
        <w:topLinePunct w:val="0"/>
        <w:autoSpaceDE/>
        <w:autoSpaceDN/>
        <w:bidi w:val="0"/>
        <w:spacing w:line="560" w:lineRule="exact"/>
        <w:ind w:firstLine="643" w:firstLineChars="200"/>
        <w:textAlignment w:val="auto"/>
        <w:outlineLvl w:val="0"/>
        <w:rPr>
          <w:rFonts w:hint="default" w:ascii="Times New Roman" w:hAnsi="Times New Roman" w:eastAsia="楷体" w:cs="Times New Roman"/>
          <w:b/>
          <w:color w:val="auto"/>
          <w:sz w:val="32"/>
          <w:szCs w:val="32"/>
          <w:highlight w:val="none"/>
          <w:lang w:val="en-US" w:eastAsia="zh-CN"/>
        </w:rPr>
      </w:pPr>
      <w:bookmarkStart w:id="85" w:name="_Toc8491"/>
      <w:bookmarkStart w:id="86" w:name="_Toc8785"/>
      <w:r>
        <w:rPr>
          <w:rFonts w:hint="default" w:ascii="Times New Roman" w:hAnsi="Times New Roman" w:eastAsia="楷体" w:cs="Times New Roman"/>
          <w:b/>
          <w:color w:val="auto"/>
          <w:sz w:val="32"/>
          <w:szCs w:val="32"/>
          <w:highlight w:val="none"/>
          <w:lang w:val="en-US" w:eastAsia="zh-CN"/>
        </w:rPr>
        <w:t>（二）总体绩效目标完成情况分析</w:t>
      </w:r>
      <w:bookmarkEnd w:id="85"/>
      <w:bookmarkEnd w:id="86"/>
    </w:p>
    <w:p>
      <w:pPr>
        <w:pStyle w:val="2"/>
        <w:pageBreakBefore w:val="0"/>
        <w:wordWrap/>
        <w:topLinePunct w:val="0"/>
        <w:bidi w:val="0"/>
        <w:spacing w:line="560" w:lineRule="exact"/>
        <w:ind w:firstLine="640" w:firstLineChars="200"/>
        <w:rPr>
          <w:rFonts w:hint="default" w:ascii="Times New Roman" w:hAnsi="Times New Roman" w:cs="Times New Roman"/>
          <w:highlight w:val="none"/>
        </w:rPr>
      </w:pPr>
      <w:r>
        <w:rPr>
          <w:rFonts w:hint="default" w:ascii="Times New Roman" w:hAnsi="Times New Roman" w:eastAsia="仿宋_GB2312" w:cs="Times New Roman"/>
          <w:sz w:val="32"/>
          <w:szCs w:val="32"/>
        </w:rPr>
        <w:t>项目的实施，</w:t>
      </w:r>
      <w:r>
        <w:rPr>
          <w:rFonts w:hint="default" w:ascii="Times New Roman" w:hAnsi="Times New Roman" w:eastAsia="仿宋_GB2312" w:cs="Times New Roman"/>
          <w:sz w:val="32"/>
          <w:szCs w:val="32"/>
          <w:lang w:val="zh-CN"/>
        </w:rPr>
        <w:t>有效提高公路、水路交通资源利用率、缓解交通拥堵、降低交通污染的重要手段，</w:t>
      </w:r>
      <w:r>
        <w:rPr>
          <w:rFonts w:hint="default" w:ascii="Times New Roman" w:hAnsi="Times New Roman" w:eastAsia="仿宋_GB2312" w:cs="Times New Roman"/>
          <w:sz w:val="32"/>
          <w:szCs w:val="32"/>
        </w:rPr>
        <w:t>消除道路安全隐患，确保确道路安全畅通，交通条件明显改善，方便群众出行及生产、生活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zh-CN"/>
        </w:rPr>
        <w:t>对增强城市功能、统筹城乡发展、促进城乡共</w:t>
      </w:r>
      <w:r>
        <w:rPr>
          <w:rFonts w:hint="default" w:ascii="Times New Roman" w:hAnsi="Times New Roman" w:eastAsia="仿宋_GB2312" w:cs="Times New Roman"/>
          <w:sz w:val="32"/>
          <w:szCs w:val="32"/>
          <w:highlight w:val="none"/>
          <w:lang w:val="zh-CN"/>
        </w:rPr>
        <w:t>同繁荣具有十分重要的作用，给城乡居民的出行带来极大的便利，取得了良好的社会效益，人民群众十分满意</w:t>
      </w:r>
      <w:r>
        <w:rPr>
          <w:rFonts w:hint="default" w:ascii="Times New Roman" w:hAnsi="Times New Roman" w:eastAsia="仿宋_GB2312" w:cs="Times New Roman"/>
          <w:sz w:val="32"/>
          <w:szCs w:val="32"/>
          <w:highlight w:val="none"/>
          <w:lang w:val="zh-CN" w:eastAsia="zh-CN"/>
        </w:rPr>
        <w:t>。</w:t>
      </w:r>
      <w:r>
        <w:rPr>
          <w:rFonts w:hint="default" w:ascii="Times New Roman" w:hAnsi="Times New Roman" w:eastAsia="仿宋_GB2312" w:cs="Times New Roman"/>
          <w:sz w:val="32"/>
          <w:szCs w:val="32"/>
          <w:highlight w:val="none"/>
        </w:rPr>
        <w:t>但2022年该项目产出指标未全部完成，预算执行率</w:t>
      </w:r>
      <w:r>
        <w:rPr>
          <w:rFonts w:hint="default" w:ascii="Times New Roman" w:hAnsi="Times New Roman" w:eastAsia="仿宋_GB2312" w:cs="Times New Roman"/>
          <w:sz w:val="32"/>
          <w:szCs w:val="32"/>
          <w:highlight w:val="none"/>
          <w:lang w:val="en-US" w:eastAsia="zh-CN"/>
        </w:rPr>
        <w:t>73.15%</w:t>
      </w:r>
      <w:r>
        <w:rPr>
          <w:rFonts w:hint="default" w:ascii="Times New Roman" w:hAnsi="Times New Roman" w:eastAsia="仿宋_GB2312" w:cs="Times New Roman"/>
          <w:sz w:val="32"/>
          <w:szCs w:val="32"/>
          <w:highlight w:val="none"/>
        </w:rPr>
        <w:t>。</w:t>
      </w:r>
    </w:p>
    <w:p>
      <w:pPr>
        <w:keepNext w:val="0"/>
        <w:keepLines w:val="0"/>
        <w:pageBreakBefore w:val="0"/>
        <w:kinsoku/>
        <w:wordWrap/>
        <w:overflowPunct/>
        <w:topLinePunct w:val="0"/>
        <w:autoSpaceDE/>
        <w:autoSpaceDN/>
        <w:bidi w:val="0"/>
        <w:spacing w:line="560" w:lineRule="exact"/>
        <w:ind w:firstLine="643" w:firstLineChars="200"/>
        <w:textAlignment w:val="auto"/>
        <w:outlineLvl w:val="0"/>
        <w:rPr>
          <w:rFonts w:hint="default" w:ascii="Times New Roman" w:hAnsi="Times New Roman" w:eastAsia="楷体" w:cs="Times New Roman"/>
          <w:b/>
          <w:color w:val="auto"/>
          <w:sz w:val="32"/>
          <w:szCs w:val="32"/>
          <w:highlight w:val="none"/>
          <w:lang w:val="zh-CN" w:eastAsia="zh-CN"/>
        </w:rPr>
      </w:pPr>
      <w:r>
        <w:rPr>
          <w:rFonts w:hint="default" w:ascii="Times New Roman" w:hAnsi="Times New Roman" w:eastAsia="楷体" w:cs="Times New Roman"/>
          <w:b/>
          <w:color w:val="auto"/>
          <w:sz w:val="32"/>
          <w:szCs w:val="32"/>
          <w:highlight w:val="none"/>
          <w:lang w:val="en-US" w:eastAsia="zh-CN"/>
        </w:rPr>
        <w:t>（三）绩效指标完成情况分析</w:t>
      </w:r>
    </w:p>
    <w:p>
      <w:pPr>
        <w:pStyle w:val="6"/>
        <w:pageBreakBefore w:val="0"/>
        <w:wordWrap/>
        <w:topLinePunct w:val="0"/>
        <w:bidi w:val="0"/>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rPr>
        <w:t>该项目年初预算收入</w:t>
      </w:r>
      <w:r>
        <w:rPr>
          <w:rFonts w:hint="default" w:ascii="Times New Roman" w:hAnsi="Times New Roman" w:eastAsia="仿宋_GB2312" w:cs="Times New Roman"/>
          <w:sz w:val="32"/>
          <w:szCs w:val="32"/>
          <w:lang w:val="en-US" w:eastAsia="zh-CN"/>
        </w:rPr>
        <w:t>65</w:t>
      </w:r>
      <w:r>
        <w:rPr>
          <w:rFonts w:hint="default" w:ascii="Times New Roman" w:hAnsi="Times New Roman" w:eastAsia="仿宋_GB2312" w:cs="Times New Roman"/>
          <w:sz w:val="32"/>
          <w:szCs w:val="32"/>
          <w:lang w:val="zh-CN"/>
        </w:rPr>
        <w:t>万元，</w:t>
      </w:r>
      <w:r>
        <w:rPr>
          <w:rFonts w:hint="default" w:ascii="Times New Roman" w:hAnsi="Times New Roman" w:eastAsia="仿宋_GB2312" w:cs="Times New Roman"/>
          <w:sz w:val="32"/>
          <w:szCs w:val="32"/>
        </w:rPr>
        <w:t>实际申报使用项目资金</w:t>
      </w:r>
      <w:r>
        <w:rPr>
          <w:rFonts w:hint="default" w:ascii="Times New Roman" w:hAnsi="Times New Roman" w:eastAsia="仿宋_GB2312" w:cs="Times New Roman"/>
          <w:sz w:val="32"/>
          <w:szCs w:val="32"/>
          <w:lang w:val="en-US" w:eastAsia="zh-CN"/>
        </w:rPr>
        <w:t>47.55</w:t>
      </w:r>
      <w:r>
        <w:rPr>
          <w:rFonts w:hint="default" w:ascii="Times New Roman" w:hAnsi="Times New Roman" w:eastAsia="仿宋_GB2312" w:cs="Times New Roman"/>
          <w:sz w:val="32"/>
          <w:szCs w:val="32"/>
        </w:rPr>
        <w:t>万元。预算执行率</w:t>
      </w:r>
      <w:r>
        <w:rPr>
          <w:rFonts w:hint="default" w:ascii="Times New Roman" w:hAnsi="Times New Roman" w:eastAsia="仿宋_GB2312" w:cs="Times New Roman"/>
          <w:sz w:val="32"/>
          <w:szCs w:val="32"/>
          <w:lang w:val="en-US" w:eastAsia="zh-CN"/>
        </w:rPr>
        <w:t>73.15</w:t>
      </w:r>
      <w:r>
        <w:rPr>
          <w:rFonts w:hint="default" w:ascii="Times New Roman" w:hAnsi="Times New Roman" w:eastAsia="仿宋_GB2312" w:cs="Times New Roman"/>
          <w:sz w:val="32"/>
          <w:szCs w:val="32"/>
        </w:rPr>
        <w:t>%。</w:t>
      </w:r>
    </w:p>
    <w:tbl>
      <w:tblPr>
        <w:tblStyle w:val="15"/>
        <w:tblpPr w:leftFromText="180" w:rightFromText="180" w:vertAnchor="text" w:horzAnchor="page" w:tblpX="1880" w:tblpY="286"/>
        <w:tblOverlap w:val="never"/>
        <w:tblW w:w="82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03"/>
        <w:gridCol w:w="1108"/>
        <w:gridCol w:w="1146"/>
        <w:gridCol w:w="42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703"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2"/>
                <w:sz w:val="21"/>
                <w:szCs w:val="21"/>
                <w:u w:val="none"/>
                <w:lang w:val="en-US" w:eastAsia="zh-CN" w:bidi="ar-SA"/>
              </w:rPr>
            </w:pPr>
          </w:p>
        </w:tc>
        <w:tc>
          <w:tcPr>
            <w:tcW w:w="6519" w:type="dxa"/>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r>
              <w:rPr>
                <w:rFonts w:hint="default" w:ascii="Times New Roman" w:hAnsi="Times New Roman" w:eastAsia="仿宋_GB2312" w:cs="Times New Roman"/>
                <w:b/>
                <w:bCs/>
                <w:i w:val="0"/>
                <w:iCs w:val="0"/>
                <w:color w:val="000000"/>
                <w:kern w:val="0"/>
                <w:sz w:val="21"/>
                <w:szCs w:val="21"/>
                <w:u w:val="none"/>
                <w:lang w:val="en-US" w:eastAsia="zh-CN" w:bidi="ar"/>
              </w:rPr>
              <w:t>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3" w:type="dxa"/>
            <w:vMerge w:val="restart"/>
            <w:tcBorders>
              <w:top w:val="single" w:color="000000" w:sz="4" w:space="0"/>
              <w:left w:val="single" w:color="000000" w:sz="4" w:space="0"/>
              <w:right w:val="single" w:color="000000" w:sz="4" w:space="0"/>
            </w:tcBorders>
            <w:shd w:val="clear" w:color="EFF2F7" w:fill="EFF2F7"/>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项目绩效指标</w:t>
            </w:r>
          </w:p>
        </w:tc>
        <w:tc>
          <w:tcPr>
            <w:tcW w:w="1108"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2"/>
                <w:sz w:val="21"/>
                <w:szCs w:val="21"/>
                <w:u w:val="none"/>
                <w:lang w:val="en-US" w:eastAsia="zh-CN" w:bidi="ar-SA"/>
              </w:rPr>
            </w:pPr>
            <w:r>
              <w:rPr>
                <w:rFonts w:hint="default" w:ascii="Times New Roman" w:hAnsi="Times New Roman" w:eastAsia="仿宋_GB2312" w:cs="Times New Roman"/>
                <w:b/>
                <w:bCs/>
                <w:i w:val="0"/>
                <w:iCs w:val="0"/>
                <w:color w:val="000000"/>
                <w:kern w:val="0"/>
                <w:sz w:val="21"/>
                <w:szCs w:val="21"/>
                <w:u w:val="none"/>
                <w:lang w:val="en-US" w:eastAsia="zh-CN" w:bidi="ar"/>
              </w:rPr>
              <w:t>一级指标</w:t>
            </w:r>
          </w:p>
        </w:tc>
        <w:tc>
          <w:tcPr>
            <w:tcW w:w="1146"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2"/>
                <w:sz w:val="21"/>
                <w:szCs w:val="21"/>
                <w:u w:val="none"/>
                <w:lang w:val="en-US" w:eastAsia="zh-CN" w:bidi="ar-SA"/>
              </w:rPr>
            </w:pPr>
            <w:r>
              <w:rPr>
                <w:rFonts w:hint="default" w:ascii="Times New Roman" w:hAnsi="Times New Roman" w:eastAsia="仿宋_GB2312" w:cs="Times New Roman"/>
                <w:b/>
                <w:bCs/>
                <w:i w:val="0"/>
                <w:iCs w:val="0"/>
                <w:color w:val="000000"/>
                <w:kern w:val="0"/>
                <w:sz w:val="21"/>
                <w:szCs w:val="21"/>
                <w:u w:val="none"/>
                <w:lang w:val="en-US" w:eastAsia="zh-CN" w:bidi="ar"/>
              </w:rPr>
              <w:t>二级指标</w:t>
            </w:r>
          </w:p>
        </w:tc>
        <w:tc>
          <w:tcPr>
            <w:tcW w:w="426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r>
              <w:rPr>
                <w:rFonts w:hint="default" w:ascii="Times New Roman" w:hAnsi="Times New Roman" w:eastAsia="仿宋_GB2312" w:cs="Times New Roman"/>
                <w:b/>
                <w:bCs/>
                <w:i w:val="0"/>
                <w:iCs w:val="0"/>
                <w:color w:val="000000"/>
                <w:kern w:val="0"/>
                <w:sz w:val="21"/>
                <w:szCs w:val="21"/>
                <w:u w:val="none"/>
                <w:lang w:val="en-US" w:eastAsia="zh-CN" w:bidi="ar"/>
              </w:rPr>
              <w:t>三级指标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0" w:hRule="atLeast"/>
        </w:trPr>
        <w:tc>
          <w:tcPr>
            <w:tcW w:w="1703"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right"/>
              <w:textAlignment w:val="center"/>
              <w:rPr>
                <w:rFonts w:hint="default" w:ascii="Times New Roman" w:hAnsi="Times New Roman" w:eastAsia="仿宋_GB2312" w:cs="Times New Roman"/>
                <w:i w:val="0"/>
                <w:iCs w:val="0"/>
                <w:color w:val="000000"/>
                <w:sz w:val="21"/>
                <w:szCs w:val="21"/>
                <w:u w:val="none"/>
              </w:rPr>
            </w:pPr>
          </w:p>
        </w:tc>
        <w:tc>
          <w:tcPr>
            <w:tcW w:w="11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产出指标</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21"/>
                <w:szCs w:val="21"/>
                <w:u w:val="none"/>
              </w:rPr>
            </w:pPr>
            <w:r>
              <w:rPr>
                <w:rStyle w:val="37"/>
                <w:rFonts w:hint="default" w:ascii="Times New Roman" w:hAnsi="Times New Roman" w:eastAsia="仿宋_GB2312" w:cs="Times New Roman"/>
                <w:sz w:val="21"/>
                <w:szCs w:val="21"/>
                <w:lang w:val="en-US" w:eastAsia="zh-CN" w:bidi="ar"/>
              </w:rPr>
              <w:t>数量指标</w:t>
            </w:r>
          </w:p>
        </w:tc>
        <w:tc>
          <w:tcPr>
            <w:tcW w:w="4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农村客运车辆：42辆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vMerge w:val="continue"/>
            <w:tcBorders>
              <w:left w:val="single" w:color="000000" w:sz="4" w:space="0"/>
              <w:right w:val="single" w:color="000000" w:sz="4" w:space="0"/>
            </w:tcBorders>
            <w:shd w:val="clear" w:color="auto" w:fill="auto"/>
            <w:noWrap/>
            <w:vAlign w:val="center"/>
          </w:tcPr>
          <w:p>
            <w:pPr>
              <w:pageBreakBefore w:val="0"/>
              <w:wordWrap/>
              <w:topLinePunct w:val="0"/>
              <w:bidi w:val="0"/>
              <w:spacing w:line="560" w:lineRule="exact"/>
              <w:jc w:val="right"/>
              <w:rPr>
                <w:rFonts w:hint="default" w:ascii="Times New Roman" w:hAnsi="Times New Roman" w:eastAsia="仿宋_GB2312" w:cs="Times New Roman"/>
                <w:i w:val="0"/>
                <w:iCs w:val="0"/>
                <w:color w:val="000000"/>
                <w:sz w:val="21"/>
                <w:szCs w:val="21"/>
                <w:u w:val="none"/>
              </w:rPr>
            </w:pPr>
          </w:p>
        </w:tc>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ordWrap/>
              <w:topLinePunct w:val="0"/>
              <w:bidi w:val="0"/>
              <w:spacing w:line="560" w:lineRule="exact"/>
              <w:jc w:val="left"/>
              <w:rPr>
                <w:rFonts w:hint="default" w:ascii="Times New Roman" w:hAnsi="Times New Roman" w:eastAsia="仿宋_GB2312" w:cs="Times New Roman"/>
                <w:i w:val="0"/>
                <w:iCs w:val="0"/>
                <w:color w:val="000000"/>
                <w:sz w:val="21"/>
                <w:szCs w:val="21"/>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21"/>
                <w:szCs w:val="21"/>
                <w:u w:val="none"/>
              </w:rPr>
            </w:pPr>
            <w:r>
              <w:rPr>
                <w:rStyle w:val="37"/>
                <w:rFonts w:hint="default" w:ascii="Times New Roman" w:hAnsi="Times New Roman" w:eastAsia="仿宋_GB2312" w:cs="Times New Roman"/>
                <w:sz w:val="21"/>
                <w:szCs w:val="21"/>
                <w:lang w:val="en-US" w:eastAsia="zh-CN" w:bidi="ar"/>
              </w:rPr>
              <w:t>质量指标</w:t>
            </w:r>
          </w:p>
        </w:tc>
        <w:tc>
          <w:tcPr>
            <w:tcW w:w="4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kern w:val="2"/>
                <w:sz w:val="21"/>
                <w:szCs w:val="21"/>
                <w:u w:val="none"/>
                <w:lang w:val="en-US" w:eastAsia="zh-CN" w:bidi="ar-SA"/>
              </w:rPr>
            </w:pPr>
            <w:r>
              <w:rPr>
                <w:rStyle w:val="37"/>
                <w:rFonts w:hint="default" w:ascii="Times New Roman" w:hAnsi="Times New Roman" w:eastAsia="仿宋_GB2312" w:cs="Times New Roman"/>
                <w:sz w:val="21"/>
                <w:szCs w:val="21"/>
                <w:lang w:val="en-US" w:eastAsia="zh-CN" w:bidi="ar"/>
              </w:rPr>
              <w:t>完成2018年42辆农村客运车辆保险的补助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vMerge w:val="continue"/>
            <w:tcBorders>
              <w:left w:val="single" w:color="000000" w:sz="4" w:space="0"/>
              <w:right w:val="single" w:color="000000" w:sz="4" w:space="0"/>
            </w:tcBorders>
            <w:shd w:val="clear" w:color="auto" w:fill="auto"/>
            <w:noWrap/>
            <w:vAlign w:val="center"/>
          </w:tcPr>
          <w:p>
            <w:pPr>
              <w:pageBreakBefore w:val="0"/>
              <w:wordWrap/>
              <w:topLinePunct w:val="0"/>
              <w:bidi w:val="0"/>
              <w:spacing w:line="560" w:lineRule="exact"/>
              <w:jc w:val="right"/>
              <w:rPr>
                <w:rFonts w:hint="default" w:ascii="Times New Roman" w:hAnsi="Times New Roman" w:eastAsia="仿宋_GB2312" w:cs="Times New Roman"/>
                <w:i w:val="0"/>
                <w:iCs w:val="0"/>
                <w:color w:val="000000"/>
                <w:sz w:val="21"/>
                <w:szCs w:val="21"/>
                <w:u w:val="none"/>
              </w:rPr>
            </w:pPr>
          </w:p>
        </w:tc>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ordWrap/>
              <w:topLinePunct w:val="0"/>
              <w:bidi w:val="0"/>
              <w:spacing w:line="560" w:lineRule="exact"/>
              <w:jc w:val="left"/>
              <w:rPr>
                <w:rFonts w:hint="default" w:ascii="Times New Roman" w:hAnsi="Times New Roman" w:eastAsia="仿宋_GB2312" w:cs="Times New Roman"/>
                <w:i w:val="0"/>
                <w:iCs w:val="0"/>
                <w:color w:val="000000"/>
                <w:sz w:val="21"/>
                <w:szCs w:val="21"/>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21"/>
                <w:szCs w:val="21"/>
                <w:u w:val="none"/>
              </w:rPr>
            </w:pPr>
            <w:r>
              <w:rPr>
                <w:rStyle w:val="37"/>
                <w:rFonts w:hint="default" w:ascii="Times New Roman" w:hAnsi="Times New Roman" w:eastAsia="仿宋_GB2312" w:cs="Times New Roman"/>
                <w:sz w:val="21"/>
                <w:szCs w:val="21"/>
                <w:lang w:val="en-US" w:eastAsia="zh-CN" w:bidi="ar"/>
              </w:rPr>
              <w:t>时效指标</w:t>
            </w:r>
          </w:p>
        </w:tc>
        <w:tc>
          <w:tcPr>
            <w:tcW w:w="4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kern w:val="2"/>
                <w:sz w:val="21"/>
                <w:szCs w:val="21"/>
                <w:u w:val="none"/>
                <w:lang w:val="en-US" w:eastAsia="zh-CN" w:bidi="ar-SA"/>
              </w:rPr>
            </w:pPr>
            <w:r>
              <w:rPr>
                <w:rStyle w:val="37"/>
                <w:rFonts w:hint="default" w:ascii="Times New Roman" w:hAnsi="Times New Roman" w:eastAsia="仿宋_GB2312" w:cs="Times New Roman"/>
                <w:sz w:val="21"/>
                <w:szCs w:val="21"/>
                <w:lang w:val="en-US" w:eastAsia="zh-CN" w:bidi="ar"/>
              </w:rPr>
              <w:t>2022年12月31日前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vMerge w:val="continue"/>
            <w:tcBorders>
              <w:left w:val="single" w:color="000000" w:sz="4" w:space="0"/>
              <w:right w:val="single" w:color="000000" w:sz="4" w:space="0"/>
            </w:tcBorders>
            <w:shd w:val="clear" w:color="auto" w:fill="auto"/>
            <w:noWrap/>
            <w:vAlign w:val="center"/>
          </w:tcPr>
          <w:p>
            <w:pPr>
              <w:pageBreakBefore w:val="0"/>
              <w:wordWrap/>
              <w:topLinePunct w:val="0"/>
              <w:bidi w:val="0"/>
              <w:spacing w:line="560" w:lineRule="exact"/>
              <w:jc w:val="right"/>
              <w:rPr>
                <w:rFonts w:hint="default" w:ascii="Times New Roman" w:hAnsi="Times New Roman" w:eastAsia="仿宋_GB2312" w:cs="Times New Roman"/>
                <w:i w:val="0"/>
                <w:iCs w:val="0"/>
                <w:color w:val="000000"/>
                <w:sz w:val="21"/>
                <w:szCs w:val="21"/>
                <w:u w:val="none"/>
              </w:rPr>
            </w:pPr>
          </w:p>
        </w:tc>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ordWrap/>
              <w:topLinePunct w:val="0"/>
              <w:bidi w:val="0"/>
              <w:spacing w:line="560" w:lineRule="exact"/>
              <w:jc w:val="left"/>
              <w:rPr>
                <w:rFonts w:hint="default" w:ascii="Times New Roman" w:hAnsi="Times New Roman" w:eastAsia="仿宋_GB2312" w:cs="Times New Roman"/>
                <w:i w:val="0"/>
                <w:iCs w:val="0"/>
                <w:color w:val="000000"/>
                <w:sz w:val="21"/>
                <w:szCs w:val="21"/>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21"/>
                <w:szCs w:val="21"/>
                <w:u w:val="none"/>
              </w:rPr>
            </w:pPr>
            <w:r>
              <w:rPr>
                <w:rStyle w:val="37"/>
                <w:rFonts w:hint="default" w:ascii="Times New Roman" w:hAnsi="Times New Roman" w:eastAsia="仿宋_GB2312" w:cs="Times New Roman"/>
                <w:sz w:val="21"/>
                <w:szCs w:val="21"/>
                <w:lang w:val="en-US" w:eastAsia="zh-CN" w:bidi="ar"/>
              </w:rPr>
              <w:t>成本指标</w:t>
            </w:r>
          </w:p>
        </w:tc>
        <w:tc>
          <w:tcPr>
            <w:tcW w:w="4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47.55万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tcBorders>
              <w:top w:val="single" w:color="auto" w:sz="4" w:space="0"/>
              <w:left w:val="single" w:color="auto" w:sz="4" w:space="0"/>
              <w:bottom w:val="single" w:color="auto" w:sz="4" w:space="0"/>
              <w:right w:val="single" w:color="auto" w:sz="4" w:space="0"/>
            </w:tcBorders>
            <w:shd w:val="clear" w:color="auto" w:fill="auto"/>
            <w:noWrap/>
            <w:vAlign w:val="center"/>
          </w:tcPr>
          <w:p>
            <w:pPr>
              <w:pageBreakBefore w:val="0"/>
              <w:wordWrap/>
              <w:topLinePunct w:val="0"/>
              <w:bidi w:val="0"/>
              <w:adjustRightInd w:val="0"/>
              <w:snapToGrid w:val="0"/>
              <w:spacing w:line="560" w:lineRule="exact"/>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b/>
                <w:sz w:val="21"/>
                <w:szCs w:val="21"/>
                <w:lang w:val="zh-CN"/>
              </w:rPr>
              <w:t>执行中调整收回</w:t>
            </w:r>
          </w:p>
        </w:tc>
        <w:tc>
          <w:tcPr>
            <w:tcW w:w="6519" w:type="dxa"/>
            <w:gridSpan w:val="3"/>
            <w:tcBorders>
              <w:top w:val="single" w:color="000000" w:sz="4" w:space="0"/>
              <w:left w:val="single" w:color="auto" w:sz="4" w:space="0"/>
              <w:bottom w:val="single" w:color="000000" w:sz="4" w:space="0"/>
              <w:right w:val="single" w:color="000000" w:sz="4" w:space="0"/>
            </w:tcBorders>
            <w:shd w:val="clear" w:color="auto" w:fill="auto"/>
            <w:noWrap/>
            <w:vAlign w:val="center"/>
          </w:tcPr>
          <w:p>
            <w:pPr>
              <w:pageBreakBefore w:val="0"/>
              <w:wordWrap/>
              <w:topLinePunct w:val="0"/>
              <w:bidi w:val="0"/>
              <w:adjustRightInd w:val="0"/>
              <w:snapToGrid w:val="0"/>
              <w:spacing w:line="560" w:lineRule="exact"/>
              <w:jc w:val="center"/>
              <w:rPr>
                <w:rFonts w:hint="default" w:ascii="Times New Roman" w:hAnsi="Times New Roman" w:eastAsia="仿宋_GB2312" w:cs="Times New Roman"/>
                <w:b/>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-17.45万元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tcBorders>
              <w:top w:val="single" w:color="auto" w:sz="4" w:space="0"/>
              <w:left w:val="single" w:color="auto" w:sz="4" w:space="0"/>
              <w:bottom w:val="single" w:color="auto" w:sz="4" w:space="0"/>
              <w:right w:val="single" w:color="auto" w:sz="4" w:space="0"/>
            </w:tcBorders>
            <w:shd w:val="clear" w:color="auto" w:fill="auto"/>
            <w:noWrap/>
            <w:vAlign w:val="center"/>
          </w:tcPr>
          <w:p>
            <w:pPr>
              <w:pageBreakBefore w:val="0"/>
              <w:wordWrap/>
              <w:topLinePunct w:val="0"/>
              <w:bidi w:val="0"/>
              <w:adjustRightInd w:val="0"/>
              <w:snapToGrid w:val="0"/>
              <w:spacing w:line="560" w:lineRule="exact"/>
              <w:jc w:val="center"/>
              <w:rPr>
                <w:rFonts w:hint="default" w:ascii="Times New Roman" w:hAnsi="Times New Roman" w:eastAsia="仿宋_GB2312" w:cs="Times New Roman"/>
                <w:b/>
                <w:sz w:val="21"/>
                <w:szCs w:val="21"/>
                <w:lang w:val="zh-CN"/>
              </w:rPr>
            </w:pPr>
            <w:r>
              <w:rPr>
                <w:rFonts w:hint="default" w:ascii="Times New Roman" w:hAnsi="Times New Roman" w:eastAsia="仿宋_GB2312" w:cs="Times New Roman"/>
                <w:b/>
                <w:sz w:val="21"/>
                <w:szCs w:val="21"/>
                <w:lang w:val="zh-CN"/>
              </w:rPr>
              <w:t>资金结余</w:t>
            </w:r>
          </w:p>
        </w:tc>
        <w:tc>
          <w:tcPr>
            <w:tcW w:w="6519" w:type="dxa"/>
            <w:gridSpan w:val="3"/>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tcBorders>
              <w:top w:val="single" w:color="auto" w:sz="4" w:space="0"/>
              <w:left w:val="single" w:color="auto" w:sz="4" w:space="0"/>
              <w:bottom w:val="single" w:color="auto" w:sz="4" w:space="0"/>
              <w:right w:val="single" w:color="auto" w:sz="4" w:space="0"/>
            </w:tcBorders>
            <w:shd w:val="clear" w:color="auto" w:fill="auto"/>
            <w:noWrap/>
            <w:vAlign w:val="center"/>
          </w:tcPr>
          <w:p>
            <w:pPr>
              <w:pageBreakBefore w:val="0"/>
              <w:wordWrap/>
              <w:topLinePunct w:val="0"/>
              <w:bidi w:val="0"/>
              <w:adjustRightInd w:val="0"/>
              <w:snapToGrid w:val="0"/>
              <w:spacing w:line="560" w:lineRule="exact"/>
              <w:jc w:val="center"/>
              <w:rPr>
                <w:rFonts w:hint="default" w:ascii="Times New Roman" w:hAnsi="Times New Roman" w:eastAsia="仿宋_GB2312" w:cs="Times New Roman"/>
                <w:b/>
                <w:sz w:val="21"/>
                <w:szCs w:val="21"/>
                <w:lang w:val="zh-CN"/>
              </w:rPr>
            </w:pPr>
            <w:r>
              <w:rPr>
                <w:rFonts w:hint="default" w:ascii="Times New Roman" w:hAnsi="Times New Roman" w:eastAsia="仿宋_GB2312" w:cs="Times New Roman"/>
                <w:b/>
                <w:sz w:val="21"/>
                <w:szCs w:val="21"/>
                <w:lang w:val="zh-CN"/>
              </w:rPr>
              <w:t>违规记录</w:t>
            </w:r>
          </w:p>
        </w:tc>
        <w:tc>
          <w:tcPr>
            <w:tcW w:w="6519" w:type="dxa"/>
            <w:gridSpan w:val="3"/>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无</w:t>
            </w:r>
          </w:p>
        </w:tc>
      </w:tr>
    </w:tbl>
    <w:p>
      <w:pPr>
        <w:keepNext w:val="0"/>
        <w:keepLines w:val="0"/>
        <w:pageBreakBefore w:val="0"/>
        <w:kinsoku/>
        <w:wordWrap/>
        <w:overflowPunct/>
        <w:topLinePunct w:val="0"/>
        <w:autoSpaceDE/>
        <w:autoSpaceDN/>
        <w:bidi w:val="0"/>
        <w:spacing w:line="560" w:lineRule="exact"/>
        <w:ind w:firstLine="643" w:firstLineChars="200"/>
        <w:textAlignment w:val="auto"/>
        <w:outlineLvl w:val="0"/>
        <w:rPr>
          <w:rFonts w:hint="default" w:ascii="Times New Roman" w:hAnsi="Times New Roman" w:eastAsia="楷体" w:cs="Times New Roman"/>
          <w:b/>
          <w:color w:val="auto"/>
          <w:sz w:val="32"/>
          <w:szCs w:val="32"/>
          <w:highlight w:val="none"/>
          <w:lang w:val="en-US" w:eastAsia="zh-CN"/>
        </w:rPr>
      </w:pPr>
      <w:bookmarkStart w:id="87" w:name="_Toc9743"/>
      <w:bookmarkStart w:id="88" w:name="_Toc7617"/>
      <w:r>
        <w:rPr>
          <w:rFonts w:hint="default" w:ascii="Times New Roman" w:hAnsi="Times New Roman" w:eastAsia="楷体" w:cs="Times New Roman"/>
          <w:b/>
          <w:color w:val="auto"/>
          <w:sz w:val="32"/>
          <w:szCs w:val="32"/>
          <w:highlight w:val="none"/>
          <w:lang w:val="en-US" w:eastAsia="zh-CN"/>
        </w:rPr>
        <w:t>（四）项目效益分析</w:t>
      </w:r>
      <w:bookmarkEnd w:id="87"/>
      <w:bookmarkEnd w:id="88"/>
    </w:p>
    <w:tbl>
      <w:tblPr>
        <w:tblStyle w:val="15"/>
        <w:tblW w:w="81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03"/>
        <w:gridCol w:w="1105"/>
        <w:gridCol w:w="1553"/>
        <w:gridCol w:w="3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703"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2"/>
                <w:sz w:val="21"/>
                <w:szCs w:val="21"/>
                <w:u w:val="none"/>
                <w:lang w:val="en-US" w:eastAsia="zh-CN" w:bidi="ar-SA"/>
              </w:rPr>
            </w:pPr>
          </w:p>
        </w:tc>
        <w:tc>
          <w:tcPr>
            <w:tcW w:w="6494" w:type="dxa"/>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r>
              <w:rPr>
                <w:rFonts w:hint="default" w:ascii="Times New Roman" w:hAnsi="Times New Roman" w:eastAsia="仿宋_GB2312" w:cs="Times New Roman"/>
                <w:b/>
                <w:bCs/>
                <w:i w:val="0"/>
                <w:iCs w:val="0"/>
                <w:color w:val="000000"/>
                <w:kern w:val="0"/>
                <w:sz w:val="21"/>
                <w:szCs w:val="21"/>
                <w:u w:val="none"/>
                <w:lang w:val="en-US" w:eastAsia="zh-CN" w:bidi="ar"/>
              </w:rPr>
              <w:t>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3" w:type="dxa"/>
            <w:vMerge w:val="restart"/>
            <w:tcBorders>
              <w:top w:val="single" w:color="000000" w:sz="4" w:space="0"/>
              <w:left w:val="single" w:color="000000" w:sz="4" w:space="0"/>
              <w:right w:val="single" w:color="000000" w:sz="4" w:space="0"/>
            </w:tcBorders>
            <w:shd w:val="clear" w:color="EFF2F7" w:fill="EFF2F7"/>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项目绩效指标</w:t>
            </w:r>
          </w:p>
        </w:tc>
        <w:tc>
          <w:tcPr>
            <w:tcW w:w="110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2"/>
                <w:sz w:val="21"/>
                <w:szCs w:val="21"/>
                <w:u w:val="none"/>
                <w:lang w:val="en-US" w:eastAsia="zh-CN" w:bidi="ar-SA"/>
              </w:rPr>
            </w:pPr>
            <w:r>
              <w:rPr>
                <w:rFonts w:hint="default" w:ascii="Times New Roman" w:hAnsi="Times New Roman" w:eastAsia="仿宋_GB2312" w:cs="Times New Roman"/>
                <w:b/>
                <w:bCs/>
                <w:i w:val="0"/>
                <w:iCs w:val="0"/>
                <w:color w:val="000000"/>
                <w:kern w:val="0"/>
                <w:sz w:val="21"/>
                <w:szCs w:val="21"/>
                <w:u w:val="none"/>
                <w:lang w:val="en-US" w:eastAsia="zh-CN" w:bidi="ar"/>
              </w:rPr>
              <w:t>一级指标</w:t>
            </w:r>
          </w:p>
        </w:tc>
        <w:tc>
          <w:tcPr>
            <w:tcW w:w="1553"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2"/>
                <w:sz w:val="21"/>
                <w:szCs w:val="21"/>
                <w:u w:val="none"/>
                <w:lang w:val="en-US" w:eastAsia="zh-CN" w:bidi="ar-SA"/>
              </w:rPr>
            </w:pPr>
            <w:r>
              <w:rPr>
                <w:rFonts w:hint="default" w:ascii="Times New Roman" w:hAnsi="Times New Roman" w:eastAsia="仿宋_GB2312" w:cs="Times New Roman"/>
                <w:b/>
                <w:bCs/>
                <w:i w:val="0"/>
                <w:iCs w:val="0"/>
                <w:color w:val="000000"/>
                <w:kern w:val="0"/>
                <w:sz w:val="21"/>
                <w:szCs w:val="21"/>
                <w:u w:val="none"/>
                <w:lang w:val="en-US" w:eastAsia="zh-CN" w:bidi="ar"/>
              </w:rPr>
              <w:t>二级指标</w:t>
            </w:r>
          </w:p>
        </w:tc>
        <w:tc>
          <w:tcPr>
            <w:tcW w:w="3836"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r>
              <w:rPr>
                <w:rFonts w:hint="default" w:ascii="Times New Roman" w:hAnsi="Times New Roman" w:eastAsia="仿宋_GB2312" w:cs="Times New Roman"/>
                <w:b/>
                <w:bCs/>
                <w:i w:val="0"/>
                <w:iCs w:val="0"/>
                <w:color w:val="000000"/>
                <w:kern w:val="0"/>
                <w:sz w:val="21"/>
                <w:szCs w:val="21"/>
                <w:u w:val="none"/>
                <w:lang w:val="en-US" w:eastAsia="zh-CN" w:bidi="ar"/>
              </w:rPr>
              <w:t>三级指标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vMerge w:val="continue"/>
            <w:tcBorders>
              <w:left w:val="single" w:color="000000" w:sz="4" w:space="0"/>
              <w:right w:val="single" w:color="000000" w:sz="4" w:space="0"/>
            </w:tcBorders>
            <w:shd w:val="clear" w:color="auto" w:fill="auto"/>
            <w:noWrap/>
            <w:vAlign w:val="center"/>
          </w:tcPr>
          <w:p>
            <w:pPr>
              <w:pageBreakBefore w:val="0"/>
              <w:wordWrap/>
              <w:topLinePunct w:val="0"/>
              <w:bidi w:val="0"/>
              <w:spacing w:line="560" w:lineRule="exact"/>
              <w:jc w:val="right"/>
              <w:rPr>
                <w:rFonts w:hint="default" w:ascii="Times New Roman" w:hAnsi="Times New Roman" w:eastAsia="仿宋_GB2312" w:cs="Times New Roman"/>
                <w:i w:val="0"/>
                <w:iCs w:val="0"/>
                <w:color w:val="000000"/>
                <w:sz w:val="21"/>
                <w:szCs w:val="21"/>
                <w:u w:val="none"/>
              </w:rPr>
            </w:pPr>
          </w:p>
        </w:tc>
        <w:tc>
          <w:tcPr>
            <w:tcW w:w="110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效益指标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21"/>
                <w:szCs w:val="21"/>
                <w:u w:val="none"/>
              </w:rPr>
            </w:pPr>
            <w:r>
              <w:rPr>
                <w:rStyle w:val="37"/>
                <w:rFonts w:hint="default" w:ascii="Times New Roman" w:hAnsi="Times New Roman" w:eastAsia="仿宋_GB2312" w:cs="Times New Roman"/>
                <w:sz w:val="21"/>
                <w:szCs w:val="21"/>
                <w:lang w:val="en-US" w:eastAsia="zh-CN" w:bidi="ar"/>
              </w:rPr>
              <w:t>社会效益指标</w:t>
            </w:r>
          </w:p>
        </w:tc>
        <w:tc>
          <w:tcPr>
            <w:tcW w:w="3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确保道路运输行业的稳定，积极发展农村客运的发展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vMerge w:val="continue"/>
            <w:tcBorders>
              <w:left w:val="single" w:color="000000" w:sz="4" w:space="0"/>
              <w:right w:val="single" w:color="000000" w:sz="4" w:space="0"/>
            </w:tcBorders>
            <w:shd w:val="clear" w:color="auto" w:fill="auto"/>
            <w:noWrap/>
            <w:vAlign w:val="center"/>
          </w:tcPr>
          <w:p>
            <w:pPr>
              <w:pageBreakBefore w:val="0"/>
              <w:wordWrap/>
              <w:topLinePunct w:val="0"/>
              <w:bidi w:val="0"/>
              <w:spacing w:line="560" w:lineRule="exact"/>
              <w:jc w:val="right"/>
              <w:rPr>
                <w:rFonts w:hint="default" w:ascii="Times New Roman" w:hAnsi="Times New Roman" w:eastAsia="仿宋_GB2312" w:cs="Times New Roman"/>
                <w:i w:val="0"/>
                <w:iCs w:val="0"/>
                <w:color w:val="000000"/>
                <w:sz w:val="21"/>
                <w:szCs w:val="21"/>
                <w:u w:val="none"/>
              </w:rPr>
            </w:pPr>
          </w:p>
        </w:tc>
        <w:tc>
          <w:tcPr>
            <w:tcW w:w="1105"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经济效益</w:t>
            </w:r>
          </w:p>
        </w:tc>
        <w:tc>
          <w:tcPr>
            <w:tcW w:w="3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推动地方经济的提升，</w:t>
            </w:r>
            <w:r>
              <w:rPr>
                <w:rStyle w:val="37"/>
                <w:rFonts w:hint="default" w:ascii="Times New Roman" w:hAnsi="Times New Roman" w:eastAsia="仿宋_GB2312" w:cs="Times New Roman"/>
                <w:sz w:val="21"/>
                <w:szCs w:val="21"/>
                <w:lang w:val="zh-CN" w:eastAsia="zh-CN" w:bidi="ar"/>
              </w:rPr>
              <w:t>促进城乡共同繁荣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vMerge w:val="continue"/>
            <w:tcBorders>
              <w:left w:val="single" w:color="000000" w:sz="4" w:space="0"/>
              <w:right w:val="single" w:color="000000" w:sz="4" w:space="0"/>
            </w:tcBorders>
            <w:shd w:val="clear" w:color="auto" w:fill="auto"/>
            <w:noWrap/>
            <w:vAlign w:val="center"/>
          </w:tcPr>
          <w:p>
            <w:pPr>
              <w:pageBreakBefore w:val="0"/>
              <w:wordWrap/>
              <w:topLinePunct w:val="0"/>
              <w:bidi w:val="0"/>
              <w:spacing w:line="560" w:lineRule="exact"/>
              <w:jc w:val="right"/>
              <w:rPr>
                <w:rFonts w:hint="default" w:ascii="Times New Roman" w:hAnsi="Times New Roman" w:eastAsia="仿宋_GB2312" w:cs="Times New Roman"/>
                <w:i w:val="0"/>
                <w:iCs w:val="0"/>
                <w:color w:val="000000"/>
                <w:sz w:val="21"/>
                <w:szCs w:val="21"/>
                <w:u w:val="none"/>
              </w:rPr>
            </w:pPr>
          </w:p>
        </w:tc>
        <w:tc>
          <w:tcPr>
            <w:tcW w:w="1105"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生态效益</w:t>
            </w:r>
          </w:p>
        </w:tc>
        <w:tc>
          <w:tcPr>
            <w:tcW w:w="3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打造绿色交通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vMerge w:val="continue"/>
            <w:tcBorders>
              <w:left w:val="single" w:color="000000" w:sz="4" w:space="0"/>
              <w:right w:val="single" w:color="000000" w:sz="4" w:space="0"/>
            </w:tcBorders>
            <w:shd w:val="clear" w:color="auto" w:fill="auto"/>
            <w:noWrap/>
            <w:vAlign w:val="center"/>
          </w:tcPr>
          <w:p>
            <w:pPr>
              <w:pageBreakBefore w:val="0"/>
              <w:wordWrap/>
              <w:topLinePunct w:val="0"/>
              <w:bidi w:val="0"/>
              <w:spacing w:line="560" w:lineRule="exact"/>
              <w:jc w:val="right"/>
              <w:rPr>
                <w:rFonts w:hint="default" w:ascii="Times New Roman" w:hAnsi="Times New Roman" w:eastAsia="仿宋_GB2312" w:cs="Times New Roman"/>
                <w:i w:val="0"/>
                <w:iCs w:val="0"/>
                <w:color w:val="000000"/>
                <w:sz w:val="21"/>
                <w:szCs w:val="21"/>
                <w:u w:val="none"/>
              </w:rPr>
            </w:pPr>
          </w:p>
        </w:tc>
        <w:tc>
          <w:tcPr>
            <w:tcW w:w="110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可持续性影响</w:t>
            </w:r>
          </w:p>
        </w:tc>
        <w:tc>
          <w:tcPr>
            <w:tcW w:w="3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保障了交通工作持续有效开展，行业监督、管理效能明显提高</w:t>
            </w:r>
          </w:p>
        </w:tc>
      </w:tr>
    </w:tbl>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cs="Times New Roman"/>
          <w:sz w:val="32"/>
          <w:szCs w:val="32"/>
        </w:rPr>
      </w:pPr>
      <w:r>
        <w:rPr>
          <w:rFonts w:hint="default" w:ascii="Times New Roman" w:hAnsi="Times New Roman" w:eastAsia="黑体" w:cs="Times New Roman"/>
          <w:bCs/>
          <w:sz w:val="32"/>
          <w:szCs w:val="32"/>
        </w:rPr>
        <w:t>三、偏离绩效目标的原因和下一步改进措施</w:t>
      </w:r>
    </w:p>
    <w:p>
      <w:pPr>
        <w:pStyle w:val="2"/>
        <w:pageBreakBefore w:val="0"/>
        <w:wordWrap/>
        <w:topLinePunct w:val="0"/>
        <w:bidi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预算执行未完成，预算执行率</w:t>
      </w:r>
      <w:r>
        <w:rPr>
          <w:rFonts w:hint="default" w:ascii="Times New Roman" w:hAnsi="Times New Roman" w:eastAsia="仿宋_GB2312" w:cs="Times New Roman"/>
          <w:color w:val="000000"/>
          <w:sz w:val="32"/>
          <w:szCs w:val="32"/>
          <w:lang w:val="en-US" w:eastAsia="zh-CN"/>
        </w:rPr>
        <w:t>73.15%</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该项目属</w:t>
      </w:r>
      <w:r>
        <w:rPr>
          <w:rFonts w:hint="default" w:ascii="Times New Roman" w:hAnsi="Times New Roman" w:eastAsia="仿宋_GB2312" w:cs="Times New Roman"/>
          <w:kern w:val="2"/>
          <w:sz w:val="32"/>
          <w:szCs w:val="32"/>
          <w:lang w:val="zh-CN" w:eastAsia="zh-CN" w:bidi="ar-SA"/>
        </w:rPr>
        <w:t>管理运输类项目</w:t>
      </w:r>
      <w:r>
        <w:rPr>
          <w:rFonts w:hint="default" w:ascii="Times New Roman" w:hAnsi="Times New Roman" w:eastAsia="仿宋_GB2312" w:cs="Times New Roman"/>
          <w:color w:val="000000"/>
          <w:sz w:val="32"/>
          <w:szCs w:val="32"/>
          <w:lang w:eastAsia="zh-CN"/>
        </w:rPr>
        <w:t>，年初按</w:t>
      </w:r>
      <w:r>
        <w:rPr>
          <w:rFonts w:hint="default" w:ascii="Times New Roman" w:hAnsi="Times New Roman" w:eastAsia="仿宋_GB2312" w:cs="Times New Roman"/>
          <w:color w:val="000000"/>
          <w:sz w:val="32"/>
          <w:szCs w:val="32"/>
          <w:lang w:val="en-US" w:eastAsia="zh-CN"/>
        </w:rPr>
        <w:t>2022年实际农村客运车辆54辆预算车辆保险，在执行过程中支付的2018年农村客运车辆42辆保险按申报金额的70%进行补贴，</w:t>
      </w:r>
      <w:r>
        <w:rPr>
          <w:rFonts w:hint="default" w:ascii="Times New Roman" w:hAnsi="Times New Roman" w:eastAsia="仿宋_GB2312" w:cs="Times New Roman"/>
          <w:color w:val="000000"/>
          <w:sz w:val="32"/>
          <w:szCs w:val="32"/>
          <w:highlight w:val="none"/>
        </w:rPr>
        <w:t>导致项目未实施完毕。</w:t>
      </w:r>
      <w:r>
        <w:rPr>
          <w:rFonts w:hint="default" w:ascii="Times New Roman" w:hAnsi="Times New Roman" w:eastAsia="仿宋_GB2312" w:cs="Times New Roman"/>
          <w:color w:val="000000"/>
          <w:sz w:val="32"/>
          <w:szCs w:val="32"/>
          <w:lang w:val="zh-CN"/>
        </w:rPr>
        <w:t>发现的主要问题：无。下一步改进措施：无。</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四、绩效自评结果拟应用和公开情况</w:t>
      </w:r>
    </w:p>
    <w:p>
      <w:pPr>
        <w:pStyle w:val="2"/>
        <w:pageBreakBefore w:val="0"/>
        <w:wordWrap/>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从总体上看，该项目政策依据充分，项目的设立经过严格的评估论证，与部门职责相适应；项目规划符合年度目标；项目资金使用符合相关财务管理的规定；实施程序符合项目方案。经自评，</w:t>
      </w:r>
      <w:r>
        <w:rPr>
          <w:rFonts w:hint="default" w:ascii="Times New Roman" w:hAnsi="Times New Roman" w:eastAsia="仿宋_GB2312" w:cs="Times New Roman"/>
          <w:kern w:val="2"/>
          <w:sz w:val="32"/>
          <w:szCs w:val="32"/>
          <w:lang w:val="zh-CN" w:eastAsia="zh-CN" w:bidi="ar-SA"/>
        </w:rPr>
        <w:t>农村客运车辆保险补贴项目自评得分</w:t>
      </w:r>
      <w:r>
        <w:rPr>
          <w:rFonts w:hint="default" w:ascii="Times New Roman" w:hAnsi="Times New Roman" w:eastAsia="仿宋_GB2312" w:cs="Times New Roman"/>
          <w:kern w:val="2"/>
          <w:sz w:val="32"/>
          <w:szCs w:val="32"/>
          <w:lang w:val="en-US" w:eastAsia="zh-CN" w:bidi="ar-SA"/>
        </w:rPr>
        <w:t>99</w:t>
      </w:r>
      <w:r>
        <w:rPr>
          <w:rFonts w:hint="default" w:ascii="Times New Roman" w:hAnsi="Times New Roman" w:eastAsia="仿宋_GB2312" w:cs="Times New Roman"/>
          <w:kern w:val="2"/>
          <w:sz w:val="32"/>
          <w:szCs w:val="32"/>
          <w:lang w:val="zh-CN" w:eastAsia="zh-CN" w:bidi="ar-SA"/>
        </w:rPr>
        <w:t>分，</w:t>
      </w:r>
      <w:r>
        <w:rPr>
          <w:rFonts w:hint="default" w:ascii="Times New Roman" w:hAnsi="Times New Roman" w:eastAsia="仿宋_GB2312" w:cs="Times New Roman"/>
          <w:sz w:val="32"/>
          <w:szCs w:val="32"/>
        </w:rPr>
        <w:t>评价等级为“优 ”。2023年该项目继续使用，预计安排预算</w:t>
      </w:r>
      <w:r>
        <w:rPr>
          <w:rFonts w:hint="default" w:ascii="Times New Roman" w:hAnsi="Times New Roman" w:eastAsia="仿宋_GB2312" w:cs="Times New Roman"/>
          <w:sz w:val="32"/>
          <w:szCs w:val="32"/>
          <w:lang w:val="en-US" w:eastAsia="zh-CN"/>
        </w:rPr>
        <w:t>65</w:t>
      </w:r>
      <w:r>
        <w:rPr>
          <w:rFonts w:hint="default" w:ascii="Times New Roman" w:hAnsi="Times New Roman" w:eastAsia="仿宋_GB2312" w:cs="Times New Roman"/>
          <w:sz w:val="32"/>
          <w:szCs w:val="32"/>
        </w:rPr>
        <w:t>万元。项目自评结果按规定时间于政府网站公开。</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五、其他需要说明的问题</w:t>
      </w:r>
    </w:p>
    <w:p>
      <w:pPr>
        <w:pageBreakBefore w:val="0"/>
        <w:wordWrap/>
        <w:topLinePunct w:val="0"/>
        <w:bidi w:val="0"/>
        <w:spacing w:line="560" w:lineRule="exact"/>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无。</w:t>
      </w:r>
    </w:p>
    <w:p>
      <w:pPr>
        <w:pStyle w:val="2"/>
        <w:pageBreakBefore w:val="0"/>
        <w:wordWrap/>
        <w:topLinePunct w:val="0"/>
        <w:bidi w:val="0"/>
        <w:spacing w:line="560" w:lineRule="exact"/>
        <w:rPr>
          <w:rFonts w:hint="default" w:ascii="Times New Roman" w:hAnsi="Times New Roman" w:eastAsia="仿宋_GB2312" w:cs="Times New Roman"/>
          <w:kern w:val="2"/>
          <w:sz w:val="32"/>
          <w:szCs w:val="32"/>
          <w:lang w:val="en-US" w:eastAsia="zh-CN" w:bidi="ar-SA"/>
        </w:rPr>
      </w:pPr>
    </w:p>
    <w:p>
      <w:pPr>
        <w:pStyle w:val="2"/>
        <w:pageBreakBefore w:val="0"/>
        <w:wordWrap/>
        <w:topLinePunct w:val="0"/>
        <w:bidi w:val="0"/>
        <w:spacing w:line="560" w:lineRule="exact"/>
        <w:rPr>
          <w:rFonts w:hint="default" w:ascii="Times New Roman" w:hAnsi="Times New Roman" w:eastAsia="仿宋_GB2312" w:cs="Times New Roman"/>
          <w:kern w:val="2"/>
          <w:sz w:val="32"/>
          <w:szCs w:val="32"/>
          <w:lang w:val="en-US" w:eastAsia="zh-CN" w:bidi="ar-SA"/>
        </w:rPr>
      </w:pPr>
    </w:p>
    <w:p>
      <w:pPr>
        <w:pStyle w:val="2"/>
        <w:pageBreakBefore w:val="0"/>
        <w:wordWrap/>
        <w:topLinePunct w:val="0"/>
        <w:bidi w:val="0"/>
        <w:spacing w:line="560" w:lineRule="exact"/>
        <w:rPr>
          <w:rFonts w:hint="default" w:ascii="Times New Roman" w:hAnsi="Times New Roman" w:eastAsia="仿宋_GB2312" w:cs="Times New Roman"/>
          <w:kern w:val="2"/>
          <w:sz w:val="32"/>
          <w:szCs w:val="32"/>
          <w:lang w:val="en-US" w:eastAsia="zh-CN" w:bidi="ar-SA"/>
        </w:rPr>
      </w:pPr>
    </w:p>
    <w:p>
      <w:pPr>
        <w:pStyle w:val="2"/>
        <w:pageBreakBefore w:val="0"/>
        <w:wordWrap/>
        <w:topLinePunct w:val="0"/>
        <w:bidi w:val="0"/>
        <w:spacing w:line="560" w:lineRule="exact"/>
        <w:rPr>
          <w:rFonts w:hint="default" w:ascii="Times New Roman" w:hAnsi="Times New Roman" w:eastAsia="仿宋_GB2312" w:cs="Times New Roman"/>
          <w:kern w:val="2"/>
          <w:sz w:val="32"/>
          <w:szCs w:val="32"/>
          <w:lang w:val="en-US" w:eastAsia="zh-CN" w:bidi="ar-SA"/>
        </w:rPr>
      </w:pPr>
    </w:p>
    <w:p>
      <w:pPr>
        <w:pStyle w:val="2"/>
        <w:pageBreakBefore w:val="0"/>
        <w:wordWrap/>
        <w:topLinePunct w:val="0"/>
        <w:bidi w:val="0"/>
        <w:spacing w:line="560" w:lineRule="exact"/>
        <w:rPr>
          <w:rFonts w:hint="default" w:ascii="Times New Roman" w:hAnsi="Times New Roman" w:eastAsia="仿宋_GB2312" w:cs="Times New Roman"/>
          <w:kern w:val="2"/>
          <w:sz w:val="32"/>
          <w:szCs w:val="32"/>
          <w:lang w:val="en-US" w:eastAsia="zh-CN" w:bidi="ar-SA"/>
        </w:rPr>
      </w:pPr>
    </w:p>
    <w:p>
      <w:pPr>
        <w:pStyle w:val="2"/>
        <w:pageBreakBefore w:val="0"/>
        <w:wordWrap/>
        <w:topLinePunct w:val="0"/>
        <w:bidi w:val="0"/>
        <w:spacing w:line="560" w:lineRule="exact"/>
        <w:jc w:val="center"/>
        <w:outlineLvl w:val="1"/>
        <w:rPr>
          <w:rFonts w:hint="default" w:ascii="Times New Roman" w:hAnsi="Times New Roman" w:eastAsia="黑体" w:cs="Times New Roman"/>
          <w:kern w:val="2"/>
          <w:sz w:val="32"/>
          <w:szCs w:val="32"/>
          <w:lang w:val="en-US" w:eastAsia="zh-CN" w:bidi="ar-SA"/>
        </w:rPr>
      </w:pPr>
      <w:bookmarkStart w:id="89" w:name="_Toc14581"/>
      <w:bookmarkStart w:id="90" w:name="_Toc13094"/>
      <w:r>
        <w:rPr>
          <w:rFonts w:hint="default" w:ascii="Times New Roman" w:hAnsi="Times New Roman" w:eastAsia="黑体" w:cs="Times New Roman"/>
          <w:spacing w:val="1"/>
          <w:sz w:val="32"/>
          <w:szCs w:val="32"/>
          <w:lang w:val="zh-CN" w:eastAsia="zh-CN"/>
        </w:rPr>
        <w:t>农村客运车辆保险补贴</w:t>
      </w:r>
      <w:r>
        <w:rPr>
          <w:rFonts w:hint="default" w:ascii="Times New Roman" w:hAnsi="Times New Roman" w:eastAsia="黑体" w:cs="Times New Roman"/>
          <w:spacing w:val="1"/>
          <w:sz w:val="32"/>
          <w:szCs w:val="32"/>
        </w:rPr>
        <w:t>项目支出</w:t>
      </w:r>
      <w:r>
        <w:rPr>
          <w:rFonts w:hint="default" w:ascii="Times New Roman" w:hAnsi="Times New Roman" w:eastAsia="黑体" w:cs="Times New Roman"/>
          <w:spacing w:val="1"/>
          <w:sz w:val="32"/>
          <w:szCs w:val="32"/>
          <w:lang w:eastAsia="zh-CN"/>
        </w:rPr>
        <w:t>得分表</w:t>
      </w:r>
      <w:bookmarkEnd w:id="89"/>
      <w:bookmarkEnd w:id="90"/>
    </w:p>
    <w:tbl>
      <w:tblPr>
        <w:tblStyle w:val="16"/>
        <w:tblW w:w="45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2"/>
        <w:gridCol w:w="1475"/>
        <w:gridCol w:w="1635"/>
        <w:gridCol w:w="1532"/>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3155" w:type="pct"/>
            <w:gridSpan w:val="3"/>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绩效指标</w:t>
            </w:r>
          </w:p>
        </w:tc>
        <w:tc>
          <w:tcPr>
            <w:tcW w:w="994"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指标分值</w:t>
            </w:r>
          </w:p>
        </w:tc>
        <w:tc>
          <w:tcPr>
            <w:tcW w:w="850"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137"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一级指标</w:t>
            </w:r>
          </w:p>
        </w:tc>
        <w:tc>
          <w:tcPr>
            <w:tcW w:w="957"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二级指标</w:t>
            </w: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三级指标</w:t>
            </w:r>
          </w:p>
        </w:tc>
        <w:tc>
          <w:tcPr>
            <w:tcW w:w="994"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850"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137"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通用指标</w:t>
            </w:r>
          </w:p>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（30分）</w:t>
            </w:r>
          </w:p>
        </w:tc>
        <w:tc>
          <w:tcPr>
            <w:tcW w:w="957"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项目决策</w:t>
            </w: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程序严密</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规划合理</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项目实施</w:t>
            </w: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分配合理</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使用合规</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执行有效</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完成结果</w:t>
            </w: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预算完成</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目标完成</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违规记录</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2</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137"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共性指标</w:t>
            </w:r>
          </w:p>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（20分）</w:t>
            </w:r>
          </w:p>
        </w:tc>
        <w:tc>
          <w:tcPr>
            <w:tcW w:w="957"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项目效果</w:t>
            </w: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区域均衡性</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6</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对象公平性</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8</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社会满意度</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6</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137"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特性指标</w:t>
            </w:r>
          </w:p>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（50分）</w:t>
            </w:r>
          </w:p>
        </w:tc>
        <w:tc>
          <w:tcPr>
            <w:tcW w:w="957"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基础管理</w:t>
            </w: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审核把关</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25</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社会效益</w:t>
            </w: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资金使用率</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25</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3155" w:type="pct"/>
            <w:gridSpan w:val="3"/>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合计</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100</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99</w:t>
            </w:r>
          </w:p>
        </w:tc>
      </w:tr>
    </w:tbl>
    <w:p>
      <w:pPr>
        <w:pStyle w:val="2"/>
        <w:pageBreakBefore w:val="0"/>
        <w:wordWrap/>
        <w:topLinePunct w:val="0"/>
        <w:bidi w:val="0"/>
        <w:spacing w:line="560" w:lineRule="exact"/>
        <w:rPr>
          <w:rFonts w:hint="default" w:ascii="Times New Roman" w:hAnsi="Times New Roman" w:eastAsia="仿宋_GB2312" w:cs="Times New Roman"/>
          <w:kern w:val="2"/>
          <w:sz w:val="32"/>
          <w:szCs w:val="32"/>
          <w:lang w:val="en-US" w:eastAsia="zh-CN" w:bidi="ar-SA"/>
        </w:rPr>
      </w:pPr>
    </w:p>
    <w:p>
      <w:pPr>
        <w:pStyle w:val="2"/>
        <w:pageBreakBefore w:val="0"/>
        <w:wordWrap/>
        <w:topLinePunct w:val="0"/>
        <w:bidi w:val="0"/>
        <w:spacing w:line="560" w:lineRule="exact"/>
        <w:rPr>
          <w:rFonts w:hint="default" w:ascii="Times New Roman" w:hAnsi="Times New Roman" w:eastAsia="仿宋_GB2312" w:cs="Times New Roman"/>
          <w:kern w:val="2"/>
          <w:sz w:val="32"/>
          <w:szCs w:val="32"/>
          <w:lang w:val="en-US" w:eastAsia="zh-CN" w:bidi="ar-SA"/>
        </w:rPr>
      </w:pPr>
    </w:p>
    <w:p>
      <w:pPr>
        <w:pStyle w:val="2"/>
        <w:pageBreakBefore w:val="0"/>
        <w:wordWrap/>
        <w:topLinePunct w:val="0"/>
        <w:bidi w:val="0"/>
        <w:spacing w:line="560" w:lineRule="exact"/>
        <w:rPr>
          <w:rFonts w:hint="default" w:ascii="Times New Roman" w:hAnsi="Times New Roman" w:eastAsia="仿宋_GB2312" w:cs="Times New Roman"/>
          <w:kern w:val="2"/>
          <w:sz w:val="32"/>
          <w:szCs w:val="32"/>
          <w:lang w:val="en-US" w:eastAsia="zh-CN" w:bidi="ar-SA"/>
        </w:rPr>
      </w:pPr>
    </w:p>
    <w:p>
      <w:pPr>
        <w:pStyle w:val="2"/>
        <w:pageBreakBefore w:val="0"/>
        <w:wordWrap/>
        <w:topLinePunct w:val="0"/>
        <w:bidi w:val="0"/>
        <w:spacing w:line="560" w:lineRule="exact"/>
        <w:jc w:val="both"/>
        <w:rPr>
          <w:rFonts w:hint="default" w:ascii="Times New Roman" w:hAnsi="Times New Roman" w:eastAsia="仿宋_GB2312" w:cs="Times New Roman"/>
          <w:kern w:val="2"/>
          <w:sz w:val="32"/>
          <w:szCs w:val="32"/>
          <w:lang w:val="en-US" w:eastAsia="zh-CN" w:bidi="ar-SA"/>
        </w:rPr>
      </w:pPr>
    </w:p>
    <w:p>
      <w:pPr>
        <w:pStyle w:val="2"/>
        <w:pageBreakBefore w:val="0"/>
        <w:wordWrap/>
        <w:topLinePunct w:val="0"/>
        <w:bidi w:val="0"/>
        <w:spacing w:line="560" w:lineRule="exact"/>
        <w:jc w:val="both"/>
        <w:rPr>
          <w:rFonts w:hint="default" w:ascii="Times New Roman" w:hAnsi="Times New Roman" w:eastAsia="仿宋_GB2312" w:cs="Times New Roman"/>
          <w:kern w:val="2"/>
          <w:sz w:val="32"/>
          <w:szCs w:val="32"/>
          <w:lang w:val="en-US" w:eastAsia="zh-CN" w:bidi="ar-SA"/>
        </w:rPr>
      </w:pPr>
    </w:p>
    <w:p>
      <w:pPr>
        <w:pStyle w:val="2"/>
        <w:pageBreakBefore w:val="0"/>
        <w:wordWrap/>
        <w:topLinePunct w:val="0"/>
        <w:bidi w:val="0"/>
        <w:spacing w:line="560" w:lineRule="exact"/>
        <w:jc w:val="both"/>
        <w:rPr>
          <w:rFonts w:hint="default" w:ascii="Times New Roman" w:hAnsi="Times New Roman" w:eastAsia="仿宋_GB2312" w:cs="Times New Roman"/>
          <w:kern w:val="2"/>
          <w:sz w:val="32"/>
          <w:szCs w:val="32"/>
          <w:lang w:val="en-US" w:eastAsia="zh-CN" w:bidi="ar-SA"/>
        </w:rPr>
      </w:pPr>
    </w:p>
    <w:p>
      <w:pPr>
        <w:pageBreakBefore w:val="0"/>
        <w:wordWrap/>
        <w:topLinePunct w:val="0"/>
        <w:bidi w:val="0"/>
        <w:spacing w:line="560" w:lineRule="exact"/>
        <w:rPr>
          <w:rStyle w:val="30"/>
          <w:rFonts w:hint="default" w:ascii="Times New Roman" w:hAnsi="Times New Roman" w:eastAsia="黑体" w:cs="Times New Roman"/>
          <w:b w:val="0"/>
          <w:color w:val="auto"/>
          <w:highlight w:val="none"/>
        </w:rPr>
      </w:pPr>
    </w:p>
    <w:p>
      <w:pPr>
        <w:keepNext w:val="0"/>
        <w:keepLines w:val="0"/>
        <w:pageBreakBefore w:val="0"/>
        <w:widowControl w:val="0"/>
        <w:kinsoku w:val="0"/>
        <w:wordWrap/>
        <w:overflowPunct w:val="0"/>
        <w:topLinePunct w:val="0"/>
        <w:autoSpaceDE/>
        <w:autoSpaceDN/>
        <w:bidi w:val="0"/>
        <w:adjustRightInd/>
        <w:snapToGrid/>
        <w:spacing w:line="560" w:lineRule="exact"/>
        <w:jc w:val="center"/>
        <w:textAlignment w:val="auto"/>
        <w:outlineLvl w:val="1"/>
        <w:rPr>
          <w:rFonts w:hint="default" w:ascii="Times New Roman" w:hAnsi="Times New Roman" w:eastAsia="方正小标宋简体" w:cs="Times New Roman"/>
          <w:spacing w:val="1"/>
          <w:sz w:val="36"/>
          <w:szCs w:val="36"/>
          <w:lang w:eastAsia="zh-CN"/>
        </w:rPr>
      </w:pPr>
      <w:bookmarkStart w:id="91" w:name="_Toc5835"/>
      <w:bookmarkStart w:id="92" w:name="_Toc25532"/>
      <w:r>
        <w:rPr>
          <w:rFonts w:hint="default" w:ascii="Times New Roman" w:hAnsi="Times New Roman" w:eastAsia="方正小标宋简体" w:cs="Times New Roman"/>
          <w:spacing w:val="1"/>
          <w:sz w:val="36"/>
          <w:szCs w:val="36"/>
        </w:rPr>
        <w:t>沐川县</w:t>
      </w:r>
      <w:r>
        <w:rPr>
          <w:rFonts w:hint="default" w:ascii="Times New Roman" w:hAnsi="Times New Roman" w:eastAsia="方正小标宋简体" w:cs="Times New Roman"/>
          <w:spacing w:val="1"/>
          <w:sz w:val="36"/>
          <w:szCs w:val="36"/>
          <w:lang w:eastAsia="zh-CN"/>
        </w:rPr>
        <w:t>交通运输局</w:t>
      </w:r>
      <w:bookmarkEnd w:id="91"/>
      <w:bookmarkEnd w:id="92"/>
    </w:p>
    <w:p>
      <w:pPr>
        <w:keepNext w:val="0"/>
        <w:keepLines w:val="0"/>
        <w:pageBreakBefore w:val="0"/>
        <w:widowControl w:val="0"/>
        <w:kinsoku w:val="0"/>
        <w:wordWrap/>
        <w:overflowPunct w:val="0"/>
        <w:topLinePunct w:val="0"/>
        <w:autoSpaceDE/>
        <w:autoSpaceDN/>
        <w:bidi w:val="0"/>
        <w:adjustRightInd/>
        <w:snapToGrid/>
        <w:spacing w:line="560" w:lineRule="exact"/>
        <w:jc w:val="center"/>
        <w:textAlignment w:val="auto"/>
        <w:outlineLvl w:val="1"/>
        <w:rPr>
          <w:rFonts w:hint="default" w:ascii="Times New Roman" w:hAnsi="Times New Roman" w:eastAsia="方正小标宋简体" w:cs="Times New Roman"/>
          <w:spacing w:val="1"/>
          <w:sz w:val="36"/>
          <w:szCs w:val="36"/>
        </w:rPr>
      </w:pPr>
      <w:bookmarkStart w:id="93" w:name="_Toc16239"/>
      <w:bookmarkStart w:id="94" w:name="_Toc28812"/>
      <w:r>
        <w:rPr>
          <w:rFonts w:hint="default" w:ascii="Times New Roman" w:hAnsi="Times New Roman" w:eastAsia="方正小标宋简体" w:cs="Times New Roman"/>
          <w:spacing w:val="1"/>
          <w:sz w:val="36"/>
          <w:szCs w:val="36"/>
        </w:rPr>
        <w:t>2022年度</w:t>
      </w:r>
      <w:r>
        <w:rPr>
          <w:rFonts w:hint="default" w:ascii="Times New Roman" w:hAnsi="Times New Roman" w:eastAsia="方正小标宋简体" w:cs="Times New Roman"/>
          <w:spacing w:val="1"/>
          <w:sz w:val="36"/>
          <w:szCs w:val="36"/>
          <w:lang w:val="zh-CN" w:eastAsia="zh-CN"/>
        </w:rPr>
        <w:t>城市公交运营补贴</w:t>
      </w:r>
      <w:r>
        <w:rPr>
          <w:rFonts w:hint="default" w:ascii="Times New Roman" w:hAnsi="Times New Roman" w:eastAsia="方正小标宋简体" w:cs="Times New Roman"/>
          <w:spacing w:val="1"/>
          <w:sz w:val="36"/>
          <w:szCs w:val="36"/>
        </w:rPr>
        <w:t>项目支出</w:t>
      </w:r>
      <w:bookmarkEnd w:id="93"/>
      <w:bookmarkEnd w:id="94"/>
    </w:p>
    <w:p>
      <w:pPr>
        <w:keepNext w:val="0"/>
        <w:keepLines w:val="0"/>
        <w:pageBreakBefore w:val="0"/>
        <w:widowControl w:val="0"/>
        <w:kinsoku w:val="0"/>
        <w:wordWrap/>
        <w:overflowPunct w:val="0"/>
        <w:topLinePunct w:val="0"/>
        <w:autoSpaceDE/>
        <w:autoSpaceDN/>
        <w:bidi w:val="0"/>
        <w:adjustRightInd/>
        <w:snapToGrid/>
        <w:spacing w:line="560" w:lineRule="exact"/>
        <w:jc w:val="center"/>
        <w:textAlignment w:val="auto"/>
        <w:outlineLvl w:val="1"/>
        <w:rPr>
          <w:rFonts w:hint="default" w:ascii="Times New Roman" w:hAnsi="Times New Roman" w:eastAsia="黑体" w:cs="Times New Roman"/>
          <w:bCs/>
          <w:szCs w:val="32"/>
        </w:rPr>
      </w:pPr>
      <w:bookmarkStart w:id="95" w:name="_Toc25774"/>
      <w:bookmarkStart w:id="96" w:name="_Toc9450"/>
      <w:r>
        <w:rPr>
          <w:rFonts w:hint="default" w:ascii="Times New Roman" w:hAnsi="Times New Roman" w:eastAsia="方正小标宋简体" w:cs="Times New Roman"/>
          <w:spacing w:val="1"/>
          <w:sz w:val="36"/>
          <w:szCs w:val="36"/>
        </w:rPr>
        <w:t>绩效自评报告</w:t>
      </w:r>
      <w:bookmarkEnd w:id="95"/>
      <w:bookmarkEnd w:id="96"/>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一、项目基本情况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0"/>
        <w:rPr>
          <w:rFonts w:hint="default" w:ascii="Times New Roman" w:hAnsi="Times New Roman" w:eastAsia="楷体" w:cs="Times New Roman"/>
          <w:b/>
          <w:bCs/>
          <w:sz w:val="32"/>
          <w:szCs w:val="32"/>
          <w:highlight w:val="none"/>
          <w:lang w:eastAsia="zh-CN"/>
        </w:rPr>
      </w:pPr>
      <w:bookmarkStart w:id="97" w:name="_Toc9883"/>
      <w:bookmarkStart w:id="98" w:name="_Toc5090"/>
      <w:r>
        <w:rPr>
          <w:rFonts w:hint="default" w:ascii="Times New Roman" w:hAnsi="Times New Roman" w:eastAsia="楷体" w:cs="Times New Roman"/>
          <w:b/>
          <w:bCs/>
          <w:sz w:val="32"/>
          <w:szCs w:val="32"/>
          <w:highlight w:val="none"/>
          <w:lang w:eastAsia="zh-CN"/>
        </w:rPr>
        <w:t>（一）绩效目标情况</w:t>
      </w:r>
      <w:bookmarkEnd w:id="97"/>
      <w:bookmarkEnd w:id="98"/>
    </w:p>
    <w:p>
      <w:pPr>
        <w:pStyle w:val="2"/>
        <w:pageBreakBefore w:val="0"/>
        <w:wordWrap/>
        <w:topLinePunct w:val="0"/>
        <w:bidi w:val="0"/>
        <w:spacing w:line="560" w:lineRule="exact"/>
        <w:ind w:firstLine="640" w:firstLineChars="200"/>
        <w:rPr>
          <w:rFonts w:hint="default" w:ascii="Times New Roman" w:hAnsi="Times New Roman" w:eastAsia="仿宋_GB2312" w:cs="Times New Roman"/>
          <w:kern w:val="2"/>
          <w:sz w:val="32"/>
          <w:szCs w:val="32"/>
          <w:highlight w:val="none"/>
          <w:lang w:val="zh-CN" w:eastAsia="zh-CN" w:bidi="ar-SA"/>
        </w:rPr>
      </w:pPr>
      <w:r>
        <w:rPr>
          <w:rFonts w:hint="default" w:ascii="Times New Roman" w:hAnsi="Times New Roman" w:eastAsia="仿宋_GB2312" w:cs="Times New Roman"/>
          <w:kern w:val="2"/>
          <w:sz w:val="32"/>
          <w:szCs w:val="32"/>
          <w:lang w:val="zh-CN" w:eastAsia="zh-CN" w:bidi="ar-SA"/>
        </w:rPr>
        <w:t>城市公交运营补贴是公路运输管理类项目，该项目主要对</w:t>
      </w:r>
      <w:r>
        <w:rPr>
          <w:rFonts w:hint="default" w:ascii="Times New Roman" w:hAnsi="Times New Roman" w:eastAsia="仿宋_GB2312" w:cs="Times New Roman"/>
          <w:kern w:val="2"/>
          <w:sz w:val="32"/>
          <w:szCs w:val="32"/>
          <w:lang w:val="en-US" w:eastAsia="zh-CN" w:bidi="ar-SA"/>
        </w:rPr>
        <w:t>2022年我县50辆经营性城市公交进行亏损补贴，确保</w:t>
      </w:r>
      <w:r>
        <w:rPr>
          <w:rFonts w:hint="default" w:ascii="Times New Roman" w:hAnsi="Times New Roman" w:eastAsia="仿宋_GB2312" w:cs="Times New Roman"/>
          <w:kern w:val="2"/>
          <w:sz w:val="32"/>
          <w:szCs w:val="32"/>
          <w:highlight w:val="none"/>
          <w:lang w:val="en-US" w:eastAsia="zh-CN" w:bidi="ar-SA"/>
        </w:rPr>
        <w:t>道路运输行业的稳定，促进城市公交行业的稳定发展。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0"/>
        <w:rPr>
          <w:rFonts w:hint="default" w:ascii="Times New Roman" w:hAnsi="Times New Roman" w:eastAsia="楷体" w:cs="Times New Roman"/>
          <w:b/>
          <w:bCs/>
          <w:sz w:val="32"/>
          <w:szCs w:val="32"/>
          <w:highlight w:val="none"/>
        </w:rPr>
      </w:pPr>
      <w:bookmarkStart w:id="99" w:name="_Toc28661"/>
      <w:bookmarkStart w:id="100" w:name="_Toc31684"/>
      <w:r>
        <w:rPr>
          <w:rFonts w:hint="default" w:ascii="Times New Roman" w:hAnsi="Times New Roman" w:eastAsia="楷体" w:cs="Times New Roman"/>
          <w:b/>
          <w:bCs/>
          <w:sz w:val="32"/>
          <w:szCs w:val="32"/>
          <w:highlight w:val="none"/>
          <w:lang w:eastAsia="zh-CN"/>
        </w:rPr>
        <w:t>（</w:t>
      </w:r>
      <w:r>
        <w:rPr>
          <w:rFonts w:hint="default" w:ascii="Times New Roman" w:hAnsi="Times New Roman" w:eastAsia="楷体" w:cs="Times New Roman"/>
          <w:b/>
          <w:bCs/>
          <w:sz w:val="32"/>
          <w:szCs w:val="32"/>
          <w:highlight w:val="none"/>
          <w:lang w:val="en-US" w:eastAsia="zh-CN"/>
        </w:rPr>
        <w:t>二</w:t>
      </w:r>
      <w:r>
        <w:rPr>
          <w:rFonts w:hint="default" w:ascii="Times New Roman" w:hAnsi="Times New Roman" w:eastAsia="楷体" w:cs="Times New Roman"/>
          <w:b/>
          <w:bCs/>
          <w:sz w:val="32"/>
          <w:szCs w:val="32"/>
          <w:highlight w:val="none"/>
          <w:lang w:eastAsia="zh-CN"/>
        </w:rPr>
        <w:t>）</w:t>
      </w:r>
      <w:r>
        <w:rPr>
          <w:rFonts w:hint="default" w:ascii="Times New Roman" w:hAnsi="Times New Roman" w:eastAsia="楷体" w:cs="Times New Roman"/>
          <w:b/>
          <w:bCs/>
          <w:sz w:val="32"/>
          <w:szCs w:val="32"/>
          <w:highlight w:val="none"/>
        </w:rPr>
        <w:t>资金安排情况</w:t>
      </w:r>
      <w:bookmarkEnd w:id="99"/>
      <w:bookmarkEnd w:id="100"/>
    </w:p>
    <w:p>
      <w:pPr>
        <w:pStyle w:val="2"/>
        <w:pageBreakBefore w:val="0"/>
        <w:wordWrap/>
        <w:topLinePunct w:val="0"/>
        <w:bidi w:val="0"/>
        <w:spacing w:line="560" w:lineRule="exact"/>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highlight w:val="none"/>
          <w:lang w:val="zh-CN" w:eastAsia="zh-CN" w:bidi="ar-SA"/>
        </w:rPr>
        <w:t>根据《沐川</w:t>
      </w:r>
      <w:r>
        <w:rPr>
          <w:rFonts w:hint="default" w:ascii="Times New Roman" w:hAnsi="Times New Roman" w:eastAsia="仿宋_GB2312" w:cs="Times New Roman"/>
          <w:kern w:val="2"/>
          <w:sz w:val="32"/>
          <w:szCs w:val="32"/>
          <w:lang w:val="zh-CN" w:eastAsia="zh-CN" w:bidi="ar-SA"/>
        </w:rPr>
        <w:t>县财政局关于批复2022年部门预算的通知》（沐财发〔2022〕23号）文件，县财政局下达我单位城市公交运营补贴</w:t>
      </w:r>
      <w:r>
        <w:rPr>
          <w:rFonts w:hint="default" w:ascii="Times New Roman" w:hAnsi="Times New Roman" w:eastAsia="仿宋_GB2312" w:cs="Times New Roman"/>
          <w:kern w:val="2"/>
          <w:sz w:val="32"/>
          <w:szCs w:val="32"/>
          <w:lang w:val="en-US" w:eastAsia="zh-CN" w:bidi="ar-SA"/>
        </w:rPr>
        <w:t>项目年初预算收入300万元，主要是一般公共预算拨款收入。</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二、绩效目标完成情况分析</w:t>
      </w:r>
    </w:p>
    <w:p>
      <w:pPr>
        <w:keepNext w:val="0"/>
        <w:keepLines w:val="0"/>
        <w:pageBreakBefore w:val="0"/>
        <w:kinsoku/>
        <w:wordWrap/>
        <w:overflowPunct/>
        <w:topLinePunct w:val="0"/>
        <w:autoSpaceDE/>
        <w:autoSpaceDN/>
        <w:bidi w:val="0"/>
        <w:spacing w:line="560" w:lineRule="exact"/>
        <w:ind w:firstLine="643" w:firstLineChars="200"/>
        <w:textAlignment w:val="auto"/>
        <w:outlineLvl w:val="0"/>
        <w:rPr>
          <w:rFonts w:hint="default" w:ascii="Times New Roman" w:hAnsi="Times New Roman" w:eastAsia="楷体" w:cs="Times New Roman"/>
          <w:b/>
          <w:bCs/>
          <w:sz w:val="32"/>
          <w:szCs w:val="32"/>
        </w:rPr>
      </w:pPr>
      <w:bookmarkStart w:id="101" w:name="_Toc23470"/>
      <w:bookmarkStart w:id="102" w:name="_Toc14649"/>
      <w:r>
        <w:rPr>
          <w:rFonts w:hint="default" w:ascii="Times New Roman" w:hAnsi="Times New Roman" w:eastAsia="楷体" w:cs="Times New Roman"/>
          <w:b/>
          <w:bCs/>
          <w:sz w:val="32"/>
          <w:szCs w:val="32"/>
        </w:rPr>
        <w:t>（一）预算执行进度情况分析</w:t>
      </w:r>
      <w:bookmarkEnd w:id="101"/>
      <w:bookmarkEnd w:id="102"/>
    </w:p>
    <w:p>
      <w:pPr>
        <w:pStyle w:val="2"/>
        <w:pageBreakBefore w:val="0"/>
        <w:wordWrap/>
        <w:topLinePunct w:val="0"/>
        <w:bidi w:val="0"/>
        <w:spacing w:line="560" w:lineRule="exact"/>
        <w:ind w:firstLine="640" w:firstLineChars="200"/>
        <w:rPr>
          <w:rFonts w:hint="default" w:ascii="Times New Roman" w:hAnsi="Times New Roman" w:cs="Times New Roman"/>
          <w:highlight w:val="none"/>
        </w:rPr>
      </w:pPr>
      <w:r>
        <w:rPr>
          <w:rFonts w:hint="default" w:ascii="Times New Roman" w:hAnsi="Times New Roman" w:eastAsia="仿宋_GB2312" w:cs="Times New Roman"/>
          <w:sz w:val="32"/>
          <w:szCs w:val="32"/>
        </w:rPr>
        <w:t>本单位2022</w:t>
      </w:r>
      <w:r>
        <w:rPr>
          <w:rFonts w:hint="default" w:ascii="Times New Roman" w:hAnsi="Times New Roman" w:eastAsia="仿宋_GB2312" w:cs="Times New Roman"/>
          <w:sz w:val="32"/>
          <w:szCs w:val="32"/>
          <w:lang w:eastAsia="zh-CN"/>
        </w:rPr>
        <w:t>年根据</w:t>
      </w:r>
      <w:r>
        <w:rPr>
          <w:rFonts w:hint="default" w:ascii="Times New Roman" w:hAnsi="Times New Roman" w:eastAsia="仿宋_GB2312" w:cs="Times New Roman"/>
          <w:sz w:val="32"/>
          <w:szCs w:val="32"/>
        </w:rPr>
        <w:t>预算批复文件合理安排支出，按</w:t>
      </w:r>
      <w:r>
        <w:rPr>
          <w:rFonts w:hint="default" w:ascii="Times New Roman" w:hAnsi="Times New Roman" w:eastAsia="仿宋_GB2312" w:cs="Times New Roman"/>
          <w:sz w:val="32"/>
          <w:szCs w:val="32"/>
          <w:lang w:eastAsia="zh-CN"/>
        </w:rPr>
        <w:t>需</w:t>
      </w:r>
      <w:r>
        <w:rPr>
          <w:rFonts w:hint="default" w:ascii="Times New Roman" w:hAnsi="Times New Roman" w:eastAsia="仿宋_GB2312" w:cs="Times New Roman"/>
          <w:sz w:val="32"/>
          <w:szCs w:val="32"/>
        </w:rPr>
        <w:t>申报用款计划，项目资金申报与实际实施内容相符，申报目标合理可行。截止2022年底，</w:t>
      </w:r>
      <w:r>
        <w:rPr>
          <w:rFonts w:hint="default" w:ascii="Times New Roman" w:hAnsi="Times New Roman" w:eastAsia="仿宋_GB2312" w:cs="Times New Roman"/>
          <w:kern w:val="2"/>
          <w:sz w:val="32"/>
          <w:szCs w:val="32"/>
          <w:lang w:val="zh-CN" w:eastAsia="zh-CN" w:bidi="ar-SA"/>
        </w:rPr>
        <w:t>城市公交运营补贴</w:t>
      </w:r>
      <w:r>
        <w:rPr>
          <w:rFonts w:hint="default" w:ascii="Times New Roman" w:hAnsi="Times New Roman" w:eastAsia="仿宋_GB2312" w:cs="Times New Roman"/>
          <w:sz w:val="32"/>
          <w:szCs w:val="32"/>
          <w:highlight w:val="none"/>
        </w:rPr>
        <w:t>支出决算数</w:t>
      </w:r>
      <w:r>
        <w:rPr>
          <w:rFonts w:hint="default" w:ascii="Times New Roman" w:hAnsi="Times New Roman" w:eastAsia="仿宋_GB2312" w:cs="Times New Roman"/>
          <w:sz w:val="32"/>
          <w:szCs w:val="32"/>
          <w:highlight w:val="none"/>
          <w:lang w:val="en-US" w:eastAsia="zh-CN"/>
        </w:rPr>
        <w:t>220.5</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kern w:val="2"/>
          <w:sz w:val="32"/>
          <w:szCs w:val="32"/>
          <w:lang w:val="zh-CN" w:eastAsia="zh-CN" w:bidi="ar-SA"/>
        </w:rPr>
        <w:t>主要用于</w:t>
      </w:r>
      <w:r>
        <w:rPr>
          <w:rFonts w:hint="default" w:ascii="Times New Roman" w:hAnsi="Times New Roman" w:eastAsia="仿宋_GB2312" w:cs="Times New Roman"/>
          <w:kern w:val="2"/>
          <w:sz w:val="32"/>
          <w:szCs w:val="32"/>
          <w:lang w:val="en-US" w:eastAsia="zh-CN" w:bidi="ar-SA"/>
        </w:rPr>
        <w:t>2021年我县46辆经营性城市公交进行亏损补贴</w:t>
      </w:r>
      <w:r>
        <w:rPr>
          <w:rFonts w:hint="default" w:ascii="Times New Roman" w:hAnsi="Times New Roman" w:eastAsia="仿宋_GB2312" w:cs="Times New Roman"/>
          <w:sz w:val="32"/>
          <w:szCs w:val="32"/>
          <w:highlight w:val="none"/>
          <w:lang w:val="zh-CN" w:eastAsia="zh-CN"/>
        </w:rPr>
        <w:t>。</w:t>
      </w:r>
    </w:p>
    <w:p>
      <w:pPr>
        <w:keepNext w:val="0"/>
        <w:keepLines w:val="0"/>
        <w:pageBreakBefore w:val="0"/>
        <w:kinsoku/>
        <w:wordWrap/>
        <w:overflowPunct/>
        <w:topLinePunct w:val="0"/>
        <w:autoSpaceDE/>
        <w:autoSpaceDN/>
        <w:bidi w:val="0"/>
        <w:spacing w:line="560" w:lineRule="exact"/>
        <w:ind w:firstLine="643" w:firstLineChars="200"/>
        <w:textAlignment w:val="auto"/>
        <w:outlineLvl w:val="0"/>
        <w:rPr>
          <w:rFonts w:hint="default" w:ascii="Times New Roman" w:hAnsi="Times New Roman" w:eastAsia="楷体" w:cs="Times New Roman"/>
          <w:b/>
          <w:bCs/>
          <w:sz w:val="32"/>
          <w:szCs w:val="32"/>
        </w:rPr>
      </w:pPr>
      <w:bookmarkStart w:id="103" w:name="_Toc31653"/>
      <w:bookmarkStart w:id="104" w:name="_Toc19760"/>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lang w:val="en-US" w:eastAsia="zh-CN"/>
        </w:rPr>
        <w:t>二</w:t>
      </w: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rPr>
        <w:t>总体绩效目标完成情况分析</w:t>
      </w:r>
      <w:bookmarkEnd w:id="103"/>
      <w:bookmarkEnd w:id="104"/>
    </w:p>
    <w:p>
      <w:pPr>
        <w:pStyle w:val="2"/>
        <w:pageBreakBefore w:val="0"/>
        <w:wordWrap/>
        <w:topLinePunct w:val="0"/>
        <w:bidi w:val="0"/>
        <w:spacing w:line="560" w:lineRule="exact"/>
        <w:ind w:firstLine="640" w:firstLineChars="200"/>
        <w:rPr>
          <w:rFonts w:hint="default" w:ascii="Times New Roman" w:hAnsi="Times New Roman" w:cs="Times New Roman"/>
          <w:highlight w:val="none"/>
        </w:rPr>
      </w:pPr>
      <w:r>
        <w:rPr>
          <w:rFonts w:hint="default" w:ascii="Times New Roman" w:hAnsi="Times New Roman" w:eastAsia="仿宋_GB2312" w:cs="Times New Roman"/>
          <w:sz w:val="32"/>
          <w:szCs w:val="32"/>
        </w:rPr>
        <w:t>项目的实施，</w:t>
      </w:r>
      <w:r>
        <w:rPr>
          <w:rFonts w:hint="default" w:ascii="Times New Roman" w:hAnsi="Times New Roman" w:eastAsia="仿宋_GB2312" w:cs="Times New Roman"/>
          <w:sz w:val="32"/>
          <w:szCs w:val="32"/>
          <w:lang w:val="zh-CN"/>
        </w:rPr>
        <w:t>有效提高公路、水路交通资源利用率、缓解交通拥堵、降低交通污染的重要手段，</w:t>
      </w:r>
      <w:r>
        <w:rPr>
          <w:rFonts w:hint="default" w:ascii="Times New Roman" w:hAnsi="Times New Roman" w:eastAsia="仿宋_GB2312" w:cs="Times New Roman"/>
          <w:sz w:val="32"/>
          <w:szCs w:val="32"/>
        </w:rPr>
        <w:t>消除道路安全隐患，确保确道路安全畅通，交通条件明显改善，方便群众出行及生产、生活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zh-CN"/>
        </w:rPr>
        <w:t>对增强城市功能、统筹城乡发展、促进城乡共</w:t>
      </w:r>
      <w:r>
        <w:rPr>
          <w:rFonts w:hint="default" w:ascii="Times New Roman" w:hAnsi="Times New Roman" w:eastAsia="仿宋_GB2312" w:cs="Times New Roman"/>
          <w:sz w:val="32"/>
          <w:szCs w:val="32"/>
          <w:highlight w:val="none"/>
          <w:lang w:val="zh-CN"/>
        </w:rPr>
        <w:t>同繁荣具有十分重要的作用，给城乡居民的出行带来极大的便利，取得了良好的社会效益，人民群众十分满意</w:t>
      </w:r>
      <w:r>
        <w:rPr>
          <w:rFonts w:hint="default" w:ascii="Times New Roman" w:hAnsi="Times New Roman" w:eastAsia="仿宋_GB2312" w:cs="Times New Roman"/>
          <w:sz w:val="32"/>
          <w:szCs w:val="32"/>
          <w:highlight w:val="none"/>
          <w:lang w:val="zh-CN" w:eastAsia="zh-CN"/>
        </w:rPr>
        <w:t>。</w:t>
      </w:r>
      <w:r>
        <w:rPr>
          <w:rFonts w:hint="default" w:ascii="Times New Roman" w:hAnsi="Times New Roman" w:eastAsia="仿宋_GB2312" w:cs="Times New Roman"/>
          <w:sz w:val="32"/>
          <w:szCs w:val="32"/>
          <w:highlight w:val="none"/>
        </w:rPr>
        <w:t>但2022年该项目产出指标未全部完成，预算执行率</w:t>
      </w:r>
      <w:r>
        <w:rPr>
          <w:rFonts w:hint="default" w:ascii="Times New Roman" w:hAnsi="Times New Roman" w:eastAsia="仿宋_GB2312" w:cs="Times New Roman"/>
          <w:sz w:val="32"/>
          <w:szCs w:val="32"/>
          <w:highlight w:val="none"/>
          <w:lang w:val="en-US" w:eastAsia="zh-CN"/>
        </w:rPr>
        <w:t>73.5%</w:t>
      </w:r>
      <w:r>
        <w:rPr>
          <w:rFonts w:hint="default" w:ascii="Times New Roman" w:hAnsi="Times New Roman" w:eastAsia="仿宋_GB2312" w:cs="Times New Roman"/>
          <w:sz w:val="32"/>
          <w:szCs w:val="32"/>
          <w:highlight w:val="none"/>
        </w:rPr>
        <w:t>。</w:t>
      </w:r>
    </w:p>
    <w:p>
      <w:pPr>
        <w:keepNext w:val="0"/>
        <w:keepLines w:val="0"/>
        <w:pageBreakBefore w:val="0"/>
        <w:kinsoku/>
        <w:wordWrap/>
        <w:overflowPunct/>
        <w:topLinePunct w:val="0"/>
        <w:autoSpaceDE/>
        <w:autoSpaceDN/>
        <w:bidi w:val="0"/>
        <w:spacing w:line="560" w:lineRule="exact"/>
        <w:ind w:firstLine="643" w:firstLineChars="200"/>
        <w:textAlignment w:val="auto"/>
        <w:outlineLvl w:val="0"/>
        <w:rPr>
          <w:rFonts w:hint="default" w:ascii="Times New Roman" w:hAnsi="Times New Roman" w:eastAsia="楷体" w:cs="Times New Roman"/>
          <w:b/>
          <w:bCs/>
          <w:sz w:val="32"/>
          <w:szCs w:val="32"/>
          <w:lang w:val="zh-CN" w:eastAsia="zh-CN"/>
        </w:rPr>
      </w:pPr>
      <w:r>
        <w:rPr>
          <w:rFonts w:hint="default" w:ascii="Times New Roman" w:hAnsi="Times New Roman" w:eastAsia="楷体" w:cs="Times New Roman"/>
          <w:b/>
          <w:bCs/>
          <w:sz w:val="32"/>
          <w:szCs w:val="32"/>
          <w:lang w:val="en-US" w:eastAsia="zh-CN"/>
        </w:rPr>
        <w:t>（三）绩效指标完成情况分析</w:t>
      </w:r>
    </w:p>
    <w:p>
      <w:pPr>
        <w:pStyle w:val="6"/>
        <w:pageBreakBefore w:val="0"/>
        <w:wordWrap/>
        <w:topLinePunct w:val="0"/>
        <w:bidi w:val="0"/>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rPr>
        <w:t>该项目年初预算收入</w:t>
      </w:r>
      <w:r>
        <w:rPr>
          <w:rFonts w:hint="default" w:ascii="Times New Roman" w:hAnsi="Times New Roman" w:eastAsia="仿宋_GB2312" w:cs="Times New Roman"/>
          <w:sz w:val="32"/>
          <w:szCs w:val="32"/>
          <w:lang w:val="en-US" w:eastAsia="zh-CN"/>
        </w:rPr>
        <w:t>300</w:t>
      </w:r>
      <w:r>
        <w:rPr>
          <w:rFonts w:hint="default" w:ascii="Times New Roman" w:hAnsi="Times New Roman" w:eastAsia="仿宋_GB2312" w:cs="Times New Roman"/>
          <w:sz w:val="32"/>
          <w:szCs w:val="32"/>
          <w:lang w:val="zh-CN"/>
        </w:rPr>
        <w:t>万元，</w:t>
      </w:r>
      <w:r>
        <w:rPr>
          <w:rFonts w:hint="default" w:ascii="Times New Roman" w:hAnsi="Times New Roman" w:eastAsia="仿宋_GB2312" w:cs="Times New Roman"/>
          <w:sz w:val="32"/>
          <w:szCs w:val="32"/>
        </w:rPr>
        <w:t>实际申报使用项目资金</w:t>
      </w:r>
      <w:r>
        <w:rPr>
          <w:rFonts w:hint="default" w:ascii="Times New Roman" w:hAnsi="Times New Roman" w:eastAsia="仿宋_GB2312" w:cs="Times New Roman"/>
          <w:sz w:val="32"/>
          <w:szCs w:val="32"/>
          <w:lang w:val="en-US" w:eastAsia="zh-CN"/>
        </w:rPr>
        <w:t>220.5</w:t>
      </w:r>
      <w:r>
        <w:rPr>
          <w:rFonts w:hint="default" w:ascii="Times New Roman" w:hAnsi="Times New Roman" w:eastAsia="仿宋_GB2312" w:cs="Times New Roman"/>
          <w:sz w:val="32"/>
          <w:szCs w:val="32"/>
        </w:rPr>
        <w:t>万元。预算执行率</w:t>
      </w:r>
      <w:r>
        <w:rPr>
          <w:rFonts w:hint="default" w:ascii="Times New Roman" w:hAnsi="Times New Roman" w:eastAsia="仿宋_GB2312" w:cs="Times New Roman"/>
          <w:sz w:val="32"/>
          <w:szCs w:val="32"/>
          <w:lang w:val="en-US" w:eastAsia="zh-CN"/>
        </w:rPr>
        <w:t>73.5</w:t>
      </w:r>
      <w:r>
        <w:rPr>
          <w:rFonts w:hint="default" w:ascii="Times New Roman" w:hAnsi="Times New Roman" w:eastAsia="仿宋_GB2312" w:cs="Times New Roman"/>
          <w:sz w:val="32"/>
          <w:szCs w:val="32"/>
        </w:rPr>
        <w:t>%。</w:t>
      </w:r>
    </w:p>
    <w:tbl>
      <w:tblPr>
        <w:tblStyle w:val="15"/>
        <w:tblpPr w:leftFromText="180" w:rightFromText="180" w:vertAnchor="text" w:horzAnchor="page" w:tblpX="1880" w:tblpY="286"/>
        <w:tblOverlap w:val="never"/>
        <w:tblW w:w="876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03"/>
        <w:gridCol w:w="1350"/>
        <w:gridCol w:w="1527"/>
        <w:gridCol w:w="41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703"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2"/>
                <w:sz w:val="21"/>
                <w:szCs w:val="21"/>
                <w:u w:val="none"/>
                <w:lang w:val="en-US" w:eastAsia="zh-CN" w:bidi="ar-SA"/>
              </w:rPr>
            </w:pPr>
          </w:p>
        </w:tc>
        <w:tc>
          <w:tcPr>
            <w:tcW w:w="7063" w:type="dxa"/>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r>
              <w:rPr>
                <w:rFonts w:hint="default" w:ascii="Times New Roman" w:hAnsi="Times New Roman" w:eastAsia="仿宋_GB2312" w:cs="Times New Roman"/>
                <w:b/>
                <w:bCs/>
                <w:i w:val="0"/>
                <w:iCs w:val="0"/>
                <w:color w:val="000000"/>
                <w:kern w:val="0"/>
                <w:sz w:val="21"/>
                <w:szCs w:val="21"/>
                <w:u w:val="none"/>
                <w:lang w:val="en-US" w:eastAsia="zh-CN" w:bidi="ar"/>
              </w:rPr>
              <w:t>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3" w:type="dxa"/>
            <w:vMerge w:val="restart"/>
            <w:tcBorders>
              <w:top w:val="single" w:color="000000" w:sz="4" w:space="0"/>
              <w:left w:val="single" w:color="000000" w:sz="4" w:space="0"/>
              <w:right w:val="single" w:color="000000" w:sz="4" w:space="0"/>
            </w:tcBorders>
            <w:shd w:val="clear" w:color="EFF2F7" w:fill="EFF2F7"/>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项目绩效指标</w:t>
            </w:r>
          </w:p>
        </w:tc>
        <w:tc>
          <w:tcPr>
            <w:tcW w:w="135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2"/>
                <w:sz w:val="21"/>
                <w:szCs w:val="21"/>
                <w:u w:val="none"/>
                <w:lang w:val="en-US" w:eastAsia="zh-CN" w:bidi="ar-SA"/>
              </w:rPr>
            </w:pPr>
            <w:r>
              <w:rPr>
                <w:rFonts w:hint="default" w:ascii="Times New Roman" w:hAnsi="Times New Roman" w:eastAsia="仿宋_GB2312" w:cs="Times New Roman"/>
                <w:b/>
                <w:bCs/>
                <w:i w:val="0"/>
                <w:iCs w:val="0"/>
                <w:color w:val="000000"/>
                <w:kern w:val="0"/>
                <w:sz w:val="21"/>
                <w:szCs w:val="21"/>
                <w:u w:val="none"/>
                <w:lang w:val="en-US" w:eastAsia="zh-CN" w:bidi="ar"/>
              </w:rPr>
              <w:t>一级指标</w:t>
            </w:r>
          </w:p>
        </w:tc>
        <w:tc>
          <w:tcPr>
            <w:tcW w:w="1527"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2"/>
                <w:sz w:val="21"/>
                <w:szCs w:val="21"/>
                <w:u w:val="none"/>
                <w:lang w:val="en-US" w:eastAsia="zh-CN" w:bidi="ar-SA"/>
              </w:rPr>
            </w:pPr>
            <w:r>
              <w:rPr>
                <w:rFonts w:hint="default" w:ascii="Times New Roman" w:hAnsi="Times New Roman" w:eastAsia="仿宋_GB2312" w:cs="Times New Roman"/>
                <w:b/>
                <w:bCs/>
                <w:i w:val="0"/>
                <w:iCs w:val="0"/>
                <w:color w:val="000000"/>
                <w:kern w:val="0"/>
                <w:sz w:val="21"/>
                <w:szCs w:val="21"/>
                <w:u w:val="none"/>
                <w:lang w:val="en-US" w:eastAsia="zh-CN" w:bidi="ar"/>
              </w:rPr>
              <w:t>二级指标</w:t>
            </w:r>
          </w:p>
        </w:tc>
        <w:tc>
          <w:tcPr>
            <w:tcW w:w="4186"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r>
              <w:rPr>
                <w:rFonts w:hint="default" w:ascii="Times New Roman" w:hAnsi="Times New Roman" w:eastAsia="仿宋_GB2312" w:cs="Times New Roman"/>
                <w:b/>
                <w:bCs/>
                <w:i w:val="0"/>
                <w:iCs w:val="0"/>
                <w:color w:val="000000"/>
                <w:kern w:val="0"/>
                <w:sz w:val="21"/>
                <w:szCs w:val="21"/>
                <w:u w:val="none"/>
                <w:lang w:val="en-US" w:eastAsia="zh-CN" w:bidi="ar"/>
              </w:rPr>
              <w:t>三级指标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59" w:hRule="atLeast"/>
        </w:trPr>
        <w:tc>
          <w:tcPr>
            <w:tcW w:w="1703"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right"/>
              <w:textAlignment w:val="center"/>
              <w:rPr>
                <w:rFonts w:hint="default" w:ascii="Times New Roman" w:hAnsi="Times New Roman" w:eastAsia="仿宋_GB2312" w:cs="Times New Roman"/>
                <w:i w:val="0"/>
                <w:iCs w:val="0"/>
                <w:color w:val="000000"/>
                <w:sz w:val="21"/>
                <w:szCs w:val="21"/>
                <w:u w:val="none"/>
              </w:rPr>
            </w:pP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产出指标</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21"/>
                <w:szCs w:val="21"/>
                <w:u w:val="none"/>
              </w:rPr>
            </w:pPr>
            <w:r>
              <w:rPr>
                <w:rStyle w:val="37"/>
                <w:rFonts w:hint="default" w:ascii="Times New Roman" w:hAnsi="Times New Roman" w:eastAsia="仿宋_GB2312" w:cs="Times New Roman"/>
                <w:sz w:val="21"/>
                <w:szCs w:val="21"/>
                <w:lang w:val="en-US" w:eastAsia="zh-CN" w:bidi="ar"/>
              </w:rPr>
              <w:t>数量指标</w:t>
            </w: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2021年经营性城市公交：46辆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vMerge w:val="continue"/>
            <w:tcBorders>
              <w:left w:val="single" w:color="000000" w:sz="4" w:space="0"/>
              <w:right w:val="single" w:color="000000" w:sz="4" w:space="0"/>
            </w:tcBorders>
            <w:shd w:val="clear" w:color="auto" w:fill="auto"/>
            <w:noWrap/>
            <w:vAlign w:val="center"/>
          </w:tcPr>
          <w:p>
            <w:pPr>
              <w:pageBreakBefore w:val="0"/>
              <w:wordWrap/>
              <w:topLinePunct w:val="0"/>
              <w:bidi w:val="0"/>
              <w:spacing w:line="560" w:lineRule="exact"/>
              <w:jc w:val="right"/>
              <w:rPr>
                <w:rFonts w:hint="default" w:ascii="Times New Roman" w:hAnsi="Times New Roman" w:eastAsia="仿宋_GB2312" w:cs="Times New Roman"/>
                <w:i w:val="0"/>
                <w:iCs w:val="0"/>
                <w:color w:val="000000"/>
                <w:sz w:val="21"/>
                <w:szCs w:val="21"/>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ordWrap/>
              <w:topLinePunct w:val="0"/>
              <w:bidi w:val="0"/>
              <w:spacing w:line="560" w:lineRule="exact"/>
              <w:jc w:val="left"/>
              <w:rPr>
                <w:rFonts w:hint="default" w:ascii="Times New Roman" w:hAnsi="Times New Roman" w:eastAsia="仿宋_GB2312" w:cs="Times New Roman"/>
                <w:i w:val="0"/>
                <w:iCs w:val="0"/>
                <w:color w:val="000000"/>
                <w:sz w:val="21"/>
                <w:szCs w:val="21"/>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21"/>
                <w:szCs w:val="21"/>
                <w:u w:val="none"/>
              </w:rPr>
            </w:pPr>
            <w:r>
              <w:rPr>
                <w:rStyle w:val="37"/>
                <w:rFonts w:hint="default" w:ascii="Times New Roman" w:hAnsi="Times New Roman" w:eastAsia="仿宋_GB2312" w:cs="Times New Roman"/>
                <w:sz w:val="21"/>
                <w:szCs w:val="21"/>
                <w:lang w:val="en-US" w:eastAsia="zh-CN" w:bidi="ar"/>
              </w:rPr>
              <w:t>质量指标</w:t>
            </w: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kern w:val="2"/>
                <w:sz w:val="21"/>
                <w:szCs w:val="21"/>
                <w:u w:val="none"/>
                <w:lang w:val="en-US" w:eastAsia="zh-CN" w:bidi="ar-SA"/>
              </w:rPr>
            </w:pPr>
            <w:r>
              <w:rPr>
                <w:rStyle w:val="37"/>
                <w:rFonts w:hint="default" w:ascii="Times New Roman" w:hAnsi="Times New Roman" w:eastAsia="仿宋_GB2312" w:cs="Times New Roman"/>
                <w:sz w:val="21"/>
                <w:szCs w:val="21"/>
                <w:lang w:val="en-US" w:eastAsia="zh-CN" w:bidi="ar"/>
              </w:rPr>
              <w:t>促进城市公交行业的稳定发展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vMerge w:val="continue"/>
            <w:tcBorders>
              <w:left w:val="single" w:color="000000" w:sz="4" w:space="0"/>
              <w:right w:val="single" w:color="000000" w:sz="4" w:space="0"/>
            </w:tcBorders>
            <w:shd w:val="clear" w:color="auto" w:fill="auto"/>
            <w:noWrap/>
            <w:vAlign w:val="center"/>
          </w:tcPr>
          <w:p>
            <w:pPr>
              <w:pageBreakBefore w:val="0"/>
              <w:wordWrap/>
              <w:topLinePunct w:val="0"/>
              <w:bidi w:val="0"/>
              <w:spacing w:line="560" w:lineRule="exact"/>
              <w:jc w:val="right"/>
              <w:rPr>
                <w:rFonts w:hint="default" w:ascii="Times New Roman" w:hAnsi="Times New Roman" w:eastAsia="仿宋_GB2312" w:cs="Times New Roman"/>
                <w:i w:val="0"/>
                <w:iCs w:val="0"/>
                <w:color w:val="000000"/>
                <w:sz w:val="21"/>
                <w:szCs w:val="21"/>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ordWrap/>
              <w:topLinePunct w:val="0"/>
              <w:bidi w:val="0"/>
              <w:spacing w:line="560" w:lineRule="exact"/>
              <w:jc w:val="left"/>
              <w:rPr>
                <w:rFonts w:hint="default" w:ascii="Times New Roman" w:hAnsi="Times New Roman" w:eastAsia="仿宋_GB2312" w:cs="Times New Roman"/>
                <w:i w:val="0"/>
                <w:iCs w:val="0"/>
                <w:color w:val="000000"/>
                <w:sz w:val="21"/>
                <w:szCs w:val="21"/>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21"/>
                <w:szCs w:val="21"/>
                <w:u w:val="none"/>
              </w:rPr>
            </w:pPr>
            <w:r>
              <w:rPr>
                <w:rStyle w:val="37"/>
                <w:rFonts w:hint="default" w:ascii="Times New Roman" w:hAnsi="Times New Roman" w:eastAsia="仿宋_GB2312" w:cs="Times New Roman"/>
                <w:sz w:val="21"/>
                <w:szCs w:val="21"/>
                <w:lang w:val="en-US" w:eastAsia="zh-CN" w:bidi="ar"/>
              </w:rPr>
              <w:t>时效指标</w:t>
            </w: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kern w:val="2"/>
                <w:sz w:val="21"/>
                <w:szCs w:val="21"/>
                <w:u w:val="none"/>
                <w:lang w:val="en-US" w:eastAsia="zh-CN" w:bidi="ar-SA"/>
              </w:rPr>
            </w:pPr>
            <w:r>
              <w:rPr>
                <w:rStyle w:val="37"/>
                <w:rFonts w:hint="default" w:ascii="Times New Roman" w:hAnsi="Times New Roman" w:eastAsia="仿宋_GB2312" w:cs="Times New Roman"/>
                <w:sz w:val="21"/>
                <w:szCs w:val="21"/>
                <w:lang w:val="en-US" w:eastAsia="zh-CN" w:bidi="ar"/>
              </w:rPr>
              <w:t>2022年12月31日前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vMerge w:val="continue"/>
            <w:tcBorders>
              <w:left w:val="single" w:color="000000" w:sz="4" w:space="0"/>
              <w:right w:val="single" w:color="000000" w:sz="4" w:space="0"/>
            </w:tcBorders>
            <w:shd w:val="clear" w:color="auto" w:fill="auto"/>
            <w:noWrap/>
            <w:vAlign w:val="center"/>
          </w:tcPr>
          <w:p>
            <w:pPr>
              <w:pageBreakBefore w:val="0"/>
              <w:wordWrap/>
              <w:topLinePunct w:val="0"/>
              <w:bidi w:val="0"/>
              <w:spacing w:line="560" w:lineRule="exact"/>
              <w:jc w:val="right"/>
              <w:rPr>
                <w:rFonts w:hint="default" w:ascii="Times New Roman" w:hAnsi="Times New Roman" w:eastAsia="仿宋_GB2312" w:cs="Times New Roman"/>
                <w:i w:val="0"/>
                <w:iCs w:val="0"/>
                <w:color w:val="000000"/>
                <w:sz w:val="21"/>
                <w:szCs w:val="21"/>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ordWrap/>
              <w:topLinePunct w:val="0"/>
              <w:bidi w:val="0"/>
              <w:spacing w:line="560" w:lineRule="exact"/>
              <w:jc w:val="left"/>
              <w:rPr>
                <w:rFonts w:hint="default" w:ascii="Times New Roman" w:hAnsi="Times New Roman" w:eastAsia="仿宋_GB2312" w:cs="Times New Roman"/>
                <w:i w:val="0"/>
                <w:iCs w:val="0"/>
                <w:color w:val="000000"/>
                <w:sz w:val="21"/>
                <w:szCs w:val="21"/>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21"/>
                <w:szCs w:val="21"/>
                <w:u w:val="none"/>
              </w:rPr>
            </w:pPr>
            <w:r>
              <w:rPr>
                <w:rStyle w:val="37"/>
                <w:rFonts w:hint="default" w:ascii="Times New Roman" w:hAnsi="Times New Roman" w:eastAsia="仿宋_GB2312" w:cs="Times New Roman"/>
                <w:sz w:val="21"/>
                <w:szCs w:val="21"/>
                <w:lang w:val="en-US" w:eastAsia="zh-CN" w:bidi="ar"/>
              </w:rPr>
              <w:t>成本指标</w:t>
            </w: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220.5万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tcBorders>
              <w:top w:val="single" w:color="auto" w:sz="4" w:space="0"/>
              <w:left w:val="single" w:color="auto" w:sz="4" w:space="0"/>
              <w:bottom w:val="single" w:color="auto" w:sz="4" w:space="0"/>
              <w:right w:val="single" w:color="auto" w:sz="4" w:space="0"/>
            </w:tcBorders>
            <w:shd w:val="clear" w:color="auto" w:fill="auto"/>
            <w:noWrap/>
            <w:vAlign w:val="center"/>
          </w:tcPr>
          <w:p>
            <w:pPr>
              <w:pageBreakBefore w:val="0"/>
              <w:wordWrap/>
              <w:topLinePunct w:val="0"/>
              <w:bidi w:val="0"/>
              <w:adjustRightInd w:val="0"/>
              <w:snapToGrid w:val="0"/>
              <w:spacing w:line="560" w:lineRule="exact"/>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b/>
                <w:sz w:val="21"/>
                <w:szCs w:val="21"/>
                <w:lang w:val="zh-CN"/>
              </w:rPr>
              <w:t>执行中调整收回</w:t>
            </w:r>
          </w:p>
        </w:tc>
        <w:tc>
          <w:tcPr>
            <w:tcW w:w="7063" w:type="dxa"/>
            <w:gridSpan w:val="3"/>
            <w:tcBorders>
              <w:top w:val="single" w:color="000000" w:sz="4" w:space="0"/>
              <w:left w:val="single" w:color="auto" w:sz="4" w:space="0"/>
              <w:bottom w:val="single" w:color="000000" w:sz="4" w:space="0"/>
              <w:right w:val="single" w:color="000000" w:sz="4" w:space="0"/>
            </w:tcBorders>
            <w:shd w:val="clear" w:color="auto" w:fill="auto"/>
            <w:noWrap/>
            <w:vAlign w:val="center"/>
          </w:tcPr>
          <w:p>
            <w:pPr>
              <w:pageBreakBefore w:val="0"/>
              <w:wordWrap/>
              <w:topLinePunct w:val="0"/>
              <w:bidi w:val="0"/>
              <w:adjustRightInd w:val="0"/>
              <w:snapToGrid w:val="0"/>
              <w:spacing w:line="560" w:lineRule="exact"/>
              <w:jc w:val="center"/>
              <w:rPr>
                <w:rFonts w:hint="default" w:ascii="Times New Roman" w:hAnsi="Times New Roman" w:eastAsia="仿宋_GB2312" w:cs="Times New Roman"/>
                <w:b/>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-79.5万元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tcBorders>
              <w:top w:val="single" w:color="auto" w:sz="4" w:space="0"/>
              <w:left w:val="single" w:color="auto" w:sz="4" w:space="0"/>
              <w:bottom w:val="single" w:color="auto" w:sz="4" w:space="0"/>
              <w:right w:val="single" w:color="auto" w:sz="4" w:space="0"/>
            </w:tcBorders>
            <w:shd w:val="clear" w:color="auto" w:fill="auto"/>
            <w:noWrap/>
            <w:vAlign w:val="center"/>
          </w:tcPr>
          <w:p>
            <w:pPr>
              <w:pageBreakBefore w:val="0"/>
              <w:wordWrap/>
              <w:topLinePunct w:val="0"/>
              <w:bidi w:val="0"/>
              <w:adjustRightInd w:val="0"/>
              <w:snapToGrid w:val="0"/>
              <w:spacing w:line="560" w:lineRule="exact"/>
              <w:jc w:val="center"/>
              <w:rPr>
                <w:rFonts w:hint="default" w:ascii="Times New Roman" w:hAnsi="Times New Roman" w:eastAsia="仿宋_GB2312" w:cs="Times New Roman"/>
                <w:b/>
                <w:sz w:val="21"/>
                <w:szCs w:val="21"/>
                <w:lang w:val="zh-CN"/>
              </w:rPr>
            </w:pPr>
            <w:r>
              <w:rPr>
                <w:rFonts w:hint="default" w:ascii="Times New Roman" w:hAnsi="Times New Roman" w:eastAsia="仿宋_GB2312" w:cs="Times New Roman"/>
                <w:b/>
                <w:sz w:val="21"/>
                <w:szCs w:val="21"/>
                <w:lang w:val="zh-CN"/>
              </w:rPr>
              <w:t>资金结余</w:t>
            </w:r>
          </w:p>
        </w:tc>
        <w:tc>
          <w:tcPr>
            <w:tcW w:w="7063" w:type="dxa"/>
            <w:gridSpan w:val="3"/>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tcBorders>
              <w:top w:val="single" w:color="auto" w:sz="4" w:space="0"/>
              <w:left w:val="single" w:color="auto" w:sz="4" w:space="0"/>
              <w:bottom w:val="single" w:color="auto" w:sz="4" w:space="0"/>
              <w:right w:val="single" w:color="auto" w:sz="4" w:space="0"/>
            </w:tcBorders>
            <w:shd w:val="clear" w:color="auto" w:fill="auto"/>
            <w:noWrap/>
            <w:vAlign w:val="center"/>
          </w:tcPr>
          <w:p>
            <w:pPr>
              <w:pageBreakBefore w:val="0"/>
              <w:wordWrap/>
              <w:topLinePunct w:val="0"/>
              <w:bidi w:val="0"/>
              <w:adjustRightInd w:val="0"/>
              <w:snapToGrid w:val="0"/>
              <w:spacing w:line="560" w:lineRule="exact"/>
              <w:jc w:val="center"/>
              <w:rPr>
                <w:rFonts w:hint="default" w:ascii="Times New Roman" w:hAnsi="Times New Roman" w:eastAsia="仿宋_GB2312" w:cs="Times New Roman"/>
                <w:b/>
                <w:sz w:val="21"/>
                <w:szCs w:val="21"/>
                <w:lang w:val="zh-CN"/>
              </w:rPr>
            </w:pPr>
            <w:r>
              <w:rPr>
                <w:rFonts w:hint="default" w:ascii="Times New Roman" w:hAnsi="Times New Roman" w:eastAsia="仿宋_GB2312" w:cs="Times New Roman"/>
                <w:b/>
                <w:sz w:val="21"/>
                <w:szCs w:val="21"/>
                <w:lang w:val="zh-CN"/>
              </w:rPr>
              <w:t>违规记录</w:t>
            </w:r>
          </w:p>
        </w:tc>
        <w:tc>
          <w:tcPr>
            <w:tcW w:w="7063" w:type="dxa"/>
            <w:gridSpan w:val="3"/>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center"/>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无</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0"/>
        <w:rPr>
          <w:rFonts w:hint="default" w:ascii="Times New Roman" w:hAnsi="Times New Roman" w:eastAsia="楷体" w:cs="Times New Roman"/>
          <w:b/>
          <w:bCs/>
          <w:sz w:val="32"/>
          <w:szCs w:val="32"/>
        </w:rPr>
      </w:pPr>
      <w:bookmarkStart w:id="105" w:name="_Toc30359"/>
      <w:bookmarkStart w:id="106" w:name="_Toc30125"/>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lang w:val="en-US" w:eastAsia="zh-CN"/>
        </w:rPr>
        <w:t>四</w:t>
      </w: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rPr>
        <w:t>项目效益分析</w:t>
      </w:r>
      <w:bookmarkEnd w:id="105"/>
      <w:bookmarkEnd w:id="106"/>
    </w:p>
    <w:tbl>
      <w:tblPr>
        <w:tblStyle w:val="15"/>
        <w:tblW w:w="876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03"/>
        <w:gridCol w:w="1350"/>
        <w:gridCol w:w="1527"/>
        <w:gridCol w:w="41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703"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2"/>
                <w:sz w:val="21"/>
                <w:szCs w:val="21"/>
                <w:u w:val="none"/>
                <w:lang w:val="en-US" w:eastAsia="zh-CN" w:bidi="ar-SA"/>
              </w:rPr>
            </w:pPr>
          </w:p>
        </w:tc>
        <w:tc>
          <w:tcPr>
            <w:tcW w:w="7063" w:type="dxa"/>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r>
              <w:rPr>
                <w:rFonts w:hint="default" w:ascii="Times New Roman" w:hAnsi="Times New Roman" w:eastAsia="仿宋_GB2312" w:cs="Times New Roman"/>
                <w:b/>
                <w:bCs/>
                <w:i w:val="0"/>
                <w:iCs w:val="0"/>
                <w:color w:val="000000"/>
                <w:kern w:val="0"/>
                <w:sz w:val="21"/>
                <w:szCs w:val="21"/>
                <w:u w:val="none"/>
                <w:lang w:val="en-US" w:eastAsia="zh-CN" w:bidi="ar"/>
              </w:rPr>
              <w:t>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3" w:type="dxa"/>
            <w:vMerge w:val="restart"/>
            <w:tcBorders>
              <w:top w:val="single" w:color="000000" w:sz="4" w:space="0"/>
              <w:left w:val="single" w:color="000000" w:sz="4" w:space="0"/>
              <w:right w:val="single" w:color="000000" w:sz="4" w:space="0"/>
            </w:tcBorders>
            <w:shd w:val="clear" w:color="EFF2F7" w:fill="EFF2F7"/>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项目绩效指标</w:t>
            </w:r>
          </w:p>
        </w:tc>
        <w:tc>
          <w:tcPr>
            <w:tcW w:w="135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2"/>
                <w:sz w:val="21"/>
                <w:szCs w:val="21"/>
                <w:u w:val="none"/>
                <w:lang w:val="en-US" w:eastAsia="zh-CN" w:bidi="ar-SA"/>
              </w:rPr>
            </w:pPr>
            <w:r>
              <w:rPr>
                <w:rFonts w:hint="default" w:ascii="Times New Roman" w:hAnsi="Times New Roman" w:eastAsia="仿宋_GB2312" w:cs="Times New Roman"/>
                <w:b/>
                <w:bCs/>
                <w:i w:val="0"/>
                <w:iCs w:val="0"/>
                <w:color w:val="000000"/>
                <w:kern w:val="0"/>
                <w:sz w:val="21"/>
                <w:szCs w:val="21"/>
                <w:u w:val="none"/>
                <w:lang w:val="en-US" w:eastAsia="zh-CN" w:bidi="ar"/>
              </w:rPr>
              <w:t>一级指标</w:t>
            </w:r>
          </w:p>
        </w:tc>
        <w:tc>
          <w:tcPr>
            <w:tcW w:w="1527"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2"/>
                <w:sz w:val="21"/>
                <w:szCs w:val="21"/>
                <w:u w:val="none"/>
                <w:lang w:val="en-US" w:eastAsia="zh-CN" w:bidi="ar-SA"/>
              </w:rPr>
            </w:pPr>
            <w:r>
              <w:rPr>
                <w:rFonts w:hint="default" w:ascii="Times New Roman" w:hAnsi="Times New Roman" w:eastAsia="仿宋_GB2312" w:cs="Times New Roman"/>
                <w:b/>
                <w:bCs/>
                <w:i w:val="0"/>
                <w:iCs w:val="0"/>
                <w:color w:val="000000"/>
                <w:kern w:val="0"/>
                <w:sz w:val="21"/>
                <w:szCs w:val="21"/>
                <w:u w:val="none"/>
                <w:lang w:val="en-US" w:eastAsia="zh-CN" w:bidi="ar"/>
              </w:rPr>
              <w:t>二级指标</w:t>
            </w:r>
          </w:p>
        </w:tc>
        <w:tc>
          <w:tcPr>
            <w:tcW w:w="4186"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pageBreakBefore w:val="0"/>
              <w:widowControl/>
              <w:suppressLineNumbers w:val="0"/>
              <w:wordWrap/>
              <w:topLinePunct w:val="0"/>
              <w:bidi w:val="0"/>
              <w:spacing w:line="560" w:lineRule="exact"/>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r>
              <w:rPr>
                <w:rFonts w:hint="default" w:ascii="Times New Roman" w:hAnsi="Times New Roman" w:eastAsia="仿宋_GB2312" w:cs="Times New Roman"/>
                <w:b/>
                <w:bCs/>
                <w:i w:val="0"/>
                <w:iCs w:val="0"/>
                <w:color w:val="000000"/>
                <w:kern w:val="0"/>
                <w:sz w:val="21"/>
                <w:szCs w:val="21"/>
                <w:u w:val="none"/>
                <w:lang w:val="en-US" w:eastAsia="zh-CN" w:bidi="ar"/>
              </w:rPr>
              <w:t>三级指标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vMerge w:val="continue"/>
            <w:tcBorders>
              <w:left w:val="single" w:color="000000" w:sz="4" w:space="0"/>
              <w:right w:val="single" w:color="000000" w:sz="4" w:space="0"/>
            </w:tcBorders>
            <w:shd w:val="clear" w:color="auto" w:fill="auto"/>
            <w:noWrap/>
            <w:vAlign w:val="center"/>
          </w:tcPr>
          <w:p>
            <w:pPr>
              <w:pageBreakBefore w:val="0"/>
              <w:wordWrap/>
              <w:topLinePunct w:val="0"/>
              <w:bidi w:val="0"/>
              <w:spacing w:line="560" w:lineRule="exact"/>
              <w:jc w:val="right"/>
              <w:rPr>
                <w:rFonts w:hint="default" w:ascii="Times New Roman" w:hAnsi="Times New Roman" w:eastAsia="仿宋_GB2312" w:cs="Times New Roman"/>
                <w:i w:val="0"/>
                <w:iCs w:val="0"/>
                <w:color w:val="000000"/>
                <w:sz w:val="21"/>
                <w:szCs w:val="21"/>
                <w:u w:val="none"/>
              </w:rPr>
            </w:pPr>
          </w:p>
        </w:tc>
        <w:tc>
          <w:tcPr>
            <w:tcW w:w="1350"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效益指标</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sz w:val="21"/>
                <w:szCs w:val="21"/>
                <w:u w:val="none"/>
              </w:rPr>
            </w:pPr>
            <w:r>
              <w:rPr>
                <w:rStyle w:val="37"/>
                <w:rFonts w:hint="default" w:ascii="Times New Roman" w:hAnsi="Times New Roman" w:eastAsia="仿宋_GB2312" w:cs="Times New Roman"/>
                <w:sz w:val="21"/>
                <w:szCs w:val="21"/>
                <w:lang w:val="en-US" w:eastAsia="zh-CN" w:bidi="ar"/>
              </w:rPr>
              <w:t>社会效益指标</w:t>
            </w: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解决客运供需矛盾，稳定道路运输行业秩序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vMerge w:val="continue"/>
            <w:tcBorders>
              <w:left w:val="single" w:color="000000" w:sz="4" w:space="0"/>
              <w:right w:val="single" w:color="000000" w:sz="4" w:space="0"/>
            </w:tcBorders>
            <w:shd w:val="clear" w:color="auto" w:fill="auto"/>
            <w:noWrap/>
            <w:vAlign w:val="center"/>
          </w:tcPr>
          <w:p>
            <w:pPr>
              <w:pageBreakBefore w:val="0"/>
              <w:wordWrap/>
              <w:topLinePunct w:val="0"/>
              <w:bidi w:val="0"/>
              <w:spacing w:line="560" w:lineRule="exact"/>
              <w:jc w:val="right"/>
              <w:rPr>
                <w:rFonts w:hint="default" w:ascii="Times New Roman" w:hAnsi="Times New Roman" w:eastAsia="仿宋_GB2312" w:cs="Times New Roman"/>
                <w:i w:val="0"/>
                <w:iCs w:val="0"/>
                <w:color w:val="000000"/>
                <w:sz w:val="21"/>
                <w:szCs w:val="21"/>
                <w:u w:val="none"/>
              </w:rPr>
            </w:pPr>
          </w:p>
        </w:tc>
        <w:tc>
          <w:tcPr>
            <w:tcW w:w="1350"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经济效益</w:t>
            </w: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推动地方经济的提升，</w:t>
            </w:r>
            <w:r>
              <w:rPr>
                <w:rStyle w:val="37"/>
                <w:rFonts w:hint="default" w:ascii="Times New Roman" w:hAnsi="Times New Roman" w:eastAsia="仿宋_GB2312" w:cs="Times New Roman"/>
                <w:sz w:val="21"/>
                <w:szCs w:val="21"/>
                <w:lang w:val="zh-CN" w:eastAsia="zh-CN" w:bidi="ar"/>
              </w:rPr>
              <w:t>促进城乡共同繁荣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vMerge w:val="continue"/>
            <w:tcBorders>
              <w:left w:val="single" w:color="000000" w:sz="4" w:space="0"/>
              <w:right w:val="single" w:color="000000" w:sz="4" w:space="0"/>
            </w:tcBorders>
            <w:shd w:val="clear" w:color="auto" w:fill="auto"/>
            <w:noWrap/>
            <w:vAlign w:val="center"/>
          </w:tcPr>
          <w:p>
            <w:pPr>
              <w:pageBreakBefore w:val="0"/>
              <w:wordWrap/>
              <w:topLinePunct w:val="0"/>
              <w:bidi w:val="0"/>
              <w:spacing w:line="560" w:lineRule="exact"/>
              <w:jc w:val="right"/>
              <w:rPr>
                <w:rFonts w:hint="default" w:ascii="Times New Roman" w:hAnsi="Times New Roman" w:eastAsia="仿宋_GB2312" w:cs="Times New Roman"/>
                <w:i w:val="0"/>
                <w:iCs w:val="0"/>
                <w:color w:val="000000"/>
                <w:sz w:val="21"/>
                <w:szCs w:val="21"/>
                <w:u w:val="none"/>
              </w:rPr>
            </w:pPr>
          </w:p>
        </w:tc>
        <w:tc>
          <w:tcPr>
            <w:tcW w:w="1350"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生态效益</w:t>
            </w: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打造绿色交通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03" w:type="dxa"/>
            <w:vMerge w:val="continue"/>
            <w:tcBorders>
              <w:left w:val="single" w:color="000000" w:sz="4" w:space="0"/>
              <w:right w:val="single" w:color="000000" w:sz="4" w:space="0"/>
            </w:tcBorders>
            <w:shd w:val="clear" w:color="auto" w:fill="auto"/>
            <w:noWrap/>
            <w:vAlign w:val="center"/>
          </w:tcPr>
          <w:p>
            <w:pPr>
              <w:pageBreakBefore w:val="0"/>
              <w:wordWrap/>
              <w:topLinePunct w:val="0"/>
              <w:bidi w:val="0"/>
              <w:spacing w:line="560" w:lineRule="exact"/>
              <w:jc w:val="right"/>
              <w:rPr>
                <w:rFonts w:hint="default" w:ascii="Times New Roman" w:hAnsi="Times New Roman" w:eastAsia="仿宋_GB2312" w:cs="Times New Roman"/>
                <w:i w:val="0"/>
                <w:iCs w:val="0"/>
                <w:color w:val="000000"/>
                <w:sz w:val="21"/>
                <w:szCs w:val="21"/>
                <w:u w:val="none"/>
              </w:rPr>
            </w:pPr>
          </w:p>
        </w:tc>
        <w:tc>
          <w:tcPr>
            <w:tcW w:w="1350"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可持续性影响</w:t>
            </w: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wordWrap/>
              <w:topLinePunct w:val="0"/>
              <w:bidi w:val="0"/>
              <w:spacing w:line="560" w:lineRule="exact"/>
              <w:jc w:val="left"/>
              <w:textAlignment w:val="center"/>
              <w:rPr>
                <w:rStyle w:val="37"/>
                <w:rFonts w:hint="default" w:ascii="Times New Roman" w:hAnsi="Times New Roman" w:eastAsia="仿宋_GB2312" w:cs="Times New Roman"/>
                <w:sz w:val="21"/>
                <w:szCs w:val="21"/>
                <w:lang w:val="en-US" w:eastAsia="zh-CN" w:bidi="ar"/>
              </w:rPr>
            </w:pPr>
            <w:r>
              <w:rPr>
                <w:rStyle w:val="37"/>
                <w:rFonts w:hint="default" w:ascii="Times New Roman" w:hAnsi="Times New Roman" w:eastAsia="仿宋_GB2312" w:cs="Times New Roman"/>
                <w:sz w:val="21"/>
                <w:szCs w:val="21"/>
                <w:lang w:val="en-US" w:eastAsia="zh-CN" w:bidi="ar"/>
              </w:rPr>
              <w:t>保障了交通工作持续有效开展，行业监督、管理效能明显提高</w:t>
            </w:r>
          </w:p>
        </w:tc>
      </w:tr>
    </w:tbl>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cs="Times New Roman"/>
          <w:sz w:val="32"/>
          <w:szCs w:val="32"/>
        </w:rPr>
      </w:pPr>
      <w:r>
        <w:rPr>
          <w:rFonts w:hint="default" w:ascii="Times New Roman" w:hAnsi="Times New Roman" w:eastAsia="黑体" w:cs="Times New Roman"/>
          <w:bCs/>
          <w:sz w:val="32"/>
          <w:szCs w:val="32"/>
        </w:rPr>
        <w:t>三、偏离绩效目标的原因和下一步改进措施</w:t>
      </w:r>
    </w:p>
    <w:p>
      <w:pPr>
        <w:pStyle w:val="2"/>
        <w:pageBreakBefore w:val="0"/>
        <w:wordWrap/>
        <w:topLinePunct w:val="0"/>
        <w:bidi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预算执行未完成，预算执行率</w:t>
      </w:r>
      <w:r>
        <w:rPr>
          <w:rFonts w:hint="default" w:ascii="Times New Roman" w:hAnsi="Times New Roman" w:eastAsia="仿宋_GB2312" w:cs="Times New Roman"/>
          <w:color w:val="000000"/>
          <w:sz w:val="32"/>
          <w:szCs w:val="32"/>
          <w:lang w:val="en-US" w:eastAsia="zh-CN"/>
        </w:rPr>
        <w:t>73.5%</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该项目属公路运输</w:t>
      </w:r>
      <w:r>
        <w:rPr>
          <w:rFonts w:hint="default" w:ascii="Times New Roman" w:hAnsi="Times New Roman" w:eastAsia="仿宋_GB2312" w:cs="Times New Roman"/>
          <w:kern w:val="2"/>
          <w:sz w:val="32"/>
          <w:szCs w:val="32"/>
          <w:lang w:val="zh-CN" w:eastAsia="zh-CN" w:bidi="ar-SA"/>
        </w:rPr>
        <w:t>管理类项目</w:t>
      </w:r>
      <w:r>
        <w:rPr>
          <w:rFonts w:hint="default" w:ascii="Times New Roman" w:hAnsi="Times New Roman" w:eastAsia="仿宋_GB2312" w:cs="Times New Roman"/>
          <w:color w:val="000000"/>
          <w:sz w:val="32"/>
          <w:szCs w:val="32"/>
          <w:lang w:eastAsia="zh-CN"/>
        </w:rPr>
        <w:t>，年初按经营性城市公交车</w:t>
      </w:r>
      <w:r>
        <w:rPr>
          <w:rFonts w:hint="default" w:ascii="Times New Roman" w:hAnsi="Times New Roman" w:eastAsia="仿宋_GB2312" w:cs="Times New Roman"/>
          <w:color w:val="000000"/>
          <w:sz w:val="32"/>
          <w:szCs w:val="32"/>
          <w:lang w:val="en-US" w:eastAsia="zh-CN"/>
        </w:rPr>
        <w:t>50辆，每辆6万预算，在执行过程中有17辆</w:t>
      </w:r>
      <w:r>
        <w:rPr>
          <w:rFonts w:hint="default" w:ascii="Times New Roman" w:hAnsi="Times New Roman" w:eastAsia="仿宋_GB2312" w:cs="Times New Roman"/>
          <w:kern w:val="2"/>
          <w:sz w:val="32"/>
          <w:szCs w:val="32"/>
          <w:lang w:val="en-US" w:eastAsia="zh-CN" w:bidi="ar-SA"/>
        </w:rPr>
        <w:t>经营性城市公交报废下线（</w:t>
      </w:r>
      <w:r>
        <w:rPr>
          <w:rFonts w:hint="default" w:ascii="Times New Roman" w:hAnsi="Times New Roman" w:eastAsia="仿宋_GB2312" w:cs="Times New Roman"/>
          <w:color w:val="000000"/>
          <w:sz w:val="32"/>
          <w:szCs w:val="32"/>
          <w:lang w:val="en-US" w:eastAsia="zh-CN"/>
        </w:rPr>
        <w:t>5月10辆、</w:t>
      </w:r>
      <w:r>
        <w:rPr>
          <w:rFonts w:hint="default" w:ascii="Times New Roman" w:hAnsi="Times New Roman" w:eastAsia="仿宋_GB2312" w:cs="Times New Roman"/>
          <w:kern w:val="2"/>
          <w:sz w:val="32"/>
          <w:szCs w:val="32"/>
          <w:lang w:val="en-US" w:eastAsia="zh-CN" w:bidi="ar-SA"/>
        </w:rPr>
        <w:t>9月5辆、10月1辆、12月1辆），</w:t>
      </w:r>
      <w:r>
        <w:rPr>
          <w:rFonts w:hint="default" w:ascii="Times New Roman" w:hAnsi="Times New Roman" w:eastAsia="仿宋_GB2312" w:cs="Times New Roman"/>
          <w:color w:val="000000"/>
          <w:sz w:val="32"/>
          <w:szCs w:val="32"/>
          <w:lang w:val="en-US" w:eastAsia="zh-CN"/>
        </w:rPr>
        <w:t>实际补贴</w:t>
      </w:r>
      <w:r>
        <w:rPr>
          <w:rFonts w:hint="default" w:ascii="Times New Roman" w:hAnsi="Times New Roman" w:eastAsia="仿宋_GB2312" w:cs="Times New Roman"/>
          <w:kern w:val="2"/>
          <w:sz w:val="32"/>
          <w:szCs w:val="32"/>
          <w:lang w:val="en-US" w:eastAsia="zh-CN" w:bidi="ar-SA"/>
        </w:rPr>
        <w:t>经营性城市公交46辆(实际在册时间465个月)，合计232.5万</w:t>
      </w:r>
      <w:r>
        <w:rPr>
          <w:rFonts w:hint="default" w:ascii="Times New Roman" w:hAnsi="Times New Roman" w:eastAsia="仿宋_GB2312" w:cs="Times New Roman"/>
          <w:color w:val="000000"/>
          <w:sz w:val="32"/>
          <w:szCs w:val="32"/>
          <w:lang w:val="en-US" w:eastAsia="zh-CN"/>
        </w:rPr>
        <w:t>，其中12万在省级下达2021年节能减排补助资金中列支，</w:t>
      </w:r>
      <w:r>
        <w:rPr>
          <w:rFonts w:hint="default" w:ascii="Times New Roman" w:hAnsi="Times New Roman" w:eastAsia="仿宋_GB2312" w:cs="Times New Roman"/>
          <w:color w:val="000000"/>
          <w:sz w:val="32"/>
          <w:szCs w:val="32"/>
          <w:highlight w:val="none"/>
        </w:rPr>
        <w:t>导致项目未实施完毕。</w:t>
      </w:r>
      <w:r>
        <w:rPr>
          <w:rFonts w:hint="default" w:ascii="Times New Roman" w:hAnsi="Times New Roman" w:eastAsia="仿宋_GB2312" w:cs="Times New Roman"/>
          <w:color w:val="000000"/>
          <w:sz w:val="32"/>
          <w:szCs w:val="32"/>
          <w:lang w:val="zh-CN"/>
        </w:rPr>
        <w:t>发现的主要问题：无。下一步改进措施：无。</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四、绩效自评结果拟应用和公开情况</w:t>
      </w:r>
    </w:p>
    <w:p>
      <w:pPr>
        <w:pStyle w:val="2"/>
        <w:pageBreakBefore w:val="0"/>
        <w:wordWrap/>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从总体上看，该项目政策依据充分，项目的设立经过严格的评估论证，与部门职责相适应；项目规划符合年度目标；项目资金使用符合相关财务管理的规定；实施程序符合项目方案。经自评，</w:t>
      </w:r>
      <w:r>
        <w:rPr>
          <w:rFonts w:hint="default" w:ascii="Times New Roman" w:hAnsi="Times New Roman" w:eastAsia="仿宋_GB2312" w:cs="Times New Roman"/>
          <w:kern w:val="2"/>
          <w:sz w:val="32"/>
          <w:szCs w:val="32"/>
          <w:lang w:val="zh-CN" w:eastAsia="zh-CN" w:bidi="ar-SA"/>
        </w:rPr>
        <w:t>城市公交运营补贴</w:t>
      </w:r>
      <w:r>
        <w:rPr>
          <w:rFonts w:hint="default" w:ascii="Times New Roman" w:hAnsi="Times New Roman" w:eastAsia="仿宋_GB2312" w:cs="Times New Roman"/>
          <w:sz w:val="32"/>
          <w:szCs w:val="32"/>
        </w:rPr>
        <w:t>项目自评得分</w:t>
      </w:r>
      <w:r>
        <w:rPr>
          <w:rFonts w:hint="default" w:ascii="Times New Roman" w:hAnsi="Times New Roman" w:eastAsia="仿宋_GB2312" w:cs="Times New Roman"/>
          <w:sz w:val="32"/>
          <w:szCs w:val="32"/>
          <w:lang w:val="en-US" w:eastAsia="zh-CN"/>
        </w:rPr>
        <w:t>99</w:t>
      </w:r>
      <w:r>
        <w:rPr>
          <w:rFonts w:hint="default" w:ascii="Times New Roman" w:hAnsi="Times New Roman" w:eastAsia="仿宋_GB2312" w:cs="Times New Roman"/>
          <w:sz w:val="32"/>
          <w:szCs w:val="32"/>
        </w:rPr>
        <w:t>分，评价等级为“优 ”。2023年该项目继续使用，预计安排预算</w:t>
      </w:r>
      <w:r>
        <w:rPr>
          <w:rFonts w:hint="default" w:ascii="Times New Roman" w:hAnsi="Times New Roman" w:eastAsia="仿宋_GB2312" w:cs="Times New Roman"/>
          <w:sz w:val="32"/>
          <w:szCs w:val="32"/>
          <w:lang w:val="en-US" w:eastAsia="zh-CN"/>
        </w:rPr>
        <w:t>300</w:t>
      </w:r>
      <w:r>
        <w:rPr>
          <w:rFonts w:hint="default" w:ascii="Times New Roman" w:hAnsi="Times New Roman" w:eastAsia="仿宋_GB2312" w:cs="Times New Roman"/>
          <w:sz w:val="32"/>
          <w:szCs w:val="32"/>
        </w:rPr>
        <w:t>万元。项目自评结果按规定时间于政府网站公开。</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五、其他需要说明的问题</w:t>
      </w:r>
    </w:p>
    <w:p>
      <w:pPr>
        <w:pageBreakBefore w:val="0"/>
        <w:wordWrap/>
        <w:topLinePunct w:val="0"/>
        <w:bidi w:val="0"/>
        <w:spacing w:line="560" w:lineRule="exact"/>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无。</w:t>
      </w:r>
    </w:p>
    <w:p>
      <w:pPr>
        <w:pStyle w:val="2"/>
        <w:pageBreakBefore w:val="0"/>
        <w:wordWrap/>
        <w:topLinePunct w:val="0"/>
        <w:bidi w:val="0"/>
        <w:spacing w:line="560" w:lineRule="exact"/>
        <w:jc w:val="center"/>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spacing w:val="1"/>
          <w:sz w:val="32"/>
          <w:szCs w:val="32"/>
          <w:lang w:val="zh-CN" w:eastAsia="zh-CN"/>
        </w:rPr>
        <w:t>城市公交运营补贴</w:t>
      </w:r>
      <w:r>
        <w:rPr>
          <w:rFonts w:hint="default" w:ascii="Times New Roman" w:hAnsi="Times New Roman" w:eastAsia="黑体" w:cs="Times New Roman"/>
          <w:spacing w:val="1"/>
          <w:sz w:val="32"/>
          <w:szCs w:val="32"/>
        </w:rPr>
        <w:t>项目支出</w:t>
      </w:r>
      <w:r>
        <w:rPr>
          <w:rFonts w:hint="default" w:ascii="Times New Roman" w:hAnsi="Times New Roman" w:eastAsia="黑体" w:cs="Times New Roman"/>
          <w:spacing w:val="1"/>
          <w:sz w:val="32"/>
          <w:szCs w:val="32"/>
          <w:lang w:eastAsia="zh-CN"/>
        </w:rPr>
        <w:t>得分表</w:t>
      </w:r>
    </w:p>
    <w:tbl>
      <w:tblPr>
        <w:tblStyle w:val="16"/>
        <w:tblW w:w="45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2"/>
        <w:gridCol w:w="1475"/>
        <w:gridCol w:w="1635"/>
        <w:gridCol w:w="1532"/>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3155" w:type="pct"/>
            <w:gridSpan w:val="3"/>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绩效指标</w:t>
            </w:r>
          </w:p>
        </w:tc>
        <w:tc>
          <w:tcPr>
            <w:tcW w:w="994"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指标分值</w:t>
            </w:r>
          </w:p>
        </w:tc>
        <w:tc>
          <w:tcPr>
            <w:tcW w:w="850"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137"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一级指标</w:t>
            </w:r>
          </w:p>
        </w:tc>
        <w:tc>
          <w:tcPr>
            <w:tcW w:w="957"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二级指标</w:t>
            </w: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三级指标</w:t>
            </w:r>
          </w:p>
        </w:tc>
        <w:tc>
          <w:tcPr>
            <w:tcW w:w="994"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850"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137"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通用指标</w:t>
            </w:r>
          </w:p>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（30分）</w:t>
            </w:r>
          </w:p>
        </w:tc>
        <w:tc>
          <w:tcPr>
            <w:tcW w:w="957"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项目决策</w:t>
            </w: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程序严密</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规划合理</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项目实施</w:t>
            </w: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分配合理</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使用合规</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执行有效</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完成结果</w:t>
            </w: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预算完成</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目标完成</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违规记录</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2</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137"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共性指标</w:t>
            </w:r>
          </w:p>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（20分）</w:t>
            </w:r>
          </w:p>
        </w:tc>
        <w:tc>
          <w:tcPr>
            <w:tcW w:w="957"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项目效果</w:t>
            </w: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区域均衡性</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6</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对象公平性</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8</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社会满意度</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6</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137" w:type="pct"/>
            <w:vMerge w:val="restar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特性指标</w:t>
            </w:r>
          </w:p>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（50分）</w:t>
            </w:r>
          </w:p>
        </w:tc>
        <w:tc>
          <w:tcPr>
            <w:tcW w:w="957"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基础管理</w:t>
            </w: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审核把关</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25</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137" w:type="pct"/>
            <w:vMerge w:val="continue"/>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p>
        </w:tc>
        <w:tc>
          <w:tcPr>
            <w:tcW w:w="957"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社会效益</w:t>
            </w:r>
          </w:p>
        </w:tc>
        <w:tc>
          <w:tcPr>
            <w:tcW w:w="1059"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资金使用率</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25</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3155" w:type="pct"/>
            <w:gridSpan w:val="3"/>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合计</w:t>
            </w:r>
          </w:p>
        </w:tc>
        <w:tc>
          <w:tcPr>
            <w:tcW w:w="994"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100</w:t>
            </w:r>
          </w:p>
        </w:tc>
        <w:tc>
          <w:tcPr>
            <w:tcW w:w="850" w:type="pct"/>
            <w:vAlign w:val="center"/>
          </w:tcPr>
          <w:p>
            <w:pPr>
              <w:pStyle w:val="2"/>
              <w:pageBreakBefore w:val="0"/>
              <w:wordWrap/>
              <w:topLinePunct w:val="0"/>
              <w:bidi w:val="0"/>
              <w:spacing w:line="560" w:lineRule="exact"/>
              <w:jc w:val="center"/>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1"/>
                <w:szCs w:val="21"/>
                <w:vertAlign w:val="baseline"/>
                <w:lang w:val="en-US" w:eastAsia="zh-CN" w:bidi="ar-SA"/>
              </w:rPr>
              <w:t>99</w:t>
            </w:r>
          </w:p>
        </w:tc>
      </w:tr>
    </w:tbl>
    <w:p>
      <w:pPr>
        <w:pStyle w:val="2"/>
        <w:pageBreakBefore w:val="0"/>
        <w:wordWrap/>
        <w:topLinePunct w:val="0"/>
        <w:bidi w:val="0"/>
        <w:spacing w:line="560" w:lineRule="exact"/>
        <w:rPr>
          <w:rFonts w:hint="default" w:ascii="Times New Roman" w:hAnsi="Times New Roman" w:eastAsia="仿宋_GB2312" w:cs="Times New Roman"/>
          <w:kern w:val="2"/>
          <w:sz w:val="32"/>
          <w:szCs w:val="32"/>
          <w:lang w:val="en-US" w:eastAsia="zh-CN" w:bidi="ar-SA"/>
        </w:rPr>
      </w:pPr>
    </w:p>
    <w:p>
      <w:pPr>
        <w:pStyle w:val="2"/>
        <w:pageBreakBefore w:val="0"/>
        <w:wordWrap/>
        <w:topLinePunct w:val="0"/>
        <w:bidi w:val="0"/>
        <w:spacing w:line="560" w:lineRule="exact"/>
        <w:rPr>
          <w:rFonts w:hint="default" w:ascii="Times New Roman" w:hAnsi="Times New Roman" w:eastAsia="仿宋_GB2312" w:cs="Times New Roman"/>
          <w:kern w:val="2"/>
          <w:sz w:val="32"/>
          <w:szCs w:val="32"/>
          <w:lang w:val="en-US" w:eastAsia="zh-CN" w:bidi="ar-SA"/>
        </w:rPr>
      </w:pPr>
    </w:p>
    <w:p>
      <w:pPr>
        <w:pStyle w:val="2"/>
        <w:pageBreakBefore w:val="0"/>
        <w:wordWrap/>
        <w:topLinePunct w:val="0"/>
        <w:bidi w:val="0"/>
        <w:spacing w:line="560" w:lineRule="exact"/>
        <w:rPr>
          <w:rFonts w:hint="default" w:ascii="Times New Roman" w:hAnsi="Times New Roman" w:eastAsia="仿宋_GB2312" w:cs="Times New Roman"/>
          <w:kern w:val="2"/>
          <w:sz w:val="32"/>
          <w:szCs w:val="32"/>
          <w:lang w:val="en-US" w:eastAsia="zh-CN" w:bidi="ar-SA"/>
        </w:rPr>
      </w:pPr>
    </w:p>
    <w:p>
      <w:pPr>
        <w:pStyle w:val="21"/>
        <w:pageBreakBefore w:val="0"/>
        <w:wordWrap/>
        <w:topLinePunct w:val="0"/>
        <w:bidi w:val="0"/>
        <w:spacing w:line="560" w:lineRule="exact"/>
        <w:rPr>
          <w:rStyle w:val="30"/>
          <w:rFonts w:hint="default" w:ascii="Times New Roman" w:hAnsi="Times New Roman" w:eastAsia="黑体" w:cs="Times New Roman"/>
          <w:b w:val="0"/>
          <w:color w:val="auto"/>
          <w:highlight w:val="none"/>
        </w:rPr>
      </w:pPr>
    </w:p>
    <w:p>
      <w:pPr>
        <w:pStyle w:val="21"/>
        <w:pageBreakBefore w:val="0"/>
        <w:wordWrap/>
        <w:topLinePunct w:val="0"/>
        <w:bidi w:val="0"/>
        <w:spacing w:line="560" w:lineRule="exact"/>
        <w:rPr>
          <w:rStyle w:val="30"/>
          <w:rFonts w:hint="default" w:ascii="Times New Roman" w:hAnsi="Times New Roman" w:eastAsia="黑体" w:cs="Times New Roman"/>
          <w:b w:val="0"/>
          <w:color w:val="auto"/>
          <w:highlight w:val="none"/>
        </w:rPr>
      </w:pPr>
    </w:p>
    <w:p>
      <w:pPr>
        <w:pageBreakBefore w:val="0"/>
        <w:widowControl/>
        <w:wordWrap/>
        <w:topLinePunct w:val="0"/>
        <w:bidi w:val="0"/>
        <w:spacing w:line="560" w:lineRule="exact"/>
        <w:jc w:val="left"/>
        <w:rPr>
          <w:rStyle w:val="30"/>
          <w:rFonts w:hint="default" w:ascii="Times New Roman" w:hAnsi="Times New Roman" w:eastAsia="黑体" w:cs="Times New Roman"/>
          <w:b w:val="0"/>
          <w:color w:val="auto"/>
          <w:highlight w:val="none"/>
        </w:rPr>
      </w:pPr>
      <w:r>
        <w:rPr>
          <w:rStyle w:val="30"/>
          <w:rFonts w:hint="default" w:ascii="Times New Roman" w:hAnsi="Times New Roman" w:eastAsia="黑体" w:cs="Times New Roman"/>
          <w:b w:val="0"/>
          <w:color w:val="auto"/>
          <w:highlight w:val="none"/>
        </w:rPr>
        <w:br w:type="page"/>
      </w:r>
    </w:p>
    <w:p>
      <w:pPr>
        <w:pageBreakBefore w:val="0"/>
        <w:wordWrap/>
        <w:topLinePunct w:val="0"/>
        <w:bidi w:val="0"/>
        <w:spacing w:line="560" w:lineRule="exact"/>
        <w:jc w:val="center"/>
        <w:outlineLvl w:val="0"/>
        <w:rPr>
          <w:rFonts w:hint="default" w:ascii="Times New Roman" w:hAnsi="Times New Roman" w:eastAsia="仿宋" w:cs="Times New Roman"/>
          <w:b w:val="0"/>
          <w:color w:val="auto"/>
          <w:sz w:val="32"/>
          <w:szCs w:val="32"/>
          <w:highlight w:val="none"/>
        </w:rPr>
      </w:pPr>
      <w:bookmarkStart w:id="107" w:name="_Toc12253"/>
      <w:bookmarkStart w:id="108" w:name="_Toc15396618"/>
      <w:r>
        <w:rPr>
          <w:rFonts w:hint="default" w:ascii="Times New Roman" w:hAnsi="Times New Roman" w:eastAsia="黑体" w:cs="Times New Roman"/>
          <w:color w:val="auto"/>
          <w:sz w:val="32"/>
          <w:szCs w:val="32"/>
          <w:highlight w:val="none"/>
        </w:rPr>
        <w:t>第</w:t>
      </w:r>
      <w:r>
        <w:rPr>
          <w:rStyle w:val="30"/>
          <w:rFonts w:hint="default" w:ascii="Times New Roman" w:hAnsi="Times New Roman" w:eastAsia="黑体" w:cs="Times New Roman"/>
          <w:b w:val="0"/>
          <w:color w:val="auto"/>
          <w:sz w:val="32"/>
          <w:szCs w:val="32"/>
          <w:highlight w:val="none"/>
        </w:rPr>
        <w:t>五部分 附表</w:t>
      </w:r>
      <w:bookmarkEnd w:id="76"/>
      <w:bookmarkEnd w:id="107"/>
      <w:bookmarkEnd w:id="108"/>
      <w:bookmarkStart w:id="109" w:name="_Toc15396619"/>
    </w:p>
    <w:p>
      <w:pPr>
        <w:pStyle w:val="4"/>
        <w:pageBreakBefore w:val="0"/>
        <w:wordWrap/>
        <w:topLinePunct w:val="0"/>
        <w:bidi w:val="0"/>
        <w:spacing w:line="560" w:lineRule="exact"/>
        <w:rPr>
          <w:rFonts w:hint="default" w:ascii="Times New Roman" w:hAnsi="Times New Roman" w:eastAsia="黑体" w:cs="Times New Roman"/>
          <w:color w:val="auto"/>
          <w:highlight w:val="none"/>
        </w:rPr>
      </w:pPr>
      <w:bookmarkStart w:id="110" w:name="_Toc995"/>
      <w:r>
        <w:rPr>
          <w:rFonts w:hint="default" w:ascii="Times New Roman" w:hAnsi="Times New Roman" w:eastAsia="黑体" w:cs="Times New Roman"/>
          <w:b w:val="0"/>
          <w:color w:val="auto"/>
          <w:highlight w:val="none"/>
        </w:rPr>
        <w:t>一、收</w:t>
      </w:r>
      <w:r>
        <w:rPr>
          <w:rStyle w:val="31"/>
          <w:rFonts w:hint="default" w:ascii="Times New Roman" w:hAnsi="Times New Roman" w:eastAsia="黑体" w:cs="Times New Roman"/>
          <w:b w:val="0"/>
          <w:bCs w:val="0"/>
          <w:color w:val="auto"/>
          <w:highlight w:val="none"/>
        </w:rPr>
        <w:t>入支出决算总表</w:t>
      </w:r>
      <w:bookmarkEnd w:id="109"/>
      <w:bookmarkEnd w:id="110"/>
    </w:p>
    <w:p>
      <w:pPr>
        <w:pStyle w:val="4"/>
        <w:pageBreakBefore w:val="0"/>
        <w:wordWrap/>
        <w:topLinePunct w:val="0"/>
        <w:bidi w:val="0"/>
        <w:spacing w:line="560" w:lineRule="exact"/>
        <w:rPr>
          <w:rFonts w:hint="default" w:ascii="Times New Roman" w:hAnsi="Times New Roman" w:eastAsia="黑体" w:cs="Times New Roman"/>
          <w:color w:val="auto"/>
          <w:highlight w:val="none"/>
        </w:rPr>
      </w:pPr>
      <w:bookmarkStart w:id="111" w:name="_Toc15396620"/>
      <w:bookmarkStart w:id="112" w:name="_Toc19898"/>
      <w:r>
        <w:rPr>
          <w:rFonts w:hint="default" w:ascii="Times New Roman" w:hAnsi="Times New Roman" w:eastAsia="黑体" w:cs="Times New Roman"/>
          <w:b w:val="0"/>
          <w:color w:val="auto"/>
          <w:highlight w:val="none"/>
        </w:rPr>
        <w:t>二、收</w:t>
      </w:r>
      <w:r>
        <w:rPr>
          <w:rStyle w:val="31"/>
          <w:rFonts w:hint="default" w:ascii="Times New Roman" w:hAnsi="Times New Roman" w:eastAsia="黑体" w:cs="Times New Roman"/>
          <w:b w:val="0"/>
          <w:bCs w:val="0"/>
          <w:color w:val="auto"/>
          <w:highlight w:val="none"/>
        </w:rPr>
        <w:t>入决算表</w:t>
      </w:r>
      <w:bookmarkEnd w:id="111"/>
      <w:bookmarkEnd w:id="112"/>
    </w:p>
    <w:p>
      <w:pPr>
        <w:pStyle w:val="4"/>
        <w:pageBreakBefore w:val="0"/>
        <w:wordWrap/>
        <w:topLinePunct w:val="0"/>
        <w:bidi w:val="0"/>
        <w:spacing w:line="560" w:lineRule="exact"/>
        <w:rPr>
          <w:rFonts w:hint="default" w:ascii="Times New Roman" w:hAnsi="Times New Roman" w:eastAsia="黑体" w:cs="Times New Roman"/>
          <w:color w:val="auto"/>
          <w:highlight w:val="none"/>
        </w:rPr>
      </w:pPr>
      <w:bookmarkStart w:id="113" w:name="_Toc30059"/>
      <w:bookmarkStart w:id="114" w:name="_Toc15396621"/>
      <w:r>
        <w:rPr>
          <w:rStyle w:val="31"/>
          <w:rFonts w:hint="default" w:ascii="Times New Roman" w:hAnsi="Times New Roman" w:eastAsia="黑体" w:cs="Times New Roman"/>
          <w:b w:val="0"/>
          <w:bCs w:val="0"/>
          <w:color w:val="auto"/>
          <w:highlight w:val="none"/>
        </w:rPr>
        <w:t>三、</w:t>
      </w:r>
      <w:r>
        <w:rPr>
          <w:rFonts w:hint="default" w:ascii="Times New Roman" w:hAnsi="Times New Roman" w:eastAsia="黑体" w:cs="Times New Roman"/>
          <w:b w:val="0"/>
          <w:color w:val="auto"/>
          <w:highlight w:val="none"/>
        </w:rPr>
        <w:t>支</w:t>
      </w:r>
      <w:r>
        <w:rPr>
          <w:rStyle w:val="31"/>
          <w:rFonts w:hint="default" w:ascii="Times New Roman" w:hAnsi="Times New Roman" w:eastAsia="黑体" w:cs="Times New Roman"/>
          <w:b w:val="0"/>
          <w:bCs w:val="0"/>
          <w:color w:val="auto"/>
          <w:highlight w:val="none"/>
        </w:rPr>
        <w:t>出决算表</w:t>
      </w:r>
      <w:bookmarkEnd w:id="113"/>
      <w:bookmarkEnd w:id="114"/>
    </w:p>
    <w:p>
      <w:pPr>
        <w:pStyle w:val="4"/>
        <w:pageBreakBefore w:val="0"/>
        <w:wordWrap/>
        <w:topLinePunct w:val="0"/>
        <w:bidi w:val="0"/>
        <w:spacing w:line="560" w:lineRule="exact"/>
        <w:rPr>
          <w:rFonts w:hint="default" w:ascii="Times New Roman" w:hAnsi="Times New Roman" w:eastAsia="黑体" w:cs="Times New Roman"/>
          <w:b w:val="0"/>
          <w:color w:val="auto"/>
          <w:highlight w:val="none"/>
        </w:rPr>
      </w:pPr>
      <w:bookmarkStart w:id="115" w:name="_Toc10730"/>
      <w:bookmarkStart w:id="116" w:name="_Toc15396622"/>
      <w:r>
        <w:rPr>
          <w:rStyle w:val="31"/>
          <w:rFonts w:hint="default" w:ascii="Times New Roman" w:hAnsi="Times New Roman" w:eastAsia="黑体" w:cs="Times New Roman"/>
          <w:b w:val="0"/>
          <w:bCs w:val="0"/>
          <w:color w:val="auto"/>
          <w:highlight w:val="none"/>
        </w:rPr>
        <w:t>四、</w:t>
      </w:r>
      <w:r>
        <w:rPr>
          <w:rFonts w:hint="default" w:ascii="Times New Roman" w:hAnsi="Times New Roman" w:eastAsia="黑体" w:cs="Times New Roman"/>
          <w:b w:val="0"/>
          <w:color w:val="auto"/>
          <w:highlight w:val="none"/>
        </w:rPr>
        <w:t>财</w:t>
      </w:r>
      <w:r>
        <w:rPr>
          <w:rStyle w:val="31"/>
          <w:rFonts w:hint="default" w:ascii="Times New Roman" w:hAnsi="Times New Roman" w:eastAsia="黑体" w:cs="Times New Roman"/>
          <w:b w:val="0"/>
          <w:bCs w:val="0"/>
          <w:color w:val="auto"/>
          <w:highlight w:val="none"/>
        </w:rPr>
        <w:t>政拨款收入支出决算总表</w:t>
      </w:r>
      <w:bookmarkEnd w:id="115"/>
      <w:bookmarkEnd w:id="116"/>
    </w:p>
    <w:p>
      <w:pPr>
        <w:pStyle w:val="4"/>
        <w:pageBreakBefore w:val="0"/>
        <w:wordWrap/>
        <w:topLinePunct w:val="0"/>
        <w:bidi w:val="0"/>
        <w:spacing w:line="560" w:lineRule="exact"/>
        <w:rPr>
          <w:rStyle w:val="31"/>
          <w:rFonts w:hint="default" w:ascii="Times New Roman" w:hAnsi="Times New Roman" w:eastAsia="黑体" w:cs="Times New Roman"/>
          <w:b w:val="0"/>
          <w:bCs w:val="0"/>
          <w:color w:val="auto"/>
          <w:highlight w:val="none"/>
        </w:rPr>
      </w:pPr>
      <w:bookmarkStart w:id="117" w:name="_Toc15396623"/>
      <w:bookmarkStart w:id="118" w:name="_Toc6186"/>
      <w:r>
        <w:rPr>
          <w:rStyle w:val="31"/>
          <w:rFonts w:hint="default" w:ascii="Times New Roman" w:hAnsi="Times New Roman" w:eastAsia="黑体" w:cs="Times New Roman"/>
          <w:b w:val="0"/>
          <w:bCs w:val="0"/>
          <w:color w:val="auto"/>
          <w:highlight w:val="none"/>
        </w:rPr>
        <w:t>五、</w:t>
      </w:r>
      <w:r>
        <w:rPr>
          <w:rFonts w:hint="default" w:ascii="Times New Roman" w:hAnsi="Times New Roman" w:eastAsia="黑体" w:cs="Times New Roman"/>
          <w:b w:val="0"/>
          <w:color w:val="auto"/>
          <w:highlight w:val="none"/>
        </w:rPr>
        <w:t>财</w:t>
      </w:r>
      <w:r>
        <w:rPr>
          <w:rStyle w:val="31"/>
          <w:rFonts w:hint="default" w:ascii="Times New Roman" w:hAnsi="Times New Roman" w:eastAsia="黑体" w:cs="Times New Roman"/>
          <w:b w:val="0"/>
          <w:bCs w:val="0"/>
          <w:color w:val="auto"/>
          <w:highlight w:val="none"/>
        </w:rPr>
        <w:t>政拨款支出决算明细表</w:t>
      </w:r>
      <w:bookmarkEnd w:id="117"/>
      <w:bookmarkEnd w:id="118"/>
      <w:bookmarkStart w:id="119" w:name="_Toc15396624"/>
    </w:p>
    <w:p>
      <w:pPr>
        <w:pStyle w:val="4"/>
        <w:pageBreakBefore w:val="0"/>
        <w:wordWrap/>
        <w:topLinePunct w:val="0"/>
        <w:bidi w:val="0"/>
        <w:spacing w:line="560" w:lineRule="exact"/>
        <w:rPr>
          <w:rFonts w:hint="default" w:ascii="Times New Roman" w:hAnsi="Times New Roman" w:eastAsia="黑体" w:cs="Times New Roman"/>
          <w:color w:val="auto"/>
          <w:highlight w:val="none"/>
        </w:rPr>
      </w:pPr>
      <w:bookmarkStart w:id="120" w:name="_Toc16097"/>
      <w:r>
        <w:rPr>
          <w:rStyle w:val="31"/>
          <w:rFonts w:hint="default" w:ascii="Times New Roman" w:hAnsi="Times New Roman" w:eastAsia="黑体" w:cs="Times New Roman"/>
          <w:b w:val="0"/>
          <w:bCs w:val="0"/>
          <w:color w:val="auto"/>
          <w:highlight w:val="none"/>
        </w:rPr>
        <w:t>六、</w:t>
      </w:r>
      <w:r>
        <w:rPr>
          <w:rFonts w:hint="default" w:ascii="Times New Roman" w:hAnsi="Times New Roman" w:eastAsia="黑体" w:cs="Times New Roman"/>
          <w:b w:val="0"/>
          <w:color w:val="auto"/>
          <w:highlight w:val="none"/>
        </w:rPr>
        <w:t>一</w:t>
      </w:r>
      <w:r>
        <w:rPr>
          <w:rStyle w:val="31"/>
          <w:rFonts w:hint="default" w:ascii="Times New Roman" w:hAnsi="Times New Roman" w:eastAsia="黑体" w:cs="Times New Roman"/>
          <w:b w:val="0"/>
          <w:bCs w:val="0"/>
          <w:color w:val="auto"/>
          <w:highlight w:val="none"/>
        </w:rPr>
        <w:t>般公共预算财政拨款支出决算表</w:t>
      </w:r>
      <w:bookmarkEnd w:id="119"/>
      <w:bookmarkEnd w:id="120"/>
    </w:p>
    <w:p>
      <w:pPr>
        <w:pStyle w:val="4"/>
        <w:pageBreakBefore w:val="0"/>
        <w:wordWrap/>
        <w:topLinePunct w:val="0"/>
        <w:bidi w:val="0"/>
        <w:spacing w:line="560" w:lineRule="exact"/>
        <w:rPr>
          <w:rFonts w:hint="default" w:ascii="Times New Roman" w:hAnsi="Times New Roman" w:eastAsia="黑体" w:cs="Times New Roman"/>
          <w:color w:val="auto"/>
          <w:highlight w:val="none"/>
        </w:rPr>
      </w:pPr>
      <w:bookmarkStart w:id="121" w:name="_Toc30788"/>
      <w:bookmarkStart w:id="122" w:name="_Toc15396625"/>
      <w:r>
        <w:rPr>
          <w:rStyle w:val="31"/>
          <w:rFonts w:hint="default" w:ascii="Times New Roman" w:hAnsi="Times New Roman" w:eastAsia="黑体" w:cs="Times New Roman"/>
          <w:b w:val="0"/>
          <w:bCs w:val="0"/>
          <w:color w:val="auto"/>
          <w:highlight w:val="none"/>
        </w:rPr>
        <w:t>七、</w:t>
      </w:r>
      <w:r>
        <w:rPr>
          <w:rFonts w:hint="default" w:ascii="Times New Roman" w:hAnsi="Times New Roman" w:eastAsia="黑体" w:cs="Times New Roman"/>
          <w:b w:val="0"/>
          <w:color w:val="auto"/>
          <w:highlight w:val="none"/>
        </w:rPr>
        <w:t>一</w:t>
      </w:r>
      <w:r>
        <w:rPr>
          <w:rStyle w:val="31"/>
          <w:rFonts w:hint="default" w:ascii="Times New Roman" w:hAnsi="Times New Roman" w:eastAsia="黑体" w:cs="Times New Roman"/>
          <w:b w:val="0"/>
          <w:bCs w:val="0"/>
          <w:color w:val="auto"/>
          <w:highlight w:val="none"/>
        </w:rPr>
        <w:t>般公共预算财政拨款支出决算明细表</w:t>
      </w:r>
      <w:bookmarkEnd w:id="121"/>
      <w:bookmarkEnd w:id="122"/>
    </w:p>
    <w:p>
      <w:pPr>
        <w:pStyle w:val="4"/>
        <w:pageBreakBefore w:val="0"/>
        <w:wordWrap/>
        <w:topLinePunct w:val="0"/>
        <w:bidi w:val="0"/>
        <w:spacing w:line="560" w:lineRule="exact"/>
        <w:rPr>
          <w:rFonts w:hint="default" w:ascii="Times New Roman" w:hAnsi="Times New Roman" w:eastAsia="黑体" w:cs="Times New Roman"/>
          <w:color w:val="auto"/>
          <w:highlight w:val="none"/>
        </w:rPr>
      </w:pPr>
      <w:bookmarkStart w:id="123" w:name="_Toc15396626"/>
      <w:bookmarkStart w:id="124" w:name="_Toc32177"/>
      <w:r>
        <w:rPr>
          <w:rStyle w:val="31"/>
          <w:rFonts w:hint="default" w:ascii="Times New Roman" w:hAnsi="Times New Roman" w:eastAsia="黑体" w:cs="Times New Roman"/>
          <w:b w:val="0"/>
          <w:bCs w:val="0"/>
          <w:color w:val="auto"/>
          <w:highlight w:val="none"/>
        </w:rPr>
        <w:t>八、</w:t>
      </w:r>
      <w:r>
        <w:rPr>
          <w:rFonts w:hint="default" w:ascii="Times New Roman" w:hAnsi="Times New Roman" w:eastAsia="黑体" w:cs="Times New Roman"/>
          <w:b w:val="0"/>
          <w:color w:val="auto"/>
          <w:highlight w:val="none"/>
        </w:rPr>
        <w:t>一</w:t>
      </w:r>
      <w:r>
        <w:rPr>
          <w:rStyle w:val="31"/>
          <w:rFonts w:hint="default" w:ascii="Times New Roman" w:hAnsi="Times New Roman" w:eastAsia="黑体" w:cs="Times New Roman"/>
          <w:b w:val="0"/>
          <w:bCs w:val="0"/>
          <w:color w:val="auto"/>
          <w:highlight w:val="none"/>
        </w:rPr>
        <w:t>般公共预算财政拨款基本支出决算表</w:t>
      </w:r>
      <w:bookmarkEnd w:id="123"/>
      <w:bookmarkEnd w:id="124"/>
    </w:p>
    <w:p>
      <w:pPr>
        <w:pStyle w:val="4"/>
        <w:pageBreakBefore w:val="0"/>
        <w:wordWrap/>
        <w:topLinePunct w:val="0"/>
        <w:bidi w:val="0"/>
        <w:spacing w:line="560" w:lineRule="exact"/>
        <w:rPr>
          <w:rFonts w:hint="default" w:ascii="Times New Roman" w:hAnsi="Times New Roman" w:eastAsia="黑体" w:cs="Times New Roman"/>
          <w:color w:val="auto"/>
          <w:highlight w:val="none"/>
        </w:rPr>
      </w:pPr>
      <w:bookmarkStart w:id="125" w:name="_Toc27161"/>
      <w:bookmarkStart w:id="126" w:name="_Toc15396627"/>
      <w:r>
        <w:rPr>
          <w:rStyle w:val="31"/>
          <w:rFonts w:hint="default" w:ascii="Times New Roman" w:hAnsi="Times New Roman" w:eastAsia="黑体" w:cs="Times New Roman"/>
          <w:b w:val="0"/>
          <w:bCs w:val="0"/>
          <w:color w:val="auto"/>
          <w:highlight w:val="none"/>
        </w:rPr>
        <w:t>九、</w:t>
      </w:r>
      <w:r>
        <w:rPr>
          <w:rFonts w:hint="default" w:ascii="Times New Roman" w:hAnsi="Times New Roman" w:eastAsia="黑体" w:cs="Times New Roman"/>
          <w:b w:val="0"/>
          <w:color w:val="auto"/>
          <w:highlight w:val="none"/>
        </w:rPr>
        <w:t>一</w:t>
      </w:r>
      <w:r>
        <w:rPr>
          <w:rStyle w:val="31"/>
          <w:rFonts w:hint="default" w:ascii="Times New Roman" w:hAnsi="Times New Roman" w:eastAsia="黑体" w:cs="Times New Roman"/>
          <w:b w:val="0"/>
          <w:bCs w:val="0"/>
          <w:color w:val="auto"/>
          <w:highlight w:val="none"/>
        </w:rPr>
        <w:t>般公共预算财政拨款项目支出决算表</w:t>
      </w:r>
      <w:bookmarkEnd w:id="125"/>
      <w:bookmarkEnd w:id="126"/>
    </w:p>
    <w:p>
      <w:pPr>
        <w:pStyle w:val="4"/>
        <w:pageBreakBefore w:val="0"/>
        <w:wordWrap/>
        <w:topLinePunct w:val="0"/>
        <w:bidi w:val="0"/>
        <w:spacing w:line="560" w:lineRule="exact"/>
        <w:rPr>
          <w:rFonts w:hint="default" w:ascii="Times New Roman" w:hAnsi="Times New Roman" w:eastAsia="黑体" w:cs="Times New Roman"/>
          <w:color w:val="auto"/>
          <w:highlight w:val="none"/>
        </w:rPr>
      </w:pPr>
      <w:bookmarkStart w:id="127" w:name="_Toc15396628"/>
      <w:bookmarkStart w:id="128" w:name="_Toc14981"/>
      <w:r>
        <w:rPr>
          <w:rStyle w:val="31"/>
          <w:rFonts w:hint="default" w:ascii="Times New Roman" w:hAnsi="Times New Roman" w:eastAsia="黑体" w:cs="Times New Roman"/>
          <w:b w:val="0"/>
          <w:bCs w:val="0"/>
          <w:color w:val="auto"/>
          <w:highlight w:val="none"/>
        </w:rPr>
        <w:t>十、</w:t>
      </w:r>
      <w:bookmarkEnd w:id="127"/>
      <w:r>
        <w:rPr>
          <w:rFonts w:hint="default" w:ascii="Times New Roman" w:hAnsi="Times New Roman" w:eastAsia="黑体" w:cs="Times New Roman"/>
          <w:b w:val="0"/>
          <w:color w:val="auto"/>
          <w:highlight w:val="none"/>
        </w:rPr>
        <w:t>政</w:t>
      </w:r>
      <w:r>
        <w:rPr>
          <w:rStyle w:val="31"/>
          <w:rFonts w:hint="default" w:ascii="Times New Roman" w:hAnsi="Times New Roman" w:eastAsia="黑体" w:cs="Times New Roman"/>
          <w:b w:val="0"/>
          <w:bCs w:val="0"/>
          <w:color w:val="auto"/>
          <w:highlight w:val="none"/>
        </w:rPr>
        <w:t>府性基金预算财政拨款收入支出决算表</w:t>
      </w:r>
      <w:bookmarkEnd w:id="128"/>
    </w:p>
    <w:p>
      <w:pPr>
        <w:pStyle w:val="4"/>
        <w:pageBreakBefore w:val="0"/>
        <w:wordWrap/>
        <w:topLinePunct w:val="0"/>
        <w:bidi w:val="0"/>
        <w:spacing w:line="560" w:lineRule="exact"/>
        <w:rPr>
          <w:rFonts w:hint="default" w:ascii="Times New Roman" w:hAnsi="Times New Roman" w:eastAsia="黑体" w:cs="Times New Roman"/>
          <w:color w:val="auto"/>
          <w:highlight w:val="none"/>
        </w:rPr>
      </w:pPr>
      <w:bookmarkStart w:id="129" w:name="_Toc15396629"/>
      <w:bookmarkStart w:id="130" w:name="_Toc9547"/>
      <w:r>
        <w:rPr>
          <w:rStyle w:val="31"/>
          <w:rFonts w:hint="default" w:ascii="Times New Roman" w:hAnsi="Times New Roman" w:eastAsia="黑体" w:cs="Times New Roman"/>
          <w:b w:val="0"/>
          <w:bCs w:val="0"/>
          <w:color w:val="auto"/>
          <w:highlight w:val="none"/>
        </w:rPr>
        <w:t>十一、</w:t>
      </w:r>
      <w:bookmarkEnd w:id="129"/>
      <w:r>
        <w:rPr>
          <w:rFonts w:hint="default" w:ascii="Times New Roman" w:hAnsi="Times New Roman" w:eastAsia="黑体" w:cs="Times New Roman"/>
          <w:b w:val="0"/>
          <w:color w:val="auto"/>
          <w:highlight w:val="none"/>
        </w:rPr>
        <w:t>国</w:t>
      </w:r>
      <w:r>
        <w:rPr>
          <w:rStyle w:val="31"/>
          <w:rFonts w:hint="default" w:ascii="Times New Roman" w:hAnsi="Times New Roman" w:eastAsia="黑体" w:cs="Times New Roman"/>
          <w:b w:val="0"/>
          <w:bCs w:val="0"/>
          <w:color w:val="auto"/>
          <w:highlight w:val="none"/>
        </w:rPr>
        <w:t>有资本经营预算</w:t>
      </w:r>
      <w:r>
        <w:rPr>
          <w:rStyle w:val="31"/>
          <w:rFonts w:hint="default" w:ascii="Times New Roman" w:hAnsi="Times New Roman" w:eastAsia="黑体" w:cs="Times New Roman"/>
          <w:b w:val="0"/>
          <w:bCs w:val="0"/>
          <w:color w:val="auto"/>
          <w:highlight w:val="none"/>
          <w:lang w:eastAsia="zh-CN"/>
        </w:rPr>
        <w:t>财政拨款收入</w:t>
      </w:r>
      <w:r>
        <w:rPr>
          <w:rStyle w:val="31"/>
          <w:rFonts w:hint="default" w:ascii="Times New Roman" w:hAnsi="Times New Roman" w:eastAsia="黑体" w:cs="Times New Roman"/>
          <w:b w:val="0"/>
          <w:bCs w:val="0"/>
          <w:color w:val="auto"/>
          <w:highlight w:val="none"/>
        </w:rPr>
        <w:t>支出决算表</w:t>
      </w:r>
      <w:bookmarkEnd w:id="130"/>
    </w:p>
    <w:p>
      <w:pPr>
        <w:pStyle w:val="4"/>
        <w:pageBreakBefore w:val="0"/>
        <w:wordWrap/>
        <w:topLinePunct w:val="0"/>
        <w:bidi w:val="0"/>
        <w:spacing w:line="560" w:lineRule="exact"/>
        <w:rPr>
          <w:rFonts w:hint="default" w:ascii="Times New Roman" w:hAnsi="Times New Roman" w:eastAsia="黑体" w:cs="Times New Roman"/>
          <w:color w:val="auto"/>
          <w:highlight w:val="none"/>
        </w:rPr>
      </w:pPr>
      <w:bookmarkStart w:id="131" w:name="_Toc15396630"/>
      <w:bookmarkStart w:id="132" w:name="_Toc14862"/>
      <w:r>
        <w:rPr>
          <w:rStyle w:val="31"/>
          <w:rFonts w:hint="default" w:ascii="Times New Roman" w:hAnsi="Times New Roman" w:eastAsia="黑体" w:cs="Times New Roman"/>
          <w:b w:val="0"/>
          <w:bCs w:val="0"/>
          <w:color w:val="auto"/>
          <w:highlight w:val="none"/>
        </w:rPr>
        <w:t>十二、</w:t>
      </w:r>
      <w:bookmarkEnd w:id="131"/>
      <w:r>
        <w:rPr>
          <w:rStyle w:val="31"/>
          <w:rFonts w:hint="default" w:ascii="Times New Roman" w:hAnsi="Times New Roman" w:eastAsia="黑体" w:cs="Times New Roman"/>
          <w:b w:val="0"/>
          <w:bCs w:val="0"/>
          <w:color w:val="auto"/>
          <w:highlight w:val="none"/>
          <w:lang w:eastAsia="zh-CN"/>
        </w:rPr>
        <w:t>国有资本经营预算财政拨款支出决算表</w:t>
      </w:r>
      <w:bookmarkEnd w:id="132"/>
    </w:p>
    <w:p>
      <w:pPr>
        <w:pStyle w:val="4"/>
        <w:pageBreakBefore w:val="0"/>
        <w:wordWrap/>
        <w:topLinePunct w:val="0"/>
        <w:bidi w:val="0"/>
        <w:spacing w:line="560" w:lineRule="exact"/>
        <w:rPr>
          <w:rFonts w:hint="default" w:ascii="Times New Roman" w:hAnsi="Times New Roman" w:eastAsia="黑体" w:cs="Times New Roman"/>
          <w:color w:val="auto"/>
          <w:highlight w:val="none"/>
          <w:lang w:eastAsia="zh-CN"/>
        </w:rPr>
      </w:pPr>
      <w:bookmarkStart w:id="133" w:name="_Toc15396631"/>
      <w:bookmarkStart w:id="134" w:name="_Toc240"/>
      <w:r>
        <w:rPr>
          <w:rStyle w:val="31"/>
          <w:rFonts w:hint="default" w:ascii="Times New Roman" w:hAnsi="Times New Roman" w:eastAsia="黑体" w:cs="Times New Roman"/>
          <w:b w:val="0"/>
          <w:bCs w:val="0"/>
          <w:color w:val="auto"/>
          <w:highlight w:val="none"/>
        </w:rPr>
        <w:t>十三、</w:t>
      </w:r>
      <w:bookmarkEnd w:id="133"/>
      <w:r>
        <w:rPr>
          <w:rStyle w:val="31"/>
          <w:rFonts w:hint="default" w:ascii="Times New Roman" w:hAnsi="Times New Roman" w:eastAsia="黑体" w:cs="Times New Roman"/>
          <w:b w:val="0"/>
          <w:bCs w:val="0"/>
          <w:color w:val="auto"/>
          <w:highlight w:val="none"/>
          <w:lang w:eastAsia="zh-CN"/>
        </w:rPr>
        <w:t>财政拨款“三公”经费支出决算表</w:t>
      </w:r>
      <w:bookmarkEnd w:id="134"/>
    </w:p>
    <w:sectPr>
      <w:headerReference r:id="rId7" w:type="default"/>
      <w:footerReference r:id="rId8"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mc:AlternateContent>
        <mc:Choice Requires="wps">
          <w:drawing>
            <wp:anchor distT="0" distB="0" distL="114300" distR="114300" simplePos="0" relativeHeight="251666432" behindDoc="0" locked="0" layoutInCell="1" allowOverlap="1">
              <wp:simplePos x="0" y="0"/>
              <wp:positionH relativeFrom="margin">
                <wp:posOffset>5022850</wp:posOffset>
              </wp:positionH>
              <wp:positionV relativeFrom="paragraph">
                <wp:posOffset>-54610</wp:posOffset>
              </wp:positionV>
              <wp:extent cx="309880" cy="377825"/>
              <wp:effectExtent l="0" t="0" r="0" b="0"/>
              <wp:wrapNone/>
              <wp:docPr id="5" name="文本框 5"/>
              <wp:cNvGraphicFramePr/>
              <a:graphic xmlns:a="http://schemas.openxmlformats.org/drawingml/2006/main">
                <a:graphicData uri="http://schemas.microsoft.com/office/word/2010/wordprocessingShape">
                  <wps:wsp>
                    <wps:cNvSpPr txBox="1"/>
                    <wps:spPr>
                      <a:xfrm>
                        <a:off x="0" y="0"/>
                        <a:ext cx="309880" cy="377825"/>
                      </a:xfrm>
                      <a:prstGeom prst="rect">
                        <a:avLst/>
                      </a:prstGeom>
                      <a:noFill/>
                      <a:ln w="6350">
                        <a:noFill/>
                      </a:ln>
                    </wps:spPr>
                    <wps:txbx>
                      <w:txbxContent>
                        <w:p>
                          <w:pPr>
                            <w:pStyle w:val="10"/>
                            <w:jc w:val="left"/>
                            <w:rPr>
                              <w:rStyle w:val="19"/>
                              <w:rFonts w:ascii="宋体" w:hAnsi="宋体" w:eastAsia="宋体"/>
                              <w:sz w:val="28"/>
                              <w:szCs w:val="28"/>
                            </w:rPr>
                          </w:pPr>
                        </w:p>
                      </w:txbxContent>
                    </wps:txbx>
                    <wps:bodyPr lIns="0" tIns="0" rIns="0" bIns="0" upright="1"/>
                  </wps:wsp>
                </a:graphicData>
              </a:graphic>
            </wp:anchor>
          </w:drawing>
        </mc:Choice>
        <mc:Fallback>
          <w:pict>
            <v:shape id="_x0000_s1026" o:spid="_x0000_s1026" o:spt="202" type="#_x0000_t202" style="position:absolute;left:0pt;margin-left:395.5pt;margin-top:-4.3pt;height:29.75pt;width:24.4pt;mso-position-horizontal-relative:margin;z-index:251666432;mso-width-relative:page;mso-height-relative:page;" filled="f" stroked="f" coordsize="21600,21600" o:gfxdata="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cD/4FtgAAAAJAQAADwAAAAAAAAABACAAAAAiAAAAZHJzL2Rvd25yZXYu&#10;eG1sUEsBAhQAFAAAAAgAh07iQPbsA7zCAQAAegMAAA4AAAAAAAAAAQAgAAAAJwEAAGRycy9lMm9E&#10;b2MueG1sUEsFBgAAAAAGAAYAWQEAAFsFAAAAAA==&#10;">
              <v:fill on="f" focussize="0,0"/>
              <v:stroke on="f" weight="0.5pt"/>
              <v:imagedata o:title=""/>
              <o:lock v:ext="edit" aspectratio="f"/>
              <v:textbox inset="0mm,0mm,0mm,0mm">
                <w:txbxContent>
                  <w:p>
                    <w:pPr>
                      <w:pStyle w:val="10"/>
                      <w:jc w:val="left"/>
                      <w:rPr>
                        <w:rStyle w:val="19"/>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p>
  <w:p>
    <w:pPr>
      <w:pStyle w:val="10"/>
      <w:jc w:val="both"/>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0"/>
                      <w:rPr>
                        <w:rFonts w:hint="default" w:eastAsia="宋体"/>
                        <w:lang w:val="en-US" w:eastAsia="zh-CN"/>
                      </w:rPr>
                    </w:pP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posOffset>5022850</wp:posOffset>
              </wp:positionH>
              <wp:positionV relativeFrom="paragraph">
                <wp:posOffset>-54610</wp:posOffset>
              </wp:positionV>
              <wp:extent cx="309880" cy="377825"/>
              <wp:effectExtent l="0" t="0" r="0" b="0"/>
              <wp:wrapNone/>
              <wp:docPr id="6" name="文本框 6"/>
              <wp:cNvGraphicFramePr/>
              <a:graphic xmlns:a="http://schemas.openxmlformats.org/drawingml/2006/main">
                <a:graphicData uri="http://schemas.microsoft.com/office/word/2010/wordprocessingShape">
                  <wps:wsp>
                    <wps:cNvSpPr txBox="1"/>
                    <wps:spPr>
                      <a:xfrm>
                        <a:off x="0" y="0"/>
                        <a:ext cx="309880" cy="377825"/>
                      </a:xfrm>
                      <a:prstGeom prst="rect">
                        <a:avLst/>
                      </a:prstGeom>
                      <a:noFill/>
                      <a:ln w="6350">
                        <a:noFill/>
                      </a:ln>
                    </wps:spPr>
                    <wps:txbx>
                      <w:txbxContent>
                        <w:p>
                          <w:pPr>
                            <w:pStyle w:val="10"/>
                            <w:jc w:val="left"/>
                            <w:rPr>
                              <w:rStyle w:val="19"/>
                              <w:rFonts w:ascii="宋体" w:hAnsi="宋体" w:eastAsia="宋体"/>
                              <w:sz w:val="28"/>
                              <w:szCs w:val="28"/>
                            </w:rPr>
                          </w:pPr>
                        </w:p>
                      </w:txbxContent>
                    </wps:txbx>
                    <wps:bodyPr lIns="0" tIns="0" rIns="0" bIns="0" upright="1"/>
                  </wps:wsp>
                </a:graphicData>
              </a:graphic>
            </wp:anchor>
          </w:drawing>
        </mc:Choice>
        <mc:Fallback>
          <w:pict>
            <v:shape id="_x0000_s1026" o:spid="_x0000_s1026" o:spt="202" type="#_x0000_t202" style="position:absolute;left:0pt;margin-left:395.5pt;margin-top:-4.3pt;height:29.75pt;width:24.4pt;mso-position-horizontal-relative:margin;z-index:251667456;mso-width-relative:page;mso-height-relative:page;" filled="f" stroked="f" coordsize="21600,21600" o:gfxdata="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cD/4FtgAAAAJAQAADwAAAAAAAAABACAAAAAiAAAAZHJzL2Rvd25yZXYu&#10;eG1sUEsBAhQAFAAAAAgAh07iQOR7FcLCAQAAegMAAA4AAAAAAAAAAQAgAAAAJwEAAGRycy9lMm9E&#10;b2MueG1sUEsFBgAAAAAGAAYAWQEAAFsFAAAAAA==&#10;">
              <v:fill on="f" focussize="0,0"/>
              <v:stroke on="f" weight="0.5pt"/>
              <v:imagedata o:title=""/>
              <o:lock v:ext="edit" aspectratio="f"/>
              <v:textbox inset="0mm,0mm,0mm,0mm">
                <w:txbxContent>
                  <w:p>
                    <w:pPr>
                      <w:pStyle w:val="10"/>
                      <w:jc w:val="left"/>
                      <w:rPr>
                        <w:rStyle w:val="19"/>
                        <w:rFonts w:ascii="宋体" w:hAnsi="宋体" w:eastAsia="宋体"/>
                        <w:sz w:val="28"/>
                        <w:szCs w:val="2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pPr>
      <w:pStyle w:val="10"/>
      <w:jc w:val="right"/>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0"/>
                      <w:rPr>
                        <w:rFonts w:hint="default" w:eastAsia="宋体"/>
                        <w:lang w:val="en-US" w:eastAsia="zh-CN"/>
                      </w:rPr>
                    </w:pP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margin">
                <wp:posOffset>5022850</wp:posOffset>
              </wp:positionH>
              <wp:positionV relativeFrom="paragraph">
                <wp:posOffset>-54610</wp:posOffset>
              </wp:positionV>
              <wp:extent cx="309880" cy="377825"/>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309880" cy="377825"/>
                      </a:xfrm>
                      <a:prstGeom prst="rect">
                        <a:avLst/>
                      </a:prstGeom>
                      <a:noFill/>
                      <a:ln w="6350">
                        <a:noFill/>
                      </a:ln>
                    </wps:spPr>
                    <wps:txbx>
                      <w:txbxContent>
                        <w:p>
                          <w:pPr>
                            <w:pStyle w:val="10"/>
                            <w:jc w:val="left"/>
                            <w:rPr>
                              <w:rStyle w:val="19"/>
                              <w:rFonts w:ascii="宋体" w:hAnsi="宋体" w:eastAsia="宋体"/>
                              <w:sz w:val="28"/>
                              <w:szCs w:val="28"/>
                            </w:rPr>
                          </w:pPr>
                        </w:p>
                      </w:txbxContent>
                    </wps:txbx>
                    <wps:bodyPr lIns="0" tIns="0" rIns="0" bIns="0" upright="1"/>
                  </wps:wsp>
                </a:graphicData>
              </a:graphic>
            </wp:anchor>
          </w:drawing>
        </mc:Choice>
        <mc:Fallback>
          <w:pict>
            <v:shape id="_x0000_s1026" o:spid="_x0000_s1026" o:spt="202" type="#_x0000_t202" style="position:absolute;left:0pt;margin-left:395.5pt;margin-top:-4.3pt;height:29.75pt;width:24.4pt;mso-position-horizontal-relative:margin;z-index:251669504;mso-width-relative:page;mso-height-relative:page;" filled="f" stroked="f" coordsize="21600,21600" o:gfxdata="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A/+BbYAAAACQEAAA8AAAAAAAAAAQAgAAAAIgAAAGRycy9kb3ducmV2&#10;LnhtbFBLAQIUABQAAAAIAIdO4kATp2K5wwEAAHwDAAAOAAAAAAAAAAEAIAAAACcBAABkcnMvZTJv&#10;RG9jLnhtbFBLBQYAAAAABgAGAFkBAABcBQAAAAA=&#10;">
              <v:fill on="f" focussize="0,0"/>
              <v:stroke on="f" weight="0.5pt"/>
              <v:imagedata o:title=""/>
              <o:lock v:ext="edit" aspectratio="f"/>
              <v:textbox inset="0mm,0mm,0mm,0mm">
                <w:txbxContent>
                  <w:p>
                    <w:pPr>
                      <w:pStyle w:val="10"/>
                      <w:jc w:val="left"/>
                      <w:rPr>
                        <w:rStyle w:val="19"/>
                        <w:rFonts w:ascii="宋体" w:hAnsi="宋体" w:eastAsia="宋体"/>
                        <w:sz w:val="28"/>
                        <w:szCs w:val="2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t xml:space="preserve">— </w:t>
                          </w:r>
                          <w:r>
                            <w:fldChar w:fldCharType="begin"/>
                          </w:r>
                          <w:r>
                            <w:instrText xml:space="preserve"> PAGE  \* MERGEFORMAT </w:instrText>
                          </w:r>
                          <w:r>
                            <w:fldChar w:fldCharType="separate"/>
                          </w:r>
                          <w:r>
                            <w:t>34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10"/>
                    </w:pPr>
                    <w:r>
                      <w:t xml:space="preserve">— </w:t>
                    </w:r>
                    <w:r>
                      <w:fldChar w:fldCharType="begin"/>
                    </w:r>
                    <w:r>
                      <w:instrText xml:space="preserve"> PAGE  \* MERGEFORMAT </w:instrText>
                    </w:r>
                    <w:r>
                      <w:fldChar w:fldCharType="separate"/>
                    </w:r>
                    <w:r>
                      <w:t>34</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tabs>
        <w:tab w:val="clear" w:pos="4153"/>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26ED2"/>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967369"/>
    <w:rsid w:val="02143E91"/>
    <w:rsid w:val="0444390C"/>
    <w:rsid w:val="0457222B"/>
    <w:rsid w:val="04704464"/>
    <w:rsid w:val="05C3315A"/>
    <w:rsid w:val="066E0107"/>
    <w:rsid w:val="06CB2B8D"/>
    <w:rsid w:val="07996F6E"/>
    <w:rsid w:val="0899249D"/>
    <w:rsid w:val="0A2032A3"/>
    <w:rsid w:val="0D2D5EB5"/>
    <w:rsid w:val="0D347C81"/>
    <w:rsid w:val="0F98263C"/>
    <w:rsid w:val="101860EC"/>
    <w:rsid w:val="10C055FF"/>
    <w:rsid w:val="11632C12"/>
    <w:rsid w:val="118107EC"/>
    <w:rsid w:val="12831ADB"/>
    <w:rsid w:val="12CA4925"/>
    <w:rsid w:val="132D21C0"/>
    <w:rsid w:val="133D57AA"/>
    <w:rsid w:val="13D50BC4"/>
    <w:rsid w:val="148866B1"/>
    <w:rsid w:val="1497151F"/>
    <w:rsid w:val="151424BA"/>
    <w:rsid w:val="1533666A"/>
    <w:rsid w:val="1694286F"/>
    <w:rsid w:val="16BB723D"/>
    <w:rsid w:val="19E34146"/>
    <w:rsid w:val="1A5C7163"/>
    <w:rsid w:val="1B40281D"/>
    <w:rsid w:val="1BDF0ECB"/>
    <w:rsid w:val="1BE8440E"/>
    <w:rsid w:val="1D155CEE"/>
    <w:rsid w:val="1D62181B"/>
    <w:rsid w:val="1FF35744"/>
    <w:rsid w:val="20A50F7D"/>
    <w:rsid w:val="20B555DB"/>
    <w:rsid w:val="23860B96"/>
    <w:rsid w:val="240371BF"/>
    <w:rsid w:val="29C83AE7"/>
    <w:rsid w:val="29FD04D3"/>
    <w:rsid w:val="2B137C5D"/>
    <w:rsid w:val="2C8A61B5"/>
    <w:rsid w:val="2DF04E50"/>
    <w:rsid w:val="2F040D46"/>
    <w:rsid w:val="30B75BD6"/>
    <w:rsid w:val="318156FB"/>
    <w:rsid w:val="319F7F4E"/>
    <w:rsid w:val="3304709D"/>
    <w:rsid w:val="34933E3F"/>
    <w:rsid w:val="35D438E2"/>
    <w:rsid w:val="362D0227"/>
    <w:rsid w:val="36AA5135"/>
    <w:rsid w:val="376D39B2"/>
    <w:rsid w:val="379E1C9C"/>
    <w:rsid w:val="37E16F03"/>
    <w:rsid w:val="3823754D"/>
    <w:rsid w:val="385C3384"/>
    <w:rsid w:val="38D469F0"/>
    <w:rsid w:val="39010741"/>
    <w:rsid w:val="3BCB7C95"/>
    <w:rsid w:val="3D98207C"/>
    <w:rsid w:val="3E323F38"/>
    <w:rsid w:val="3E78745D"/>
    <w:rsid w:val="3F297C79"/>
    <w:rsid w:val="40BB694F"/>
    <w:rsid w:val="40DA219D"/>
    <w:rsid w:val="4285786F"/>
    <w:rsid w:val="43C710DE"/>
    <w:rsid w:val="44A318B2"/>
    <w:rsid w:val="44E268DA"/>
    <w:rsid w:val="466A14C0"/>
    <w:rsid w:val="46922B7F"/>
    <w:rsid w:val="47170D25"/>
    <w:rsid w:val="48454C94"/>
    <w:rsid w:val="4A627F82"/>
    <w:rsid w:val="4B0E749A"/>
    <w:rsid w:val="4B4F25DA"/>
    <w:rsid w:val="4BE068DB"/>
    <w:rsid w:val="4C770751"/>
    <w:rsid w:val="4D577224"/>
    <w:rsid w:val="4DAB0A70"/>
    <w:rsid w:val="4DF84E3B"/>
    <w:rsid w:val="4E221F41"/>
    <w:rsid w:val="4EAB630A"/>
    <w:rsid w:val="4ECE2238"/>
    <w:rsid w:val="4FD32DA4"/>
    <w:rsid w:val="50DE655B"/>
    <w:rsid w:val="52B02084"/>
    <w:rsid w:val="52DA4FC2"/>
    <w:rsid w:val="532F3E6D"/>
    <w:rsid w:val="537E6D0A"/>
    <w:rsid w:val="53BF160B"/>
    <w:rsid w:val="552A5F48"/>
    <w:rsid w:val="559B299E"/>
    <w:rsid w:val="57A23DE4"/>
    <w:rsid w:val="57A27F06"/>
    <w:rsid w:val="586C5B70"/>
    <w:rsid w:val="590036EF"/>
    <w:rsid w:val="59661DDF"/>
    <w:rsid w:val="59DD3523"/>
    <w:rsid w:val="5AF92295"/>
    <w:rsid w:val="5CD71FC4"/>
    <w:rsid w:val="5E836602"/>
    <w:rsid w:val="6147473A"/>
    <w:rsid w:val="61632F11"/>
    <w:rsid w:val="61833F53"/>
    <w:rsid w:val="61A3480C"/>
    <w:rsid w:val="63F30CE5"/>
    <w:rsid w:val="65E725C6"/>
    <w:rsid w:val="689E76C4"/>
    <w:rsid w:val="68FE71B7"/>
    <w:rsid w:val="69DA7F0A"/>
    <w:rsid w:val="6BDE3769"/>
    <w:rsid w:val="6C4A05C8"/>
    <w:rsid w:val="6D6C604D"/>
    <w:rsid w:val="6E142889"/>
    <w:rsid w:val="6E7E3605"/>
    <w:rsid w:val="6F5F696E"/>
    <w:rsid w:val="6FF5CC65"/>
    <w:rsid w:val="70190D42"/>
    <w:rsid w:val="71026A99"/>
    <w:rsid w:val="715C0E4B"/>
    <w:rsid w:val="71EE4CBB"/>
    <w:rsid w:val="72734D90"/>
    <w:rsid w:val="73AD73D5"/>
    <w:rsid w:val="73B6EB34"/>
    <w:rsid w:val="744731E5"/>
    <w:rsid w:val="75CA4A8C"/>
    <w:rsid w:val="76E3355F"/>
    <w:rsid w:val="778769C8"/>
    <w:rsid w:val="7831249F"/>
    <w:rsid w:val="796F3B8B"/>
    <w:rsid w:val="79EE5BA4"/>
    <w:rsid w:val="7A894339"/>
    <w:rsid w:val="7B226D20"/>
    <w:rsid w:val="7C6863EA"/>
    <w:rsid w:val="7CA3770C"/>
    <w:rsid w:val="7D7B0323"/>
    <w:rsid w:val="7DF25ADC"/>
    <w:rsid w:val="7E73442E"/>
    <w:rsid w:val="7EEF11D3"/>
    <w:rsid w:val="7F563A64"/>
    <w:rsid w:val="7F5E4A11"/>
    <w:rsid w:val="7F9C2E9E"/>
    <w:rsid w:val="7FA30C79"/>
    <w:rsid w:val="7FB7269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 w:val="24"/>
      <w:szCs w:val="24"/>
    </w:rPr>
  </w:style>
  <w:style w:type="paragraph" w:styleId="6">
    <w:name w:val="Body Text"/>
    <w:basedOn w:val="1"/>
    <w:link w:val="28"/>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3"/>
    <w:semiHidden/>
    <w:unhideWhenUsed/>
    <w:qFormat/>
    <w:uiPriority w:val="99"/>
    <w:rPr>
      <w:sz w:val="18"/>
      <w:szCs w:val="18"/>
    </w:rPr>
  </w:style>
  <w:style w:type="paragraph" w:styleId="10">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Body Text First Indent 2"/>
    <w:basedOn w:val="7"/>
    <w:unhideWhenUsed/>
    <w:qFormat/>
    <w:uiPriority w:val="99"/>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99"/>
    <w:rPr>
      <w:b/>
    </w:rPr>
  </w:style>
  <w:style w:type="character" w:styleId="19">
    <w:name w:val="page number"/>
    <w:basedOn w:val="17"/>
    <w:qFormat/>
    <w:uiPriority w:val="0"/>
  </w:style>
  <w:style w:type="character" w:styleId="20">
    <w:name w:val="Hyperlink"/>
    <w:basedOn w:val="17"/>
    <w:unhideWhenUsed/>
    <w:qFormat/>
    <w:uiPriority w:val="99"/>
    <w:rPr>
      <w:color w:val="0000FF" w:themeColor="hyperlink"/>
      <w:u w:val="single"/>
      <w14:textFill>
        <w14:solidFill>
          <w14:schemeClr w14:val="hlink"/>
        </w14:solidFill>
      </w14:textFill>
    </w:r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7"/>
    <w:semiHidden/>
    <w:qFormat/>
    <w:uiPriority w:val="99"/>
    <w:rPr>
      <w:rFonts w:ascii="Times New Roman" w:hAnsi="Times New Roman"/>
      <w:sz w:val="18"/>
      <w:szCs w:val="18"/>
    </w:rPr>
  </w:style>
  <w:style w:type="character" w:customStyle="1" w:styleId="24">
    <w:name w:val="页眉 Char"/>
    <w:link w:val="11"/>
    <w:semiHidden/>
    <w:qFormat/>
    <w:locked/>
    <w:uiPriority w:val="99"/>
    <w:rPr>
      <w:sz w:val="18"/>
    </w:rPr>
  </w:style>
  <w:style w:type="character" w:customStyle="1" w:styleId="25">
    <w:name w:val="Footer Char"/>
    <w:basedOn w:val="17"/>
    <w:semiHidden/>
    <w:qFormat/>
    <w:uiPriority w:val="99"/>
    <w:rPr>
      <w:rFonts w:ascii="Times New Roman" w:hAnsi="Times New Roman"/>
      <w:sz w:val="18"/>
      <w:szCs w:val="18"/>
    </w:rPr>
  </w:style>
  <w:style w:type="character" w:customStyle="1" w:styleId="26">
    <w:name w:val="页脚 Char"/>
    <w:link w:val="10"/>
    <w:qFormat/>
    <w:locked/>
    <w:uiPriority w:val="99"/>
    <w:rPr>
      <w:sz w:val="18"/>
    </w:rPr>
  </w:style>
  <w:style w:type="character" w:customStyle="1" w:styleId="27">
    <w:name w:val="Body Text Char"/>
    <w:basedOn w:val="17"/>
    <w:semiHidden/>
    <w:qFormat/>
    <w:uiPriority w:val="99"/>
    <w:rPr>
      <w:rFonts w:ascii="Times New Roman" w:hAnsi="Times New Roman"/>
      <w:szCs w:val="24"/>
    </w:rPr>
  </w:style>
  <w:style w:type="character" w:customStyle="1" w:styleId="28">
    <w:name w:val="正文文本 Char"/>
    <w:link w:val="6"/>
    <w:qFormat/>
    <w:locked/>
    <w:uiPriority w:val="99"/>
    <w:rPr>
      <w:rFonts w:ascii="仿宋_GB2312" w:hAnsi="Times New Roman" w:eastAsia="仿宋_GB2312"/>
      <w:sz w:val="24"/>
    </w:rPr>
  </w:style>
  <w:style w:type="paragraph" w:styleId="29">
    <w:name w:val="List Paragraph"/>
    <w:basedOn w:val="1"/>
    <w:qFormat/>
    <w:uiPriority w:val="34"/>
    <w:pPr>
      <w:ind w:firstLine="420" w:firstLineChars="200"/>
    </w:pPr>
  </w:style>
  <w:style w:type="character" w:customStyle="1" w:styleId="30">
    <w:name w:val="标题 1 Char"/>
    <w:basedOn w:val="17"/>
    <w:link w:val="3"/>
    <w:qFormat/>
    <w:uiPriority w:val="9"/>
    <w:rPr>
      <w:rFonts w:ascii="Times New Roman" w:hAnsi="Times New Roman"/>
      <w:b/>
      <w:bCs/>
      <w:kern w:val="44"/>
      <w:sz w:val="44"/>
      <w:szCs w:val="44"/>
    </w:rPr>
  </w:style>
  <w:style w:type="character" w:customStyle="1" w:styleId="31">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7"/>
    <w:link w:val="9"/>
    <w:semiHidden/>
    <w:qFormat/>
    <w:uiPriority w:val="99"/>
    <w:rPr>
      <w:rFonts w:ascii="Times New Roman" w:hAnsi="Times New Roman"/>
      <w:kern w:val="2"/>
      <w:sz w:val="18"/>
      <w:szCs w:val="18"/>
    </w:rPr>
  </w:style>
  <w:style w:type="character" w:customStyle="1" w:styleId="34">
    <w:name w:val="标题 3 Char"/>
    <w:basedOn w:val="17"/>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7">
    <w:name w:val="font31"/>
    <w:basedOn w:val="17"/>
    <w:qFormat/>
    <w:uiPriority w:val="0"/>
    <w:rPr>
      <w:rFonts w:hint="eastAsia" w:ascii="宋体" w:hAnsi="宋体" w:eastAsia="宋体" w:cs="宋体"/>
      <w:color w:val="000000"/>
      <w:sz w:val="22"/>
      <w:szCs w:val="22"/>
      <w:u w:val="none"/>
    </w:rPr>
  </w:style>
  <w:style w:type="paragraph" w:styleId="38">
    <w:name w:val="No Spacing"/>
    <w:next w:val="1"/>
    <w:qFormat/>
    <w:uiPriority w:val="1"/>
    <w:pPr>
      <w:widowControl w:val="0"/>
      <w:ind w:firstLine="200" w:firstLineChars="200"/>
      <w:jc w:val="both"/>
    </w:pPr>
    <w:rPr>
      <w:rFonts w:ascii="仿宋_GB2312" w:hAnsi="Calibri" w:eastAsia="仿宋_GB2312" w:cs="Times New Roman"/>
      <w:sz w:val="32"/>
      <w:szCs w:val="21"/>
      <w:lang w:val="en-US" w:eastAsia="zh-CN" w:bidi="ar-SA"/>
    </w:rPr>
  </w:style>
  <w:style w:type="character" w:customStyle="1" w:styleId="39">
    <w:name w:val="font61"/>
    <w:basedOn w:val="17"/>
    <w:qFormat/>
    <w:uiPriority w:val="0"/>
    <w:rPr>
      <w:rFonts w:hint="default" w:ascii="Times New Roman" w:hAnsi="Times New Roman" w:cs="Times New Roman"/>
      <w:color w:val="000000"/>
      <w:sz w:val="22"/>
      <w:szCs w:val="22"/>
      <w:u w:val="none"/>
    </w:rPr>
  </w:style>
  <w:style w:type="character" w:customStyle="1" w:styleId="40">
    <w:name w:val="font81"/>
    <w:basedOn w:val="17"/>
    <w:qFormat/>
    <w:uiPriority w:val="0"/>
    <w:rPr>
      <w:rFonts w:hint="eastAsia" w:ascii="宋体" w:hAnsi="宋体" w:eastAsia="宋体" w:cs="宋体"/>
      <w:color w:val="000000"/>
      <w:sz w:val="22"/>
      <w:szCs w:val="22"/>
      <w:u w:val="none"/>
    </w:rPr>
  </w:style>
  <w:style w:type="character" w:customStyle="1" w:styleId="41">
    <w:name w:val="font91"/>
    <w:basedOn w:val="17"/>
    <w:qFormat/>
    <w:uiPriority w:val="0"/>
    <w:rPr>
      <w:rFonts w:hint="default" w:ascii="Times New Roman" w:hAnsi="Times New Roman" w:cs="Times New Roman"/>
      <w:color w:val="000000"/>
      <w:sz w:val="20"/>
      <w:szCs w:val="20"/>
      <w:u w:val="none"/>
    </w:rPr>
  </w:style>
  <w:style w:type="character" w:customStyle="1" w:styleId="42">
    <w:name w:val="font101"/>
    <w:basedOn w:val="17"/>
    <w:qFormat/>
    <w:uiPriority w:val="0"/>
    <w:rPr>
      <w:rFonts w:hint="eastAsia" w:ascii="宋体" w:hAnsi="宋体" w:eastAsia="宋体" w:cs="宋体"/>
      <w:color w:val="000000"/>
      <w:sz w:val="20"/>
      <w:szCs w:val="20"/>
      <w:u w:val="none"/>
    </w:rPr>
  </w:style>
  <w:style w:type="character" w:customStyle="1" w:styleId="43">
    <w:name w:val="font51"/>
    <w:basedOn w:val="17"/>
    <w:qFormat/>
    <w:uiPriority w:val="0"/>
    <w:rPr>
      <w:rFonts w:hint="default" w:ascii="Times New Roman" w:hAnsi="Times New Roman" w:cs="Times New Roman"/>
      <w:color w:val="000000"/>
      <w:sz w:val="16"/>
      <w:szCs w:val="16"/>
      <w:u w:val="none"/>
    </w:rPr>
  </w:style>
  <w:style w:type="character" w:customStyle="1" w:styleId="44">
    <w:name w:val="font71"/>
    <w:basedOn w:val="17"/>
    <w:qFormat/>
    <w:uiPriority w:val="0"/>
    <w:rPr>
      <w:rFonts w:hint="eastAsia" w:ascii="宋体" w:hAnsi="宋体" w:eastAsia="宋体" w:cs="宋体"/>
      <w:color w:val="000000"/>
      <w:sz w:val="16"/>
      <w:szCs w:val="16"/>
      <w:u w:val="none"/>
    </w:rPr>
  </w:style>
  <w:style w:type="character" w:customStyle="1" w:styleId="45">
    <w:name w:val="font21"/>
    <w:basedOn w:val="17"/>
    <w:qFormat/>
    <w:uiPriority w:val="0"/>
    <w:rPr>
      <w:rFonts w:hint="default" w:ascii="Times New Roman" w:hAnsi="Times New Roman" w:cs="Times New Roman"/>
      <w:color w:val="000000"/>
      <w:sz w:val="16"/>
      <w:szCs w:val="16"/>
      <w:u w:val="none"/>
    </w:rPr>
  </w:style>
  <w:style w:type="paragraph" w:customStyle="1" w:styleId="46">
    <w:name w:val="WPSOffice手动目录 1"/>
    <w:qFormat/>
    <w:uiPriority w:val="0"/>
    <w:pPr>
      <w:ind w:leftChars="0"/>
    </w:pPr>
    <w:rPr>
      <w:rFonts w:asciiTheme="minorHAnsi" w:hAnsiTheme="minorHAnsi" w:eastAsiaTheme="minorEastAsia" w:cstheme="minorBidi"/>
      <w:sz w:val="20"/>
      <w:szCs w:val="20"/>
    </w:rPr>
  </w:style>
  <w:style w:type="paragraph" w:customStyle="1" w:styleId="47">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交通局部门收、支决算总计变动情况</a:t>
            </a:r>
          </a:p>
        </c:rich>
      </c:tx>
      <c:layout>
        <c:manualLayout>
          <c:xMode val="edge"/>
          <c:yMode val="edge"/>
          <c:x val="0.213775026378867"/>
          <c:y val="0.0226672878375695"/>
        </c:manualLayout>
      </c:layout>
      <c:overlay val="0"/>
      <c:spPr>
        <a:noFill/>
        <a:ln>
          <a:noFill/>
        </a:ln>
        <a:effectLst/>
      </c:spPr>
    </c:title>
    <c:autoTitleDeleted val="0"/>
    <c:plotArea>
      <c:layout>
        <c:manualLayout>
          <c:layoutTarget val="inner"/>
          <c:xMode val="edge"/>
          <c:yMode val="edge"/>
          <c:x val="0.19554189085319"/>
          <c:y val="0.159544636231753"/>
          <c:w val="0.795719844357977"/>
          <c:h val="0.751748251748252"/>
        </c:manualLayout>
      </c:layout>
      <c:barChart>
        <c:barDir val="col"/>
        <c:grouping val="clustered"/>
        <c:varyColors val="0"/>
        <c:ser>
          <c:idx val="0"/>
          <c:order val="0"/>
          <c:tx>
            <c:strRef>
              <c:f>Sheet1!$A$2</c:f>
              <c:strCache>
                <c:ptCount val="1"/>
                <c:pt idx="0">
                  <c:v>2022年收支</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23993.96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val>
            <c:numRef>
              <c:f>Sheet1!$B$2</c:f>
              <c:numCache>
                <c:formatCode>General</c:formatCode>
                <c:ptCount val="1"/>
                <c:pt idx="0">
                  <c:v>13041.35</c:v>
                </c:pt>
              </c:numCache>
            </c:numRef>
          </c:val>
        </c:ser>
        <c:ser>
          <c:idx val="1"/>
          <c:order val="1"/>
          <c:tx>
            <c:strRef>
              <c:f>Sheet1!$A$3</c:f>
              <c:strCache>
                <c:ptCount val="1"/>
                <c:pt idx="0">
                  <c:v>2021年收支</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val>
            <c:numRef>
              <c:f>Sheet1!$B$3</c:f>
              <c:numCache>
                <c:formatCode>General</c:formatCode>
                <c:ptCount val="1"/>
                <c:pt idx="0">
                  <c:v>16814.09</c:v>
                </c:pt>
              </c:numCache>
            </c:numRef>
          </c:val>
        </c:ser>
        <c:dLbls>
          <c:showLegendKey val="0"/>
          <c:showVal val="1"/>
          <c:showCatName val="0"/>
          <c:showSerName val="0"/>
          <c:showPercent val="0"/>
          <c:showBubbleSize val="0"/>
        </c:dLbls>
        <c:gapWidth val="219"/>
        <c:overlap val="-27"/>
        <c:axId val="60968960"/>
        <c:axId val="60970496"/>
      </c:barChart>
      <c:catAx>
        <c:axId val="60968960"/>
        <c:scaling>
          <c:orientation val="minMax"/>
        </c:scaling>
        <c:delete val="0"/>
        <c:axPos val="b"/>
        <c:numFmt formatCode="General" sourceLinked="1"/>
        <c:majorTickMark val="in"/>
        <c:minorTickMark val="none"/>
        <c:tickLblPos val="low"/>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970496"/>
        <c:crosses val="autoZero"/>
        <c:auto val="1"/>
        <c:lblAlgn val="ctr"/>
        <c:lblOffset val="100"/>
        <c:tickLblSkip val="1"/>
        <c:noMultiLvlLbl val="0"/>
      </c:catAx>
      <c:valAx>
        <c:axId val="60970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none"/>
        <c:tickLblPos val="nextTo"/>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968960"/>
        <c:crosses val="autoZero"/>
        <c:crossBetween val="between"/>
      </c:valAx>
      <c:spPr>
        <a:noFill/>
        <a:ln>
          <a:noFill/>
        </a:ln>
        <a:effectLst/>
      </c:spPr>
    </c:plotArea>
    <c:legend>
      <c:legendPos val="b"/>
      <c:layout>
        <c:manualLayout>
          <c:xMode val="edge"/>
          <c:yMode val="edge"/>
          <c:x val="0.222777350755829"/>
          <c:y val="0.917064303567371"/>
          <c:w val="0.303612605687932"/>
          <c:h val="0.076119063849125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202</a:t>
            </a:r>
            <a:r>
              <a:rPr lang="en-US" altLang="zh-CN"/>
              <a:t>2</a:t>
            </a:r>
            <a:r>
              <a:t>年本年收入情况</a:t>
            </a:r>
          </a:p>
        </c:rich>
      </c:tx>
      <c:layout>
        <c:manualLayout>
          <c:xMode val="edge"/>
          <c:yMode val="edge"/>
          <c:x val="0.2684214832254"/>
          <c:y val="0.0351314754017109"/>
        </c:manualLayout>
      </c:layout>
      <c:overlay val="0"/>
      <c:spPr>
        <a:noFill/>
        <a:ln>
          <a:noFill/>
        </a:ln>
        <a:effectLst/>
      </c:spPr>
    </c:title>
    <c:autoTitleDeleted val="0"/>
    <c:plotArea>
      <c:layout>
        <c:manualLayout>
          <c:layoutTarget val="inner"/>
          <c:xMode val="edge"/>
          <c:yMode val="edge"/>
          <c:x val="0.175040877969248"/>
          <c:y val="0.247079345851002"/>
          <c:w val="0.758720521646309"/>
          <c:h val="0.622368917917232"/>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265575396365625"/>
                  <c:y val="-0.0284427589476179"/>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212817244337621"/>
                  <c:y val="0.073341281940113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一般公共预算收入</c:v>
                </c:pt>
                <c:pt idx="1">
                  <c:v>政府基金预算收入</c:v>
                </c:pt>
                <c:pt idx="2">
                  <c:v>其他收入</c:v>
                </c:pt>
              </c:strCache>
            </c:strRef>
          </c:cat>
          <c:val>
            <c:numRef>
              <c:f>Sheet1!$B$2:$B$4</c:f>
              <c:numCache>
                <c:formatCode>General</c:formatCode>
                <c:ptCount val="3"/>
                <c:pt idx="0">
                  <c:v>5932.59</c:v>
                </c:pt>
                <c:pt idx="1">
                  <c:v>4925</c:v>
                </c:pt>
                <c:pt idx="2">
                  <c:v>211.04</c:v>
                </c:pt>
              </c:numCache>
            </c:numRef>
          </c:val>
        </c:ser>
        <c:dLbls>
          <c:showLegendKey val="0"/>
          <c:showVal val="0"/>
          <c:showCatName val="1"/>
          <c:showSerName val="0"/>
          <c:showPercent val="1"/>
          <c:showBubbleSize val="0"/>
          <c:showLeaderLines val="1"/>
        </c:dLbls>
        <c:firstSliceAng val="15"/>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2022</a:t>
            </a:r>
            <a:r>
              <a:rPr lang="zh-CN" altLang="en-US"/>
              <a:t>年本年支出情况</a:t>
            </a:r>
            <a:endParaRPr lang="zh-CN" altLang="en-US"/>
          </a:p>
        </c:rich>
      </c:tx>
      <c:layout>
        <c:manualLayout>
          <c:xMode val="edge"/>
          <c:yMode val="edge"/>
          <c:x val="0.24483687518707"/>
          <c:y val="0.0301876529779712"/>
        </c:manualLayout>
      </c:layout>
      <c:overlay val="0"/>
    </c:title>
    <c:autoTitleDeleted val="0"/>
    <c:plotArea>
      <c:layout/>
      <c:pieChart>
        <c:varyColors val="1"/>
        <c:ser>
          <c:idx val="0"/>
          <c:order val="0"/>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2111.21</c:v>
                </c:pt>
                <c:pt idx="1">
                  <c:v>10930.15</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a:t>
            </a:r>
            <a:r>
              <a:rPr lang="en-US" altLang="zh-CN"/>
              <a:t>2</a:t>
            </a:r>
            <a:r>
              <a:t>年财政拨款收、支决算总计变动情况</a:t>
            </a:r>
          </a:p>
        </c:rich>
      </c:tx>
      <c:layout/>
      <c:overlay val="0"/>
      <c:spPr>
        <a:noFill/>
        <a:ln>
          <a:noFill/>
        </a:ln>
        <a:effectLst/>
      </c:spPr>
    </c:title>
    <c:autoTitleDeleted val="0"/>
    <c:plotArea>
      <c:layout>
        <c:manualLayout>
          <c:layoutTarget val="inner"/>
          <c:xMode val="edge"/>
          <c:yMode val="edge"/>
          <c:x val="0.0719844357976654"/>
          <c:y val="0.13986013986014"/>
          <c:w val="0.795719844357977"/>
          <c:h val="0.751748251748252"/>
        </c:manualLayout>
      </c:layout>
      <c:barChart>
        <c:barDir val="col"/>
        <c:grouping val="clustered"/>
        <c:varyColors val="0"/>
        <c:ser>
          <c:idx val="0"/>
          <c:order val="0"/>
          <c:tx>
            <c:strRef>
              <c:f>Sheet1!$A$2</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Sheet1!$B$1:$E$1</c:f>
              <c:numCache>
                <c:formatCode>General</c:formatCode>
                <c:ptCount val="4"/>
              </c:numCache>
            </c:numRef>
          </c:cat>
          <c:val>
            <c:numRef>
              <c:f>Sheet1!$B$2:$E$2</c:f>
              <c:numCache>
                <c:formatCode>General</c:formatCode>
                <c:ptCount val="4"/>
                <c:pt idx="0">
                  <c:v>15510.51</c:v>
                </c:pt>
              </c:numCache>
            </c:numRef>
          </c:val>
        </c:ser>
        <c:ser>
          <c:idx val="1"/>
          <c:order val="1"/>
          <c:tx>
            <c:strRef>
              <c:f>Sheet1!$A$3</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Sheet1!$B$1:$E$1</c:f>
              <c:numCache>
                <c:formatCode>General</c:formatCode>
                <c:ptCount val="4"/>
              </c:numCache>
            </c:numRef>
          </c:cat>
          <c:val>
            <c:numRef>
              <c:f>Sheet1!$B$3:$E$3</c:f>
              <c:numCache>
                <c:formatCode>General</c:formatCode>
                <c:ptCount val="4"/>
                <c:pt idx="0">
                  <c:v>12830.31</c:v>
                </c:pt>
              </c:numCache>
            </c:numRef>
          </c:val>
        </c:ser>
        <c:dLbls>
          <c:showLegendKey val="0"/>
          <c:showVal val="1"/>
          <c:showCatName val="0"/>
          <c:showSerName val="0"/>
          <c:showPercent val="0"/>
          <c:showBubbleSize val="0"/>
        </c:dLbls>
        <c:gapWidth val="219"/>
        <c:overlap val="-27"/>
        <c:axId val="163955072"/>
        <c:axId val="163956608"/>
      </c:barChart>
      <c:catAx>
        <c:axId val="163955072"/>
        <c:scaling>
          <c:orientation val="minMax"/>
        </c:scaling>
        <c:delete val="0"/>
        <c:axPos val="b"/>
        <c:numFmt formatCode="General" sourceLinked="1"/>
        <c:majorTickMark val="in"/>
        <c:minorTickMark val="none"/>
        <c:tickLblPos val="low"/>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3956608"/>
        <c:crosses val="autoZero"/>
        <c:auto val="1"/>
        <c:lblAlgn val="ctr"/>
        <c:lblOffset val="100"/>
        <c:tickLblSkip val="1"/>
        <c:noMultiLvlLbl val="0"/>
      </c:catAx>
      <c:valAx>
        <c:axId val="163956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none"/>
        <c:tickLblPos val="nextTo"/>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395507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200"/>
              <a:t>2022</a:t>
            </a:r>
            <a:r>
              <a:rPr altLang="en-US" sz="1200"/>
              <a:t>年一般公共预算财政拨款支出</a:t>
            </a:r>
            <a:r>
              <a:rPr sz="1200"/>
              <a:t>变动情况</a:t>
            </a:r>
            <a:endParaRPr sz="1200"/>
          </a:p>
        </c:rich>
      </c:tx>
      <c:layout>
        <c:manualLayout>
          <c:xMode val="edge"/>
          <c:yMode val="edge"/>
          <c:x val="0.128839358521337"/>
          <c:y val="0.0344661364184141"/>
        </c:manualLayout>
      </c:layout>
      <c:overlay val="0"/>
      <c:spPr>
        <a:noFill/>
        <a:ln>
          <a:noFill/>
        </a:ln>
        <a:effectLst/>
      </c:spPr>
    </c:title>
    <c:autoTitleDeleted val="0"/>
    <c:plotArea>
      <c:layout>
        <c:manualLayout>
          <c:layoutTarget val="inner"/>
          <c:xMode val="edge"/>
          <c:yMode val="edge"/>
          <c:x val="0.151007310535088"/>
          <c:y val="0.145125311470139"/>
          <c:w val="0.795719844357977"/>
          <c:h val="0.751748251748252"/>
        </c:manualLayout>
      </c:layout>
      <c:barChart>
        <c:barDir val="col"/>
        <c:grouping val="clustered"/>
        <c:varyColors val="0"/>
        <c:ser>
          <c:idx val="0"/>
          <c:order val="0"/>
          <c:tx>
            <c:strRef>
              <c:f>Sheet1!$A$2</c:f>
              <c:strCache>
                <c:ptCount val="1"/>
                <c:pt idx="0">
                  <c:v>2021年</c:v>
                </c:pt>
              </c:strCache>
            </c:strRef>
          </c:tx>
          <c:spPr>
            <a:solidFill>
              <a:schemeClr val="accent1"/>
            </a:solidFill>
            <a:ln>
              <a:noFill/>
            </a:ln>
            <a:effectLst/>
          </c:spPr>
          <c:invertIfNegative val="0"/>
          <c:dLbls>
            <c:dLbl>
              <c:idx val="0"/>
              <c:layout>
                <c:manualLayout>
                  <c:x val="-0.00174936386768448"/>
                  <c:y val="0.029328821206993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Sheet1!$B$1</c:f>
              <c:numCache>
                <c:formatCode>General</c:formatCode>
                <c:ptCount val="1"/>
              </c:numCache>
            </c:numRef>
          </c:cat>
          <c:val>
            <c:numRef>
              <c:f>Sheet1!$B$2</c:f>
              <c:numCache>
                <c:formatCode>General</c:formatCode>
                <c:ptCount val="1"/>
                <c:pt idx="0">
                  <c:v>13869.41</c:v>
                </c:pt>
              </c:numCache>
            </c:numRef>
          </c:val>
        </c:ser>
        <c:ser>
          <c:idx val="1"/>
          <c:order val="1"/>
          <c:tx>
            <c:strRef>
              <c:f>Sheet1!$A$3</c:f>
              <c:strCache>
                <c:ptCount val="1"/>
                <c:pt idx="0">
                  <c:v>2022年</c:v>
                </c:pt>
              </c:strCache>
            </c:strRef>
          </c:tx>
          <c:spPr>
            <a:solidFill>
              <a:schemeClr val="accent2"/>
            </a:solidFill>
            <a:ln>
              <a:noFill/>
            </a:ln>
            <a:effectLst/>
          </c:spPr>
          <c:invertIfNegative val="0"/>
          <c:dLbls>
            <c:dLbl>
              <c:idx val="0"/>
              <c:layout>
                <c:manualLayout>
                  <c:x val="-0.00174936386768448"/>
                  <c:y val="0.029328821206993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Sheet1!$B$1</c:f>
              <c:numCache>
                <c:formatCode>General</c:formatCode>
                <c:ptCount val="1"/>
              </c:numCache>
            </c:numRef>
          </c:cat>
          <c:val>
            <c:numRef>
              <c:f>Sheet1!$B$3</c:f>
              <c:numCache>
                <c:formatCode>General</c:formatCode>
                <c:ptCount val="1"/>
                <c:pt idx="0">
                  <c:v>7882.59</c:v>
                </c:pt>
              </c:numCache>
            </c:numRef>
          </c:val>
        </c:ser>
        <c:dLbls>
          <c:showLegendKey val="0"/>
          <c:showVal val="1"/>
          <c:showCatName val="0"/>
          <c:showSerName val="0"/>
          <c:showPercent val="0"/>
          <c:showBubbleSize val="0"/>
        </c:dLbls>
        <c:gapWidth val="219"/>
        <c:overlap val="-27"/>
        <c:axId val="163955072"/>
        <c:axId val="163956608"/>
      </c:barChart>
      <c:catAx>
        <c:axId val="163955072"/>
        <c:scaling>
          <c:orientation val="minMax"/>
        </c:scaling>
        <c:delete val="0"/>
        <c:axPos val="b"/>
        <c:numFmt formatCode="General" sourceLinked="1"/>
        <c:majorTickMark val="in"/>
        <c:minorTickMark val="none"/>
        <c:tickLblPos val="low"/>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3956608"/>
        <c:crosses val="autoZero"/>
        <c:auto val="1"/>
        <c:lblAlgn val="ctr"/>
        <c:lblOffset val="100"/>
        <c:tickLblSkip val="1"/>
        <c:noMultiLvlLbl val="0"/>
      </c:catAx>
      <c:valAx>
        <c:axId val="163956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none"/>
        <c:tickLblPos val="nextTo"/>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395507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777362133116421"/>
          <c:y val="0.135710823168735"/>
          <c:w val="0.499003789495393"/>
          <c:h val="0.728578353662532"/>
        </c:manualLayout>
      </c:layout>
      <c:pieChart>
        <c:varyColors val="1"/>
        <c:ser>
          <c:idx val="0"/>
          <c:order val="0"/>
          <c:tx>
            <c:strRef>
              <c:f>Sheet1!$B$1</c:f>
              <c:strCache>
                <c:ptCount val="1"/>
                <c:pt idx="0">
                  <c:v>销售额</c:v>
                </c:pt>
              </c:strCache>
            </c:strRef>
          </c:tx>
          <c:explosion val="0"/>
          <c:dPt>
            <c:idx val="0"/>
            <c:bubble3D val="0"/>
          </c:dPt>
          <c:dPt>
            <c:idx val="1"/>
            <c:bubble3D val="0"/>
          </c:dPt>
          <c:dPt>
            <c:idx val="2"/>
            <c:bubble3D val="0"/>
          </c:dPt>
          <c:dPt>
            <c:idx val="3"/>
            <c:bubble3D val="0"/>
          </c:dPt>
          <c:dPt>
            <c:idx val="4"/>
            <c:bubble3D val="0"/>
          </c:dPt>
          <c:dPt>
            <c:idx val="5"/>
            <c:bubble3D val="0"/>
          </c:dPt>
          <c:dLbls>
            <c:dLbl>
              <c:idx val="0"/>
              <c:layout>
                <c:manualLayout>
                  <c:x val="0.141529603727015"/>
                  <c:y val="-0.0077842215581250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226763572074903"/>
                  <c:y val="0.043661185429631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933479804400436"/>
                  <c:y val="-0.0183683753240561"/>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135440180586904"/>
                  <c:y val="-0.019898686848296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Sheet1!$A$2:$A$7</c:f>
              <c:strCache>
                <c:ptCount val="6"/>
                <c:pt idx="0">
                  <c:v>社会保障和就业</c:v>
                </c:pt>
                <c:pt idx="1">
                  <c:v>卫生健康支出</c:v>
                </c:pt>
                <c:pt idx="2">
                  <c:v>农林水支出</c:v>
                </c:pt>
                <c:pt idx="3">
                  <c:v>交通运输支出</c:v>
                </c:pt>
                <c:pt idx="4">
                  <c:v>住房保障支出</c:v>
                </c:pt>
                <c:pt idx="5">
                  <c:v>节能环保支出</c:v>
                </c:pt>
              </c:strCache>
            </c:strRef>
          </c:cat>
          <c:val>
            <c:numRef>
              <c:f>Sheet1!$B$2:$B$7</c:f>
              <c:numCache>
                <c:formatCode>0.00%</c:formatCode>
                <c:ptCount val="6"/>
                <c:pt idx="0">
                  <c:v>0.0208</c:v>
                </c:pt>
                <c:pt idx="1">
                  <c:v>0.0093</c:v>
                </c:pt>
                <c:pt idx="2">
                  <c:v>0.3324</c:v>
                </c:pt>
                <c:pt idx="3">
                  <c:v>0.6161</c:v>
                </c:pt>
                <c:pt idx="4">
                  <c:v>0.0199</c:v>
                </c:pt>
                <c:pt idx="5">
                  <c:v>0.0015</c:v>
                </c:pt>
              </c:numCache>
            </c:numRef>
          </c:val>
        </c:ser>
        <c:dLbls>
          <c:showLegendKey val="0"/>
          <c:showVal val="1"/>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096646942801"/>
          <c:y val="0.14375"/>
          <c:w val="0.340197238658777"/>
          <c:h val="0.718666666666667"/>
        </c:manualLayout>
      </c:layout>
      <c:pieChart>
        <c:varyColors val="1"/>
        <c:ser>
          <c:idx val="0"/>
          <c:order val="0"/>
          <c:tx>
            <c:strRef>
              <c:f>Sheet1!$B$1</c:f>
              <c:strCache>
                <c:ptCount val="1"/>
                <c:pt idx="0">
                  <c:v>销售额</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公务用车购置及运行维护费支出</c:v>
                </c:pt>
                <c:pt idx="1">
                  <c:v>公务接待费支出</c:v>
                </c:pt>
              </c:strCache>
            </c:strRef>
          </c:cat>
          <c:val>
            <c:numRef>
              <c:f>Sheet1!$B$2:$B$3</c:f>
              <c:numCache>
                <c:formatCode>0.00%</c:formatCode>
                <c:ptCount val="2"/>
                <c:pt idx="0">
                  <c:v>0.586</c:v>
                </c:pt>
                <c:pt idx="1">
                  <c:v>0.414</c:v>
                </c:pt>
              </c:numCache>
            </c:numRef>
          </c:val>
        </c:ser>
        <c:dLbls>
          <c:showLegendKey val="0"/>
          <c:showVal val="1"/>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4.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1299</Words>
  <Characters>7410</Characters>
  <Lines>61</Lines>
  <Paragraphs>17</Paragraphs>
  <TotalTime>53</TotalTime>
  <ScaleCrop>false</ScaleCrop>
  <LinksUpToDate>false</LinksUpToDate>
  <CharactersWithSpaces>8692</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鲁静</cp:lastModifiedBy>
  <cp:lastPrinted>2023-10-11T06:18:00Z</cp:lastPrinted>
  <dcterms:modified xsi:type="dcterms:W3CDTF">2023-10-13T07:17:01Z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BB868FC8DC8B438D9F82AFCA8C35C3EA</vt:lpwstr>
  </property>
</Properties>
</file>