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EF977C">
      <w:pPr>
        <w:spacing w:line="600" w:lineRule="exact"/>
        <w:jc w:val="center"/>
        <w:outlineLvl w:val="0"/>
        <w:rPr>
          <w:rFonts w:ascii="方正小标宋简体" w:hAnsi="宋体" w:eastAsia="方正小标宋简体"/>
          <w:sz w:val="72"/>
          <w:szCs w:val="72"/>
        </w:rPr>
      </w:pPr>
      <w:bookmarkStart w:id="0" w:name="_Toc15377193"/>
      <w:bookmarkStart w:id="1" w:name="_Toc15377425"/>
      <w:bookmarkStart w:id="2" w:name="_Toc15396597"/>
      <w:bookmarkStart w:id="3" w:name="_Toc15378441"/>
      <w:bookmarkStart w:id="4" w:name="_Toc15396475"/>
      <w:bookmarkStart w:id="5" w:name="_Toc15306267"/>
    </w:p>
    <w:p w14:paraId="7A37C000">
      <w:pPr>
        <w:spacing w:line="600" w:lineRule="exact"/>
        <w:jc w:val="center"/>
        <w:outlineLvl w:val="0"/>
        <w:rPr>
          <w:rFonts w:ascii="方正小标宋简体" w:hAnsi="宋体" w:eastAsia="方正小标宋简体"/>
          <w:sz w:val="72"/>
          <w:szCs w:val="72"/>
        </w:rPr>
      </w:pPr>
    </w:p>
    <w:p w14:paraId="500C2951">
      <w:pPr>
        <w:spacing w:line="600" w:lineRule="exact"/>
        <w:jc w:val="center"/>
        <w:outlineLvl w:val="0"/>
        <w:rPr>
          <w:rFonts w:ascii="方正小标宋简体" w:hAnsi="宋体" w:eastAsia="方正小标宋简体"/>
          <w:sz w:val="72"/>
          <w:szCs w:val="72"/>
        </w:rPr>
      </w:pPr>
    </w:p>
    <w:p w14:paraId="2C0EA27B">
      <w:pPr>
        <w:spacing w:line="600" w:lineRule="exact"/>
        <w:jc w:val="center"/>
        <w:outlineLvl w:val="0"/>
        <w:rPr>
          <w:rFonts w:ascii="方正小标宋简体" w:hAnsi="宋体" w:eastAsia="方正小标宋简体"/>
          <w:sz w:val="72"/>
          <w:szCs w:val="72"/>
        </w:rPr>
      </w:pPr>
    </w:p>
    <w:bookmarkEnd w:id="0"/>
    <w:bookmarkEnd w:id="1"/>
    <w:bookmarkEnd w:id="2"/>
    <w:bookmarkEnd w:id="3"/>
    <w:bookmarkEnd w:id="4"/>
    <w:p w14:paraId="14BC74AE">
      <w:pPr>
        <w:adjustRightInd w:val="0"/>
        <w:snapToGrid w:val="0"/>
        <w:spacing w:line="360" w:lineRule="auto"/>
        <w:jc w:val="center"/>
        <w:outlineLvl w:val="0"/>
        <w:rPr>
          <w:rFonts w:ascii="方正小标宋简体" w:hAnsi="方正小标宋简体" w:eastAsia="方正小标宋简体" w:cs="方正小标宋简体"/>
          <w:sz w:val="72"/>
          <w:szCs w:val="72"/>
        </w:rPr>
      </w:pPr>
    </w:p>
    <w:p w14:paraId="5A3656B1">
      <w:pPr>
        <w:adjustRightInd w:val="0"/>
        <w:snapToGrid w:val="0"/>
        <w:spacing w:line="360" w:lineRule="auto"/>
        <w:jc w:val="center"/>
        <w:outlineLvl w:val="0"/>
        <w:rPr>
          <w:rFonts w:ascii="方正小标宋简体" w:hAnsi="方正小标宋简体" w:eastAsia="方正小标宋简体" w:cs="方正小标宋简体"/>
          <w:sz w:val="44"/>
          <w:szCs w:val="44"/>
        </w:rPr>
      </w:pPr>
      <w:bookmarkStart w:id="6" w:name="_Toc15396598"/>
      <w:bookmarkStart w:id="7" w:name="_Toc15396476"/>
      <w:bookmarkStart w:id="8" w:name="_Toc15377426"/>
      <w:bookmarkStart w:id="9" w:name="_Toc15378442"/>
      <w:bookmarkStart w:id="10" w:name="_Toc15377194"/>
      <w:r>
        <w:rPr>
          <w:rFonts w:hint="eastAsia" w:ascii="方正小标宋简体" w:hAnsi="方正小标宋简体" w:eastAsia="方正小标宋简体" w:cs="方正小标宋简体"/>
          <w:sz w:val="44"/>
          <w:szCs w:val="44"/>
        </w:rPr>
        <w:t>四川省</w:t>
      </w:r>
      <w:bookmarkEnd w:id="5"/>
      <w:bookmarkStart w:id="11" w:name="_Toc15306268"/>
      <w:r>
        <w:rPr>
          <w:rFonts w:hint="eastAsia" w:ascii="方正小标宋简体" w:hAnsi="方正小标宋简体" w:eastAsia="方正小标宋简体" w:cs="方正小标宋简体"/>
          <w:sz w:val="44"/>
          <w:szCs w:val="44"/>
        </w:rPr>
        <w:t>乐山市沐川县综合行政执法局</w:t>
      </w:r>
    </w:p>
    <w:p w14:paraId="3D7558E9">
      <w:pPr>
        <w:adjustRightInd w:val="0"/>
        <w:snapToGrid w:val="0"/>
        <w:spacing w:line="360" w:lineRule="auto"/>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2022年度部门决算</w:t>
      </w:r>
      <w:bookmarkEnd w:id="6"/>
      <w:bookmarkEnd w:id="7"/>
      <w:bookmarkEnd w:id="8"/>
      <w:bookmarkEnd w:id="9"/>
      <w:bookmarkEnd w:id="10"/>
      <w:bookmarkEnd w:id="11"/>
    </w:p>
    <w:p w14:paraId="006FFC8A">
      <w:pPr>
        <w:adjustRightInd w:val="0"/>
        <w:snapToGrid w:val="0"/>
        <w:spacing w:line="360" w:lineRule="auto"/>
        <w:jc w:val="center"/>
        <w:outlineLvl w:val="0"/>
        <w:rPr>
          <w:rFonts w:ascii="方正小标宋简体" w:hAnsi="宋体" w:eastAsia="方正小标宋简体"/>
          <w:sz w:val="52"/>
          <w:szCs w:val="52"/>
        </w:rPr>
      </w:pPr>
    </w:p>
    <w:p w14:paraId="53EB1013">
      <w:pPr>
        <w:widowControl/>
        <w:spacing w:line="600" w:lineRule="exact"/>
        <w:jc w:val="center"/>
        <w:rPr>
          <w:rFonts w:ascii="黑体" w:hAnsi="黑体" w:eastAsia="黑体"/>
          <w:sz w:val="48"/>
          <w:szCs w:val="48"/>
        </w:rPr>
      </w:pPr>
      <w:r>
        <w:rPr>
          <w:rFonts w:ascii="方正小标宋简体" w:hAnsi="宋体" w:eastAsia="方正小标宋简体"/>
          <w:sz w:val="36"/>
          <w:szCs w:val="36"/>
        </w:rPr>
        <w:br w:type="page"/>
      </w:r>
      <w:r>
        <w:rPr>
          <w:rFonts w:hint="eastAsia" w:ascii="方正小标宋简体" w:hAnsi="方正小标宋简体" w:eastAsia="方正小标宋简体" w:cs="方正小标宋简体"/>
          <w:sz w:val="44"/>
          <w:szCs w:val="44"/>
        </w:rPr>
        <w:t>目录</w:t>
      </w:r>
    </w:p>
    <w:p w14:paraId="6619A465">
      <w:pPr>
        <w:widowControl/>
        <w:spacing w:line="600" w:lineRule="exact"/>
        <w:jc w:val="center"/>
        <w:rPr>
          <w:rFonts w:ascii="黑体" w:hAnsi="黑体" w:eastAsia="黑体" w:cstheme="minorBidi"/>
          <w:sz w:val="28"/>
          <w:szCs w:val="28"/>
        </w:rPr>
      </w:pPr>
    </w:p>
    <w:p w14:paraId="7915546E">
      <w:pPr>
        <w:pStyle w:val="11"/>
        <w:spacing w:line="600" w:lineRule="exact"/>
      </w:pPr>
      <w:r>
        <w:rPr>
          <w:rFonts w:hint="eastAsia"/>
        </w:rPr>
        <w:t>公开时间：2023年10月12日</w:t>
      </w:r>
    </w:p>
    <w:p w14:paraId="046DC827">
      <w:pPr>
        <w:spacing w:line="600" w:lineRule="exact"/>
      </w:pPr>
    </w:p>
    <w:p w14:paraId="024966C3">
      <w:pPr>
        <w:pStyle w:val="11"/>
        <w:adjustRightInd w:val="0"/>
        <w:snapToGrid w:val="0"/>
        <w:spacing w:before="0" w:line="600" w:lineRule="exact"/>
        <w:jc w:val="left"/>
        <w:rPr>
          <w:rFonts w:ascii="楷体_GB2312" w:hAnsi="楷体_GB2312" w:eastAsia="楷体_GB2312" w:cs="楷体_GB2312"/>
          <w:b/>
          <w:bCs/>
          <w:sz w:val="24"/>
          <w:szCs w:val="24"/>
        </w:rPr>
      </w:pPr>
      <w:r>
        <w:rPr>
          <w:rFonts w:hint="eastAsia" w:ascii="楷体_GB2312" w:hAnsi="楷体_GB2312" w:eastAsia="楷体_GB2312" w:cs="楷体_GB2312"/>
          <w:b/>
          <w:bCs/>
          <w:sz w:val="24"/>
        </w:rPr>
        <w:t>第一部分 部门概况</w:t>
      </w:r>
      <w:r>
        <w:rPr>
          <w:rFonts w:ascii="楷体_GB2312" w:hAnsi="黑体" w:eastAsia="楷体_GB2312"/>
          <w:b/>
        </w:rPr>
        <w:t>....................................</w:t>
      </w:r>
      <w:r>
        <w:rPr>
          <w:rFonts w:hint="eastAsia" w:ascii="楷体_GB2312" w:hAnsi="黑体" w:eastAsia="楷体_GB2312"/>
          <w:b/>
        </w:rPr>
        <w:t>.....4</w:t>
      </w:r>
    </w:p>
    <w:p w14:paraId="3E63EF14">
      <w:pPr>
        <w:pStyle w:val="12"/>
        <w:adjustRightInd w:val="0"/>
        <w:snapToGrid w:val="0"/>
        <w:spacing w:line="6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一、部门职责...........................</w:t>
      </w:r>
      <w:r>
        <w:rPr>
          <w:rFonts w:ascii="仿宋_GB2312" w:hAnsi="仿宋" w:eastAsia="仿宋_GB2312"/>
          <w:sz w:val="28"/>
          <w:szCs w:val="28"/>
        </w:rPr>
        <w:t>..........</w:t>
      </w:r>
      <w:r>
        <w:rPr>
          <w:rFonts w:hint="eastAsia" w:ascii="仿宋_GB2312" w:hAnsi="仿宋" w:eastAsia="仿宋_GB2312"/>
          <w:sz w:val="28"/>
          <w:szCs w:val="28"/>
        </w:rPr>
        <w:t>....4</w:t>
      </w:r>
    </w:p>
    <w:p w14:paraId="55BC563E">
      <w:pPr>
        <w:pStyle w:val="12"/>
        <w:adjustRightInd w:val="0"/>
        <w:snapToGrid w:val="0"/>
        <w:spacing w:line="6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二、机构设置</w:t>
      </w:r>
      <w:r>
        <w:rPr>
          <w:rFonts w:ascii="仿宋_GB2312" w:hAnsi="仿宋" w:eastAsia="仿宋_GB2312"/>
          <w:sz w:val="28"/>
          <w:szCs w:val="28"/>
        </w:rPr>
        <w:t>...........................</w:t>
      </w:r>
      <w:r>
        <w:rPr>
          <w:rFonts w:hint="eastAsia" w:ascii="仿宋_GB2312" w:hAnsi="仿宋" w:eastAsia="仿宋_GB2312"/>
          <w:sz w:val="28"/>
          <w:szCs w:val="28"/>
        </w:rPr>
        <w:t>..............11</w:t>
      </w:r>
    </w:p>
    <w:p w14:paraId="2C88C73C">
      <w:pPr>
        <w:pStyle w:val="11"/>
        <w:adjustRightInd w:val="0"/>
        <w:snapToGrid w:val="0"/>
        <w:spacing w:before="0" w:line="600" w:lineRule="exact"/>
        <w:jc w:val="left"/>
        <w:rPr>
          <w:rFonts w:ascii="楷体_GB2312" w:hAnsi="楷体_GB2312" w:eastAsia="楷体_GB2312" w:cs="楷体_GB2312"/>
          <w:b/>
          <w:bCs/>
        </w:rPr>
      </w:pPr>
      <w:r>
        <w:rPr>
          <w:rFonts w:hint="eastAsia" w:ascii="楷体_GB2312" w:hAnsi="楷体_GB2312" w:eastAsia="楷体_GB2312" w:cs="楷体_GB2312"/>
          <w:b/>
          <w:bCs/>
        </w:rPr>
        <w:t>第二部分 2022年度部门决算情况说明</w:t>
      </w:r>
      <w:r>
        <w:rPr>
          <w:rFonts w:ascii="楷体_GB2312" w:hAnsi="黑体" w:eastAsia="楷体_GB2312"/>
          <w:b/>
        </w:rPr>
        <w:t>......................</w:t>
      </w:r>
      <w:r>
        <w:rPr>
          <w:rFonts w:hint="eastAsia" w:ascii="楷体_GB2312" w:hAnsi="黑体" w:eastAsia="楷体_GB2312"/>
          <w:b/>
        </w:rPr>
        <w:t>12</w:t>
      </w:r>
    </w:p>
    <w:p w14:paraId="4F8B1ED7">
      <w:pPr>
        <w:pStyle w:val="12"/>
        <w:adjustRightInd w:val="0"/>
        <w:snapToGrid w:val="0"/>
        <w:spacing w:line="6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r>
        <w:rPr>
          <w:rFonts w:ascii="仿宋_GB2312" w:hAnsi="仿宋" w:eastAsia="仿宋_GB2312"/>
          <w:sz w:val="28"/>
          <w:szCs w:val="28"/>
        </w:rPr>
        <w:t>.........................</w:t>
      </w:r>
      <w:r>
        <w:rPr>
          <w:rFonts w:hint="eastAsia" w:ascii="仿宋_GB2312" w:hAnsi="仿宋" w:eastAsia="仿宋_GB2312"/>
          <w:sz w:val="28"/>
          <w:szCs w:val="28"/>
        </w:rPr>
        <w:t>12</w:t>
      </w:r>
    </w:p>
    <w:p w14:paraId="0D096453">
      <w:pPr>
        <w:pStyle w:val="12"/>
        <w:adjustRightInd w:val="0"/>
        <w:snapToGrid w:val="0"/>
        <w:spacing w:line="6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r>
        <w:rPr>
          <w:rFonts w:ascii="仿宋_GB2312" w:hAnsi="仿宋" w:eastAsia="仿宋_GB2312"/>
          <w:sz w:val="28"/>
          <w:szCs w:val="28"/>
        </w:rPr>
        <w:t>........................</w:t>
      </w:r>
      <w:r>
        <w:rPr>
          <w:rFonts w:hint="eastAsia" w:ascii="仿宋_GB2312" w:hAnsi="仿宋" w:eastAsia="仿宋_GB2312"/>
          <w:sz w:val="28"/>
          <w:szCs w:val="28"/>
        </w:rPr>
        <w:t>.........12</w:t>
      </w:r>
    </w:p>
    <w:p w14:paraId="03A50036">
      <w:pPr>
        <w:pStyle w:val="12"/>
        <w:adjustRightInd w:val="0"/>
        <w:snapToGrid w:val="0"/>
        <w:spacing w:line="6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三、支出决算情况说明</w:t>
      </w:r>
      <w:r>
        <w:rPr>
          <w:rFonts w:ascii="仿宋_GB2312" w:hAnsi="仿宋" w:eastAsia="仿宋_GB2312"/>
          <w:sz w:val="28"/>
          <w:szCs w:val="28"/>
        </w:rPr>
        <w:t>........................</w:t>
      </w:r>
      <w:r>
        <w:rPr>
          <w:rFonts w:hint="eastAsia" w:ascii="仿宋_GB2312" w:hAnsi="仿宋" w:eastAsia="仿宋_GB2312"/>
          <w:sz w:val="28"/>
          <w:szCs w:val="28"/>
        </w:rPr>
        <w:t>.........13</w:t>
      </w:r>
    </w:p>
    <w:p w14:paraId="70AE0BD2">
      <w:pPr>
        <w:pStyle w:val="12"/>
        <w:adjustRightInd w:val="0"/>
        <w:snapToGrid w:val="0"/>
        <w:spacing w:line="6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四、财政拨款收入支出决算总体情况说明.................14</w:t>
      </w:r>
    </w:p>
    <w:p w14:paraId="54ADF87D">
      <w:pPr>
        <w:pStyle w:val="12"/>
        <w:adjustRightInd w:val="0"/>
        <w:snapToGrid w:val="0"/>
        <w:spacing w:line="6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五、一般公共预算财政拨款支出决算情况说明.............14</w:t>
      </w:r>
    </w:p>
    <w:p w14:paraId="0B8C77BE">
      <w:pPr>
        <w:pStyle w:val="12"/>
        <w:adjustRightInd w:val="0"/>
        <w:snapToGrid w:val="0"/>
        <w:spacing w:line="6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六、一般公共预算财政拨款基本支出决算情况说明.........17七、财政拨款“三公”经费支出决算情况说明.............18</w:t>
      </w:r>
    </w:p>
    <w:p w14:paraId="1D19C301">
      <w:pPr>
        <w:pStyle w:val="12"/>
        <w:adjustRightInd w:val="0"/>
        <w:snapToGrid w:val="0"/>
        <w:spacing w:line="6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八、政府性基金预算支出决算情况说明...................20</w:t>
      </w:r>
    </w:p>
    <w:p w14:paraId="59558EE7">
      <w:pPr>
        <w:pStyle w:val="12"/>
        <w:adjustRightInd w:val="0"/>
        <w:snapToGrid w:val="0"/>
        <w:spacing w:line="600" w:lineRule="exact"/>
        <w:ind w:leftChars="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九、国有资本经营预算支出决算情况说明.................20</w:t>
      </w:r>
    </w:p>
    <w:p w14:paraId="6E062DEC">
      <w:pPr>
        <w:adjustRightInd w:val="0"/>
        <w:snapToGrid w:val="0"/>
        <w:spacing w:line="600" w:lineRule="exact"/>
        <w:ind w:firstLine="490" w:firstLineChars="175"/>
        <w:jc w:val="left"/>
        <w:rPr>
          <w:rFonts w:ascii="仿宋_GB2312" w:hAnsi="仿宋_GB2312" w:eastAsia="仿宋_GB2312" w:cs="仿宋_GB2312"/>
          <w:sz w:val="28"/>
          <w:szCs w:val="28"/>
        </w:rPr>
      </w:pPr>
      <w:r>
        <w:rPr>
          <w:rStyle w:val="19"/>
          <w:rFonts w:hint="eastAsia" w:ascii="仿宋_GB2312" w:hAnsi="仿宋_GB2312" w:eastAsia="仿宋_GB2312" w:cs="仿宋_GB2312"/>
          <w:color w:val="auto"/>
          <w:sz w:val="28"/>
          <w:szCs w:val="28"/>
          <w:u w:val="none"/>
        </w:rPr>
        <w:t>十、</w:t>
      </w:r>
      <w:r>
        <w:rPr>
          <w:rFonts w:hint="eastAsia" w:ascii="仿宋_GB2312" w:hAnsi="仿宋_GB2312" w:eastAsia="仿宋_GB2312" w:cs="仿宋_GB2312"/>
          <w:sz w:val="28"/>
          <w:szCs w:val="28"/>
        </w:rPr>
        <w:t>其他重要事项的情况说明...........................20</w:t>
      </w:r>
    </w:p>
    <w:p w14:paraId="4ABD8949">
      <w:pPr>
        <w:adjustRightInd w:val="0"/>
        <w:snapToGrid w:val="0"/>
        <w:spacing w:line="600" w:lineRule="exact"/>
        <w:jc w:val="left"/>
        <w:rPr>
          <w:rFonts w:ascii="楷体_GB2312" w:hAnsi="楷体_GB2312" w:eastAsia="楷体_GB2312" w:cs="楷体_GB2312"/>
          <w:b/>
          <w:bCs/>
          <w:sz w:val="28"/>
          <w:szCs w:val="28"/>
        </w:rPr>
      </w:pPr>
      <w:r>
        <w:rPr>
          <w:rFonts w:hint="eastAsia" w:ascii="楷体_GB2312" w:hAnsi="楷体_GB2312" w:eastAsia="楷体_GB2312" w:cs="楷体_GB2312"/>
          <w:b/>
          <w:bCs/>
          <w:sz w:val="28"/>
          <w:szCs w:val="28"/>
        </w:rPr>
        <w:t>第三部分 名词解释</w:t>
      </w:r>
      <w:r>
        <w:rPr>
          <w:rFonts w:ascii="楷体_GB2312" w:hAnsi="黑体" w:eastAsia="楷体_GB2312"/>
          <w:b/>
        </w:rPr>
        <w:t>...........................</w:t>
      </w:r>
      <w:r>
        <w:rPr>
          <w:rFonts w:hint="eastAsia" w:ascii="楷体_GB2312" w:hAnsi="黑体" w:eastAsia="楷体_GB2312"/>
          <w:b/>
        </w:rPr>
        <w:t>.........................</w:t>
      </w:r>
      <w:r>
        <w:rPr>
          <w:rFonts w:hint="eastAsia" w:ascii="楷体_GB2312" w:hAnsi="黑体" w:eastAsia="楷体_GB2312"/>
          <w:b/>
          <w:sz w:val="28"/>
          <w:szCs w:val="28"/>
        </w:rPr>
        <w:t xml:space="preserve">22 </w:t>
      </w:r>
      <w:r>
        <w:rPr>
          <w:rFonts w:hint="eastAsia" w:ascii="楷体_GB2312" w:hAnsi="黑体" w:eastAsia="楷体_GB2312"/>
          <w:b/>
        </w:rPr>
        <w:t xml:space="preserve">    </w:t>
      </w:r>
    </w:p>
    <w:p w14:paraId="7DA690B0">
      <w:pPr>
        <w:pStyle w:val="11"/>
        <w:adjustRightInd w:val="0"/>
        <w:snapToGrid w:val="0"/>
        <w:spacing w:before="0" w:line="600" w:lineRule="exact"/>
        <w:jc w:val="left"/>
        <w:rPr>
          <w:rFonts w:ascii="楷体_GB2312" w:hAnsi="黑体" w:eastAsia="楷体_GB2312"/>
          <w:b/>
        </w:rPr>
      </w:pPr>
      <w:r>
        <w:rPr>
          <w:rFonts w:hint="eastAsia" w:ascii="楷体_GB2312" w:hAnsi="楷体_GB2312" w:eastAsia="楷体_GB2312" w:cs="楷体_GB2312"/>
          <w:b/>
          <w:bCs/>
        </w:rPr>
        <w:t>第四部分 附件</w:t>
      </w:r>
      <w:r>
        <w:rPr>
          <w:rFonts w:ascii="楷体_GB2312" w:hAnsi="黑体" w:eastAsia="楷体_GB2312"/>
          <w:b/>
        </w:rPr>
        <w:t>...........................</w:t>
      </w:r>
      <w:r>
        <w:rPr>
          <w:rFonts w:hint="eastAsia" w:ascii="楷体_GB2312" w:hAnsi="黑体" w:eastAsia="楷体_GB2312"/>
          <w:b/>
        </w:rPr>
        <w:t>................25</w:t>
      </w:r>
    </w:p>
    <w:p w14:paraId="15148178">
      <w:pPr>
        <w:pStyle w:val="11"/>
        <w:adjustRightInd w:val="0"/>
        <w:snapToGrid w:val="0"/>
        <w:spacing w:before="0" w:line="600" w:lineRule="exact"/>
        <w:ind w:firstLine="560" w:firstLineChars="200"/>
        <w:jc w:val="left"/>
        <w:rPr>
          <w:rFonts w:ascii="仿宋_GB2312" w:hAnsi="仿宋_GB2312" w:eastAsia="仿宋_GB2312" w:cs="仿宋_GB2312"/>
          <w:bCs/>
        </w:rPr>
      </w:pPr>
      <w:r>
        <w:rPr>
          <w:rFonts w:hint="eastAsia" w:ascii="仿宋_GB2312" w:hAnsi="仿宋_GB2312" w:eastAsia="仿宋_GB2312" w:cs="仿宋_GB2312"/>
          <w:bCs/>
        </w:rPr>
        <w:t>附件1.</w:t>
      </w:r>
      <w:r>
        <w:rPr>
          <w:rFonts w:ascii="楷体_GB2312" w:hAnsi="黑体" w:eastAsia="楷体_GB2312"/>
          <w:b/>
        </w:rPr>
        <w:t>...........................</w:t>
      </w:r>
      <w:r>
        <w:rPr>
          <w:rFonts w:hint="eastAsia" w:ascii="楷体_GB2312" w:hAnsi="黑体" w:eastAsia="楷体_GB2312"/>
          <w:b/>
        </w:rPr>
        <w:t>...................26</w:t>
      </w:r>
    </w:p>
    <w:p w14:paraId="53A5F0C8">
      <w:pPr>
        <w:ind w:left="1399" w:leftChars="266" w:hanging="840" w:hangingChars="3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附件2..</w:t>
      </w:r>
      <w:r>
        <w:rPr>
          <w:rFonts w:ascii="楷体_GB2312" w:hAnsi="黑体" w:eastAsia="楷体_GB2312"/>
          <w:b/>
        </w:rPr>
        <w:t>...................</w:t>
      </w:r>
      <w:r>
        <w:rPr>
          <w:rFonts w:hint="eastAsia" w:ascii="楷体_GB2312" w:hAnsi="黑体" w:eastAsia="楷体_GB2312"/>
          <w:b/>
        </w:rPr>
        <w:t>.........................................</w:t>
      </w:r>
      <w:r>
        <w:rPr>
          <w:rFonts w:hint="eastAsia" w:ascii="楷体_GB2312" w:hAnsi="黑体" w:eastAsia="楷体_GB2312"/>
          <w:b/>
          <w:sz w:val="28"/>
          <w:szCs w:val="28"/>
        </w:rPr>
        <w:t>40</w:t>
      </w:r>
    </w:p>
    <w:p w14:paraId="2A862AEB">
      <w:pPr>
        <w:pStyle w:val="11"/>
        <w:adjustRightInd w:val="0"/>
        <w:snapToGrid w:val="0"/>
        <w:spacing w:before="0" w:line="600" w:lineRule="exact"/>
        <w:jc w:val="left"/>
        <w:rPr>
          <w:rFonts w:ascii="楷体_GB2312" w:hAnsi="楷体_GB2312" w:eastAsia="楷体_GB2312" w:cs="楷体_GB2312"/>
          <w:b/>
          <w:bCs/>
        </w:rPr>
      </w:pPr>
      <w:r>
        <w:rPr>
          <w:rFonts w:hint="eastAsia" w:ascii="楷体_GB2312" w:hAnsi="楷体_GB2312" w:eastAsia="楷体_GB2312" w:cs="楷体_GB2312"/>
          <w:b/>
          <w:bCs/>
        </w:rPr>
        <w:t>第五部分 附表</w:t>
      </w:r>
      <w:r>
        <w:rPr>
          <w:rFonts w:ascii="楷体_GB2312" w:hAnsi="黑体" w:eastAsia="楷体_GB2312"/>
          <w:b/>
        </w:rPr>
        <w:t>...........................</w:t>
      </w:r>
      <w:r>
        <w:rPr>
          <w:rFonts w:hint="eastAsia" w:ascii="楷体_GB2312" w:hAnsi="黑体" w:eastAsia="楷体_GB2312"/>
          <w:b/>
        </w:rPr>
        <w:t>................64</w:t>
      </w:r>
    </w:p>
    <w:p w14:paraId="3C171493">
      <w:pPr>
        <w:pStyle w:val="12"/>
        <w:adjustRightInd w:val="0"/>
        <w:snapToGrid w:val="0"/>
        <w:spacing w:line="6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一、收入支出决算总表................................64</w:t>
      </w:r>
    </w:p>
    <w:p w14:paraId="25D5A66D">
      <w:pPr>
        <w:pStyle w:val="12"/>
        <w:adjustRightInd w:val="0"/>
        <w:snapToGrid w:val="0"/>
        <w:spacing w:line="6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二、收入决算表......................................64</w:t>
      </w:r>
    </w:p>
    <w:p w14:paraId="0C5695F3">
      <w:pPr>
        <w:pStyle w:val="12"/>
        <w:adjustRightInd w:val="0"/>
        <w:snapToGrid w:val="0"/>
        <w:spacing w:line="6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三、支出决算表......................................64</w:t>
      </w:r>
    </w:p>
    <w:p w14:paraId="7F97223B">
      <w:pPr>
        <w:pStyle w:val="12"/>
        <w:adjustRightInd w:val="0"/>
        <w:snapToGrid w:val="0"/>
        <w:spacing w:line="6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四、财政拨款收入支出决算总表........................64</w:t>
      </w:r>
    </w:p>
    <w:p w14:paraId="5C9D6421">
      <w:pPr>
        <w:pStyle w:val="12"/>
        <w:adjustRightInd w:val="0"/>
        <w:snapToGrid w:val="0"/>
        <w:spacing w:line="6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五、财政拨款支出决算明细表..........................64</w:t>
      </w:r>
    </w:p>
    <w:p w14:paraId="248D111B">
      <w:pPr>
        <w:pStyle w:val="12"/>
        <w:adjustRightInd w:val="0"/>
        <w:snapToGrid w:val="0"/>
        <w:spacing w:line="6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六、一般公共预算财政拨款支出决算表..................64</w:t>
      </w:r>
    </w:p>
    <w:p w14:paraId="311982F4">
      <w:pPr>
        <w:pStyle w:val="12"/>
        <w:adjustRightInd w:val="0"/>
        <w:snapToGrid w:val="0"/>
        <w:spacing w:line="6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七、一般公共预算财政拨款支出决算明细表..............64</w:t>
      </w:r>
    </w:p>
    <w:p w14:paraId="6D332A27">
      <w:pPr>
        <w:pStyle w:val="12"/>
        <w:adjustRightInd w:val="0"/>
        <w:snapToGrid w:val="0"/>
        <w:spacing w:line="6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八、一般公共预算财政拨款基本支出决算明细表..........64</w:t>
      </w:r>
    </w:p>
    <w:p w14:paraId="7DD2D0C1">
      <w:pPr>
        <w:pStyle w:val="12"/>
        <w:adjustRightInd w:val="0"/>
        <w:snapToGrid w:val="0"/>
        <w:spacing w:line="6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九、一般公共预算财政拨款项目支出决算表..............64</w:t>
      </w:r>
    </w:p>
    <w:p w14:paraId="2CA0B476">
      <w:pPr>
        <w:pStyle w:val="12"/>
        <w:adjustRightInd w:val="0"/>
        <w:snapToGrid w:val="0"/>
        <w:spacing w:line="6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十、政府性基金预算财政拨款收入支出决算表............64</w:t>
      </w:r>
    </w:p>
    <w:p w14:paraId="69104F9B">
      <w:pPr>
        <w:pStyle w:val="12"/>
        <w:adjustRightInd w:val="0"/>
        <w:snapToGrid w:val="0"/>
        <w:spacing w:line="6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十一、国有资本经营预算财政拨款收入支出决算表........64</w:t>
      </w:r>
    </w:p>
    <w:p w14:paraId="37C2B5EB">
      <w:pPr>
        <w:pStyle w:val="12"/>
        <w:adjustRightInd w:val="0"/>
        <w:snapToGrid w:val="0"/>
        <w:spacing w:line="6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十二、国有资本经营预算财政拨款支出决算表............64</w:t>
      </w:r>
    </w:p>
    <w:p w14:paraId="5D3085BA">
      <w:pPr>
        <w:pStyle w:val="12"/>
        <w:adjustRightInd w:val="0"/>
        <w:snapToGrid w:val="0"/>
        <w:spacing w:line="60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十三、财政拨款“三公”经费支出决算表................64</w:t>
      </w:r>
    </w:p>
    <w:p w14:paraId="1E92F877">
      <w:pPr>
        <w:pStyle w:val="12"/>
        <w:adjustRightInd w:val="0"/>
        <w:snapToGrid w:val="0"/>
        <w:spacing w:line="600" w:lineRule="exact"/>
        <w:jc w:val="left"/>
        <w:rPr>
          <w:rFonts w:ascii="仿宋_GB2312" w:hAnsi="仿宋_GB2312" w:eastAsia="仿宋_GB2312" w:cs="仿宋_GB2312"/>
          <w:sz w:val="28"/>
          <w:szCs w:val="28"/>
        </w:rPr>
      </w:pPr>
    </w:p>
    <w:p w14:paraId="56A10CB1">
      <w:pPr>
        <w:widowControl/>
        <w:adjustRightInd w:val="0"/>
        <w:snapToGrid w:val="0"/>
        <w:spacing w:line="600" w:lineRule="exact"/>
        <w:ind w:firstLine="1320" w:firstLineChars="550"/>
        <w:jc w:val="left"/>
        <w:rPr>
          <w:rFonts w:ascii="仿宋" w:hAnsi="仿宋" w:eastAsia="仿宋"/>
          <w:sz w:val="24"/>
        </w:rPr>
      </w:pPr>
    </w:p>
    <w:p w14:paraId="551DD490">
      <w:pPr>
        <w:widowControl/>
        <w:spacing w:line="600" w:lineRule="exact"/>
        <w:jc w:val="left"/>
        <w:rPr>
          <w:rFonts w:ascii="仿宋" w:hAnsi="仿宋" w:eastAsia="仿宋"/>
          <w:bCs/>
          <w:kern w:val="44"/>
          <w:sz w:val="24"/>
        </w:rPr>
      </w:pPr>
      <w:bookmarkStart w:id="12" w:name="_Toc15377196"/>
      <w:bookmarkStart w:id="13" w:name="_Toc15396599"/>
      <w:r>
        <w:rPr>
          <w:rFonts w:ascii="仿宋" w:hAnsi="仿宋" w:eastAsia="仿宋"/>
          <w:b/>
          <w:sz w:val="24"/>
        </w:rPr>
        <w:br w:type="page"/>
      </w:r>
    </w:p>
    <w:p w14:paraId="30413643">
      <w:pPr>
        <w:pStyle w:val="3"/>
        <w:spacing w:line="600" w:lineRule="exact"/>
        <w:jc w:val="center"/>
      </w:pPr>
      <w:r>
        <w:rPr>
          <w:rFonts w:hint="eastAsia" w:ascii="方正小标宋简体" w:hAnsi="方正小标宋简体" w:eastAsia="方正小标宋简体" w:cs="方正小标宋简体"/>
          <w:b w:val="0"/>
        </w:rPr>
        <w:t xml:space="preserve">第一部分 </w:t>
      </w:r>
      <w:r>
        <w:rPr>
          <w:rStyle w:val="28"/>
          <w:rFonts w:hint="eastAsia" w:ascii="方正小标宋简体" w:hAnsi="方正小标宋简体" w:eastAsia="方正小标宋简体" w:cs="方正小标宋简体"/>
          <w:b w:val="0"/>
          <w:bCs w:val="0"/>
        </w:rPr>
        <w:t>部门概况</w:t>
      </w:r>
      <w:bookmarkEnd w:id="12"/>
      <w:bookmarkEnd w:id="13"/>
    </w:p>
    <w:p w14:paraId="4847742E">
      <w:pPr>
        <w:pStyle w:val="4"/>
        <w:spacing w:line="600" w:lineRule="exact"/>
        <w:ind w:firstLine="640" w:firstLineChars="200"/>
        <w:rPr>
          <w:rStyle w:val="29"/>
          <w:rFonts w:ascii="黑体" w:hAnsi="黑体" w:eastAsia="黑体"/>
          <w:b w:val="0"/>
          <w:bCs w:val="0"/>
        </w:rPr>
      </w:pPr>
      <w:bookmarkStart w:id="14" w:name="_Toc15396600"/>
      <w:bookmarkStart w:id="15" w:name="_Toc15377197"/>
      <w:r>
        <w:rPr>
          <w:rFonts w:hint="eastAsia" w:ascii="黑体" w:hAnsi="黑体" w:eastAsia="黑体"/>
          <w:b w:val="0"/>
        </w:rPr>
        <w:t>一、</w:t>
      </w:r>
      <w:bookmarkEnd w:id="14"/>
      <w:bookmarkEnd w:id="15"/>
      <w:r>
        <w:rPr>
          <w:rFonts w:hint="eastAsia" w:ascii="黑体" w:hAnsi="黑体" w:eastAsia="黑体"/>
          <w:b w:val="0"/>
        </w:rPr>
        <w:t>部门职责</w:t>
      </w:r>
    </w:p>
    <w:p w14:paraId="12FA78E2">
      <w:pPr>
        <w:spacing w:line="600" w:lineRule="exact"/>
        <w:ind w:firstLine="643" w:firstLineChars="200"/>
        <w:rPr>
          <w:rFonts w:ascii="楷体_GB2312" w:hAnsi="楷体_GB2312" w:eastAsia="楷体_GB2312" w:cs="楷体_GB2312"/>
          <w:b/>
          <w:bCs/>
          <w:sz w:val="32"/>
          <w:szCs w:val="32"/>
        </w:rPr>
      </w:pPr>
      <w:r>
        <w:rPr>
          <w:rStyle w:val="29"/>
          <w:rFonts w:hint="eastAsia" w:ascii="楷体_GB2312" w:hAnsi="楷体_GB2312" w:eastAsia="楷体_GB2312" w:cs="楷体_GB2312"/>
        </w:rPr>
        <w:t>（一）主要职能</w:t>
      </w:r>
    </w:p>
    <w:p w14:paraId="4CDA638C">
      <w:pPr>
        <w:widowControl/>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沐川县综合行政执法局（简称县综合执法局）是沐川县人民政府工作部门，负责贯彻落实党中央、省委、市委关于综合行政执法工作的方针政策和县委的决策部署，在履行职责过程中坚持和加强党对综合行政执法工作的集中统一领导。主要职责是：</w:t>
      </w:r>
    </w:p>
    <w:p w14:paraId="652C4F56">
      <w:pPr>
        <w:widowControl/>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1.贯彻落实中央、省、市、县关于综合行政执法工作的有关规定，依据有关法律、法规和规章，组织起草全县综合行政执法领域有关规范性文件，拟订全县综合行政执法工作规划并组织实施，负责对全县综合行政执法工作的指导、协调、检查和监督。</w:t>
      </w:r>
    </w:p>
    <w:p w14:paraId="4A304406">
      <w:pPr>
        <w:widowControl/>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2.依照市场监管、农业、交通运输、文化市场等行业领域的法律、法规、规章的规定，在全县范围内依法行使行政检查权、行政强制权和行政处罚权。</w:t>
      </w:r>
    </w:p>
    <w:p w14:paraId="1E90892E">
      <w:pPr>
        <w:widowControl/>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3.组织有关行政处罚案件的会审、听证工作，承担行政应诉工作。</w:t>
      </w:r>
    </w:p>
    <w:p w14:paraId="78B18227">
      <w:pPr>
        <w:widowControl/>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4.</w:t>
      </w:r>
      <w:r>
        <w:rPr>
          <w:rFonts w:hint="eastAsia" w:ascii="仿宋_GB2312" w:hAnsi="仿宋" w:eastAsia="仿宋_GB2312"/>
          <w:sz w:val="32"/>
          <w:szCs w:val="32"/>
        </w:rPr>
        <w:t>受理相关违法违规行为的举报或部门移送案件线索的查处</w:t>
      </w:r>
      <w:r>
        <w:rPr>
          <w:rFonts w:hint="eastAsia" w:ascii="仿宋_GB2312" w:eastAsia="仿宋_GB2312"/>
          <w:kern w:val="0"/>
          <w:sz w:val="32"/>
          <w:szCs w:val="32"/>
        </w:rPr>
        <w:t>。</w:t>
      </w:r>
    </w:p>
    <w:p w14:paraId="485B2C90">
      <w:pPr>
        <w:widowControl/>
        <w:spacing w:line="600" w:lineRule="exact"/>
        <w:ind w:firstLine="640" w:firstLineChars="200"/>
        <w:jc w:val="left"/>
        <w:rPr>
          <w:rFonts w:ascii="仿宋_GB2312" w:hAnsi="仿宋" w:eastAsia="仿宋_GB2312"/>
          <w:sz w:val="32"/>
          <w:szCs w:val="32"/>
        </w:rPr>
      </w:pPr>
      <w:r>
        <w:rPr>
          <w:rFonts w:hint="eastAsia" w:ascii="仿宋_GB2312" w:eastAsia="仿宋_GB2312"/>
          <w:kern w:val="0"/>
          <w:sz w:val="32"/>
          <w:szCs w:val="32"/>
        </w:rPr>
        <w:t>5.</w:t>
      </w:r>
      <w:r>
        <w:rPr>
          <w:rFonts w:hint="eastAsia" w:ascii="仿宋_GB2312" w:hAnsi="仿宋" w:eastAsia="仿宋_GB2312"/>
          <w:sz w:val="32"/>
          <w:szCs w:val="32"/>
        </w:rPr>
        <w:t>做好“两法衔接”工作，按相关规定和程序向司法机关移送涉嫌犯罪的案件线索。</w:t>
      </w:r>
    </w:p>
    <w:p w14:paraId="33275908">
      <w:pPr>
        <w:widowControl/>
        <w:spacing w:line="60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6.负责配合相关行业主管部门的监督检查、行业整治等活动。</w:t>
      </w:r>
    </w:p>
    <w:p w14:paraId="3A6D3CD9">
      <w:pPr>
        <w:widowControl/>
        <w:spacing w:line="60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7.负责职责范围内的安全生产和职业健康、生态环境保护工作。</w:t>
      </w:r>
    </w:p>
    <w:p w14:paraId="3107ACAC">
      <w:pPr>
        <w:widowControl/>
        <w:spacing w:line="60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8.完成县委、县政府交办的其他工作。</w:t>
      </w:r>
    </w:p>
    <w:p w14:paraId="0A3B3422">
      <w:pPr>
        <w:pStyle w:val="6"/>
        <w:adjustRightInd w:val="0"/>
        <w:snapToGrid w:val="0"/>
        <w:spacing w:before="93" w:line="600" w:lineRule="exact"/>
        <w:ind w:firstLine="640" w:firstLineChars="200"/>
        <w:outlineLvl w:val="2"/>
        <w:rPr>
          <w:rFonts w:ascii="仿宋" w:hAnsi="仿宋" w:eastAsia="仿宋"/>
          <w:bCs/>
          <w:color w:val="000000"/>
          <w:sz w:val="32"/>
          <w:szCs w:val="32"/>
        </w:rPr>
      </w:pPr>
      <w:r>
        <w:rPr>
          <w:rFonts w:hint="eastAsia" w:hAnsi="仿宋"/>
          <w:sz w:val="32"/>
          <w:szCs w:val="32"/>
        </w:rPr>
        <w:t>9.与相关业务主管部门职责分工。县综合执法局负责对业务主管部门实施责令改正或停止违法行为等监管程序以后移交的违法案件实施行政处罚及行政强制工作，对做出的行政执法决定及执法过程中发现的问题，及时通报相关业务主管部门。县综合执法局在行使职权过程中需要相关业务主管部门及专业机构提供审批材料、技术鉴定和后续补救措施的，相关业务主管部门及专业机构应积极做好协调配合工作。各相关业务主管部门按照“谁主管、谁监管”的原则，负责各自领域违法行为的巡查监管职责和各自领域群众投诉举报、行业监督热线、“心连心”热线转办件的受理、核实及先期监管工作，对依法需要立案处罚的案件，以一案一函的形式连同相关证据、案源材料一并移交县综合执法局实施行政处罚；各相关业务主管部门要切实落实主体责任，依法履行相关政策，做好审查审批、批后监管、协调指导等工作，加强事中事后监管。对于紧急情况下应立即采取行政强制的案件，各相关业务主管部门应与县综合执法局建立联合执法机制和应急预案，做好源头发现，紧急强制及后续处罚工作。</w:t>
      </w:r>
    </w:p>
    <w:p w14:paraId="58978685">
      <w:pPr>
        <w:spacing w:line="600" w:lineRule="exact"/>
      </w:pPr>
    </w:p>
    <w:p w14:paraId="61F99BCC">
      <w:pPr>
        <w:pStyle w:val="6"/>
        <w:adjustRightInd w:val="0"/>
        <w:snapToGrid w:val="0"/>
        <w:spacing w:before="93" w:line="600" w:lineRule="exact"/>
        <w:ind w:firstLine="675" w:firstLineChars="210"/>
        <w:outlineLvl w:val="2"/>
        <w:rPr>
          <w:rFonts w:ascii="楷体_GB2312" w:hAnsi="楷体_GB2312" w:eastAsia="楷体_GB2312" w:cs="楷体_GB2312"/>
          <w:b/>
          <w:sz w:val="32"/>
          <w:szCs w:val="32"/>
        </w:rPr>
      </w:pPr>
      <w:bookmarkStart w:id="16" w:name="_Toc15377199"/>
      <w:bookmarkStart w:id="17" w:name="_Toc15378446"/>
      <w:r>
        <w:rPr>
          <w:rFonts w:hint="eastAsia" w:ascii="楷体_GB2312" w:hAnsi="楷体_GB2312" w:eastAsia="楷体_GB2312" w:cs="楷体_GB2312"/>
          <w:b/>
          <w:sz w:val="32"/>
          <w:szCs w:val="32"/>
        </w:rPr>
        <w:t>（二）2022年重点工作完成情况</w:t>
      </w:r>
      <w:bookmarkEnd w:id="16"/>
      <w:bookmarkEnd w:id="17"/>
    </w:p>
    <w:p w14:paraId="2F763231">
      <w:pPr>
        <w:spacing w:line="600" w:lineRule="exact"/>
        <w:ind w:firstLine="643" w:firstLineChars="200"/>
        <w:rPr>
          <w:rFonts w:ascii="仿宋_GB2312" w:hAnsi="仿宋_GB2312" w:eastAsia="仿宋_GB2312" w:cs="仿宋_GB2312"/>
          <w:sz w:val="32"/>
          <w:szCs w:val="32"/>
        </w:rPr>
      </w:pPr>
      <w:r>
        <w:rPr>
          <w:rFonts w:hint="eastAsia" w:eastAsia="楷体_GB2312"/>
          <w:b/>
          <w:sz w:val="32"/>
          <w:szCs w:val="32"/>
        </w:rPr>
        <w:t>1.强化</w:t>
      </w:r>
      <w:r>
        <w:rPr>
          <w:rFonts w:eastAsia="楷体_GB2312"/>
          <w:b/>
          <w:sz w:val="32"/>
          <w:szCs w:val="32"/>
        </w:rPr>
        <w:t>理论学习</w:t>
      </w:r>
      <w:r>
        <w:rPr>
          <w:rFonts w:hint="eastAsia" w:eastAsia="楷体_GB2312"/>
          <w:b/>
          <w:sz w:val="32"/>
          <w:szCs w:val="32"/>
        </w:rPr>
        <w:t>，</w:t>
      </w:r>
      <w:r>
        <w:rPr>
          <w:rFonts w:hint="eastAsia" w:ascii="楷体_GB2312" w:hAnsi="楷体_GB2312" w:eastAsia="楷体_GB2312" w:cs="楷体_GB2312"/>
          <w:b/>
          <w:sz w:val="32"/>
          <w:szCs w:val="32"/>
        </w:rPr>
        <w:t>落实岗位责任</w:t>
      </w:r>
      <w:r>
        <w:rPr>
          <w:rFonts w:hint="eastAsia" w:eastAsia="楷体_GB2312"/>
          <w:b/>
          <w:sz w:val="32"/>
          <w:szCs w:val="32"/>
        </w:rPr>
        <w:t>。</w:t>
      </w:r>
      <w:r>
        <w:rPr>
          <w:rFonts w:hint="eastAsia" w:eastAsia="仿宋_GB2312"/>
          <w:sz w:val="32"/>
          <w:szCs w:val="32"/>
        </w:rPr>
        <w:t>局党组坚定以习近平新时代中国特色社会主义思想为指导，深入学习贯彻党的二十大精神、习近平总书记来川视察重要指示精神和省第十二次党代会、市第八</w:t>
      </w:r>
      <w:r>
        <w:rPr>
          <w:rFonts w:hint="eastAsia" w:eastAsia="仿宋_GB2312"/>
          <w:sz w:val="32"/>
          <w:szCs w:val="32"/>
          <w:lang w:val="en-US" w:eastAsia="zh-CN"/>
        </w:rPr>
        <w:t>次</w:t>
      </w:r>
      <w:r>
        <w:rPr>
          <w:rFonts w:hint="eastAsia" w:eastAsia="仿宋_GB2312"/>
          <w:sz w:val="32"/>
          <w:szCs w:val="32"/>
        </w:rPr>
        <w:t>党代会和市委八届二次全会暨市委经济工作会议精神，先后召开党组（扩大）会议、理论学习中心组会议等专题会议传达学习，增强“四个意识”、坚定“四个自信”、做到“两个维护”，自觉做“两个确立”的忠诚拥护者和“两个维护”的坚定践行者，确保全县综合执法工作始终沿着习近平总书记指引的方向坚定前行。我局按照省、市、县统一部署和要求，积极有序推进综合执法改革。</w:t>
      </w:r>
    </w:p>
    <w:p w14:paraId="3CF002C2">
      <w:pPr>
        <w:spacing w:line="600" w:lineRule="exact"/>
        <w:ind w:firstLine="643" w:firstLineChars="200"/>
        <w:rPr>
          <w:rFonts w:ascii="仿宋_GB2312" w:hAnsi="仿宋_GB2312" w:eastAsia="仿宋_GB2312" w:cs="仿宋_GB2312"/>
          <w:sz w:val="32"/>
          <w:szCs w:val="32"/>
        </w:rPr>
      </w:pPr>
      <w:r>
        <w:rPr>
          <w:rFonts w:hint="eastAsia" w:eastAsia="楷体_GB2312"/>
          <w:b/>
          <w:sz w:val="32"/>
          <w:szCs w:val="32"/>
        </w:rPr>
        <w:t>2.持续抓好党建工作，坚持党建引领作用。</w:t>
      </w:r>
      <w:r>
        <w:rPr>
          <w:rFonts w:hint="eastAsia" w:ascii="仿宋_GB2312" w:eastAsia="仿宋_GB2312"/>
          <w:sz w:val="32"/>
          <w:szCs w:val="32"/>
        </w:rPr>
        <w:t>坚持以党建引领中心工作为统缆，以党组中心组学习为重点，依托集中学习会，主题党日、“三会一课”，创新理论学习方式。</w:t>
      </w:r>
      <w:r>
        <w:rPr>
          <w:rFonts w:hint="eastAsia" w:ascii="仿宋_GB2312" w:hAnsi="仿宋_GB2312" w:eastAsia="仿宋_GB2312" w:cs="仿宋_GB2312"/>
          <w:sz w:val="32"/>
          <w:szCs w:val="32"/>
        </w:rPr>
        <w:t>印发的《沐川县2022年机关党建工作要点》文件要求，结合我局工作实际，制定《2022年综合执法局党建工作要点》，完成机关党委换届选举工作。完成下属4个党支部的支部委员补选、换届选举工作。申报党建特色项目2个，发展党员2名。每月按照党建任务清单开展“主题党日”活动主题，按照县委关于建立党建同盟工作的要求，与县卫健局、人社局、医保局等部门建立卫生系统党建同盟，着力提升卫生系统党建+业务为民服务能力。与县交通运输局建立交通运输行业流动党支部，加强与交通运输行业从业基层党员联系，开展暖心关怀活动2次。积极配合县上核酸检测点党员志愿者服务工作，今年以来共派出党员志愿者30余人次。持续抓好我为群众办实事工作。党员干部带头，切实开展为群众办实事。今年以来，为群众办实事100余件，解决了群众急难愁盼事项。</w:t>
      </w:r>
    </w:p>
    <w:p w14:paraId="677C57CC">
      <w:pPr>
        <w:spacing w:line="600" w:lineRule="exact"/>
        <w:ind w:firstLine="643" w:firstLineChars="200"/>
        <w:rPr>
          <w:rFonts w:ascii="仿宋_GB2312" w:hAnsi="仿宋_GB2312" w:eastAsia="仿宋_GB2312" w:cs="仿宋_GB2312"/>
          <w:sz w:val="32"/>
          <w:szCs w:val="32"/>
        </w:rPr>
      </w:pPr>
      <w:r>
        <w:rPr>
          <w:rFonts w:hint="eastAsia" w:eastAsia="楷体_GB2312"/>
          <w:b/>
          <w:sz w:val="32"/>
          <w:szCs w:val="32"/>
        </w:rPr>
        <w:t>3.落实全面从严治党，加强党风廉政建设工作。</w:t>
      </w:r>
      <w:r>
        <w:rPr>
          <w:rFonts w:hint="eastAsia" w:ascii="仿宋_GB2312" w:hAnsi="仿宋_GB2312" w:eastAsia="仿宋_GB2312" w:cs="仿宋_GB2312"/>
          <w:sz w:val="32"/>
          <w:szCs w:val="32"/>
        </w:rPr>
        <w:t>按照沐川县委</w:t>
      </w:r>
      <w:r>
        <w:rPr>
          <w:rFonts w:eastAsia="仿宋_GB2312"/>
          <w:sz w:val="32"/>
          <w:szCs w:val="32"/>
        </w:rPr>
        <w:t>关于进一步加强干部作风建设</w:t>
      </w:r>
      <w:r>
        <w:rPr>
          <w:rFonts w:hint="eastAsia" w:eastAsia="仿宋_GB2312"/>
          <w:sz w:val="32"/>
          <w:szCs w:val="32"/>
        </w:rPr>
        <w:t>要求，局党组研究制定《</w:t>
      </w:r>
      <w:r>
        <w:rPr>
          <w:rFonts w:eastAsia="仿宋_GB2312"/>
          <w:sz w:val="32"/>
          <w:szCs w:val="32"/>
        </w:rPr>
        <w:t>关于进一步加强干部作风建设的</w:t>
      </w:r>
      <w:r>
        <w:rPr>
          <w:rFonts w:hint="eastAsia" w:eastAsia="仿宋_GB2312"/>
          <w:sz w:val="32"/>
          <w:szCs w:val="32"/>
        </w:rPr>
        <w:t>方案》，要求加强学习，全面自查自纠，强化监督检查，建立长效机制。</w:t>
      </w:r>
      <w:r>
        <w:rPr>
          <w:rFonts w:hint="eastAsia" w:eastAsia="仿宋_GB2312"/>
          <w:bCs/>
          <w:sz w:val="32"/>
          <w:szCs w:val="32"/>
        </w:rPr>
        <w:t>一是</w:t>
      </w:r>
      <w:r>
        <w:rPr>
          <w:rFonts w:eastAsia="仿宋_GB2312"/>
          <w:bCs/>
          <w:sz w:val="32"/>
          <w:szCs w:val="32"/>
        </w:rPr>
        <w:t>按照我局建立的岗位风险点，抓好全局干部职工岗位党风廉政建设工作。坚持在局干部职工大会，特别是节假日前职工大会上强调党风廉政建设工作，反腐拒变，严禁出现吃拿卡要等违规违纪行为</w:t>
      </w:r>
      <w:r>
        <w:rPr>
          <w:rFonts w:hint="eastAsia" w:eastAsia="仿宋_GB2312"/>
          <w:bCs/>
          <w:sz w:val="32"/>
          <w:szCs w:val="32"/>
        </w:rPr>
        <w:t>。二是</w:t>
      </w:r>
      <w:r>
        <w:rPr>
          <w:rFonts w:eastAsia="仿宋_GB2312"/>
          <w:bCs/>
          <w:sz w:val="32"/>
          <w:szCs w:val="32"/>
        </w:rPr>
        <w:t>局党组将党风廉政建设和反腐败工作列入重要议事日程，专题研究部署党风廉政建设工作</w:t>
      </w:r>
      <w:r>
        <w:rPr>
          <w:rFonts w:hint="eastAsia" w:eastAsia="仿宋_GB2312"/>
          <w:bCs/>
          <w:sz w:val="32"/>
          <w:szCs w:val="32"/>
        </w:rPr>
        <w:t>3</w:t>
      </w:r>
      <w:r>
        <w:rPr>
          <w:rFonts w:eastAsia="仿宋_GB2312"/>
          <w:bCs/>
          <w:sz w:val="32"/>
          <w:szCs w:val="32"/>
        </w:rPr>
        <w:t>次。</w:t>
      </w:r>
      <w:r>
        <w:rPr>
          <w:rFonts w:hint="eastAsia" w:eastAsia="仿宋_GB2312"/>
          <w:bCs/>
          <w:sz w:val="32"/>
          <w:szCs w:val="32"/>
        </w:rPr>
        <w:t>三是开展作风建设，</w:t>
      </w:r>
      <w:r>
        <w:rPr>
          <w:rFonts w:eastAsia="仿宋_GB2312"/>
          <w:bCs/>
          <w:sz w:val="32"/>
          <w:szCs w:val="32"/>
        </w:rPr>
        <w:t>持续加强党风廉政建设工作。</w:t>
      </w:r>
      <w:r>
        <w:rPr>
          <w:rFonts w:hint="eastAsia" w:eastAsia="仿宋_GB2312"/>
          <w:bCs/>
          <w:sz w:val="32"/>
          <w:szCs w:val="32"/>
        </w:rPr>
        <w:t>局党组研究制定《关于进一步加强干部作风建设的方案》，召开干部作风建设专题职工大会3次，全局干部职工开展自查自纠，征求全县各部门、各乡镇干部作风建设意见20余份。四是按照</w:t>
      </w:r>
      <w:r>
        <w:rPr>
          <w:rFonts w:eastAsia="仿宋_GB2312"/>
          <w:bCs/>
          <w:sz w:val="32"/>
          <w:szCs w:val="32"/>
        </w:rPr>
        <w:t>县纪委</w:t>
      </w:r>
      <w:r>
        <w:rPr>
          <w:rFonts w:hint="eastAsia" w:eastAsia="仿宋_GB2312"/>
          <w:bCs/>
          <w:sz w:val="32"/>
          <w:szCs w:val="32"/>
        </w:rPr>
        <w:t>关于</w:t>
      </w:r>
      <w:r>
        <w:rPr>
          <w:rFonts w:eastAsia="仿宋_GB2312"/>
          <w:bCs/>
          <w:sz w:val="32"/>
          <w:szCs w:val="32"/>
        </w:rPr>
        <w:t>排查培训中公款旅游情况要求，开展单位全体</w:t>
      </w:r>
      <w:r>
        <w:rPr>
          <w:rFonts w:hint="eastAsia" w:eastAsia="仿宋_GB2312"/>
          <w:bCs/>
          <w:sz w:val="32"/>
          <w:szCs w:val="32"/>
        </w:rPr>
        <w:t>干部</w:t>
      </w:r>
      <w:r>
        <w:rPr>
          <w:rFonts w:eastAsia="仿宋_GB2312"/>
          <w:bCs/>
          <w:sz w:val="32"/>
          <w:szCs w:val="32"/>
        </w:rPr>
        <w:t>职工自查、排查工作，并配合县纪委派驻纪检组完成抽查</w:t>
      </w:r>
      <w:r>
        <w:rPr>
          <w:rFonts w:hint="eastAsia" w:eastAsia="仿宋_GB2312"/>
          <w:bCs/>
          <w:sz w:val="32"/>
          <w:szCs w:val="32"/>
        </w:rPr>
        <w:t>工作。</w:t>
      </w:r>
    </w:p>
    <w:p w14:paraId="07F14C17">
      <w:pPr>
        <w:adjustRightInd w:val="0"/>
        <w:snapToGrid w:val="0"/>
        <w:spacing w:line="600" w:lineRule="exact"/>
        <w:ind w:firstLine="643" w:firstLineChars="200"/>
        <w:rPr>
          <w:rFonts w:ascii="仿宋_GB2312" w:eastAsia="仿宋_GB2312"/>
          <w:sz w:val="32"/>
          <w:szCs w:val="32"/>
        </w:rPr>
      </w:pPr>
      <w:r>
        <w:rPr>
          <w:rFonts w:hint="eastAsia" w:eastAsia="楷体_GB2312"/>
          <w:b/>
          <w:sz w:val="32"/>
          <w:szCs w:val="32"/>
        </w:rPr>
        <w:t>4.抓好意识形态工作，坚守意识形态阵地。</w:t>
      </w:r>
      <w:r>
        <w:rPr>
          <w:rFonts w:hint="eastAsia" w:ascii="仿宋_GB2312" w:hAnsi="仿宋_GB2312" w:eastAsia="仿宋_GB2312" w:cs="仿宋_GB2312"/>
          <w:sz w:val="32"/>
          <w:szCs w:val="32"/>
        </w:rPr>
        <w:t>局领导班子始终高度重视</w:t>
      </w:r>
      <w:r>
        <w:rPr>
          <w:rFonts w:ascii="仿宋_GB2312" w:eastAsia="仿宋_GB2312"/>
          <w:sz w:val="32"/>
          <w:szCs w:val="32"/>
        </w:rPr>
        <w:t>意识形态工作</w:t>
      </w:r>
      <w:r>
        <w:rPr>
          <w:rFonts w:hint="eastAsia" w:ascii="仿宋_GB2312" w:eastAsia="仿宋_GB2312"/>
          <w:sz w:val="32"/>
          <w:szCs w:val="32"/>
        </w:rPr>
        <w:t>，</w:t>
      </w:r>
      <w:r>
        <w:rPr>
          <w:rFonts w:ascii="仿宋_GB2312" w:eastAsia="仿宋_GB2312"/>
          <w:sz w:val="32"/>
          <w:szCs w:val="32"/>
        </w:rPr>
        <w:t>全面落实意识形态工作责任制要求，把意识形态工作纳入党建工作责任制，纳入目标管理的重要内容，建立健全意识形态工作研判机制，坚持意识形态工作原则，细化责任，强化阵地意识，明确责任追究，形成意识形态工作齐抓共管的强大合力。</w:t>
      </w:r>
      <w:r>
        <w:rPr>
          <w:rFonts w:hint="eastAsia" w:eastAsia="仿宋_GB2312"/>
          <w:bCs/>
          <w:sz w:val="32"/>
          <w:szCs w:val="32"/>
        </w:rPr>
        <w:t>今年以来局党组会专题研究意识形态工作2次，开展党员干部谈心谈话30余人次</w:t>
      </w:r>
      <w:r>
        <w:rPr>
          <w:rFonts w:eastAsia="仿宋_GB2312"/>
          <w:bCs/>
          <w:sz w:val="32"/>
          <w:szCs w:val="32"/>
        </w:rPr>
        <w:t>。</w:t>
      </w:r>
      <w:r>
        <w:rPr>
          <w:rFonts w:hint="eastAsia" w:eastAsia="仿宋_GB2312"/>
          <w:bCs/>
          <w:sz w:val="32"/>
          <w:szCs w:val="32"/>
        </w:rPr>
        <w:t>坚持</w:t>
      </w:r>
      <w:r>
        <w:rPr>
          <w:rFonts w:eastAsia="仿宋_GB2312"/>
          <w:bCs/>
          <w:sz w:val="32"/>
          <w:szCs w:val="32"/>
        </w:rPr>
        <w:t>以学习型党组织建设为平台，把意识形态工作纳入学习内容，切实抓好党员干部职工思想教育和理论学习工作</w:t>
      </w:r>
      <w:r>
        <w:rPr>
          <w:rFonts w:hint="eastAsia" w:eastAsia="仿宋_GB2312"/>
          <w:bCs/>
          <w:sz w:val="32"/>
          <w:szCs w:val="32"/>
        </w:rPr>
        <w:t>，坚持每月督查全局干部职工“学习强国”学习情况</w:t>
      </w:r>
      <w:r>
        <w:rPr>
          <w:rFonts w:eastAsia="仿宋_GB2312"/>
          <w:bCs/>
          <w:sz w:val="32"/>
          <w:szCs w:val="32"/>
        </w:rPr>
        <w:t>。</w:t>
      </w:r>
      <w:r>
        <w:rPr>
          <w:rFonts w:hint="eastAsia" w:ascii="仿宋_GB2312" w:eastAsia="仿宋_GB2312"/>
          <w:sz w:val="32"/>
          <w:szCs w:val="32"/>
        </w:rPr>
        <w:t>严格审查对外信息发布，牢牢掌握舆论主阵地。加强网络正面宣传和舆论引导，妥善处置网络舆情和突发风险。</w:t>
      </w:r>
    </w:p>
    <w:p w14:paraId="2BF5AF1B">
      <w:pPr>
        <w:adjustRightInd w:val="0"/>
        <w:snapToGrid w:val="0"/>
        <w:spacing w:line="600" w:lineRule="exact"/>
        <w:ind w:firstLine="643" w:firstLineChars="200"/>
        <w:rPr>
          <w:rFonts w:eastAsia="楷体_GB2312"/>
          <w:b/>
          <w:sz w:val="32"/>
          <w:szCs w:val="32"/>
        </w:rPr>
      </w:pPr>
      <w:r>
        <w:rPr>
          <w:rFonts w:hint="eastAsia" w:eastAsia="楷体_GB2312"/>
          <w:b/>
          <w:sz w:val="32"/>
          <w:szCs w:val="32"/>
        </w:rPr>
        <w:t>5.凝心聚力，依法行政</w:t>
      </w:r>
    </w:p>
    <w:p w14:paraId="133E9A83">
      <w:pPr>
        <w:adjustRightInd w:val="0"/>
        <w:snapToGrid w:val="0"/>
        <w:spacing w:line="600" w:lineRule="exact"/>
        <w:ind w:firstLine="643" w:firstLineChars="200"/>
        <w:rPr>
          <w:rFonts w:eastAsia="仿宋_GB2312"/>
          <w:bCs/>
          <w:color w:val="FF0000"/>
          <w:sz w:val="32"/>
          <w:szCs w:val="32"/>
        </w:rPr>
      </w:pPr>
      <w:r>
        <w:rPr>
          <w:rStyle w:val="36"/>
          <w:rFonts w:eastAsia="仿宋_GB2312"/>
          <w:b/>
          <w:bCs/>
          <w:sz w:val="32"/>
          <w:szCs w:val="32"/>
        </w:rPr>
        <w:t>一是</w:t>
      </w:r>
      <w:r>
        <w:rPr>
          <w:rStyle w:val="36"/>
          <w:rFonts w:hint="eastAsia" w:eastAsia="仿宋_GB2312"/>
          <w:b/>
          <w:bCs/>
          <w:sz w:val="32"/>
          <w:szCs w:val="32"/>
        </w:rPr>
        <w:t>抓好</w:t>
      </w:r>
      <w:r>
        <w:rPr>
          <w:rStyle w:val="36"/>
          <w:rFonts w:eastAsia="仿宋_GB2312"/>
          <w:b/>
          <w:bCs/>
          <w:sz w:val="32"/>
          <w:szCs w:val="32"/>
        </w:rPr>
        <w:t>市场监管领域执法。</w:t>
      </w:r>
      <w:r>
        <w:rPr>
          <w:rFonts w:hint="eastAsia" w:eastAsia="仿宋_GB2312"/>
          <w:bCs/>
          <w:sz w:val="32"/>
          <w:szCs w:val="32"/>
        </w:rPr>
        <w:t>开展</w:t>
      </w:r>
      <w:r>
        <w:rPr>
          <w:rFonts w:eastAsia="仿宋_GB2312"/>
          <w:bCs/>
          <w:sz w:val="32"/>
          <w:szCs w:val="32"/>
          <w:lang w:val="zh-CN"/>
        </w:rPr>
        <w:t>药械安全执法检查、</w:t>
      </w:r>
      <w:r>
        <w:rPr>
          <w:rFonts w:eastAsia="仿宋_GB2312"/>
          <w:bCs/>
          <w:sz w:val="32"/>
          <w:szCs w:val="32"/>
        </w:rPr>
        <w:t>校园周边环境整治执法检查、</w:t>
      </w:r>
      <w:r>
        <w:rPr>
          <w:rFonts w:hint="eastAsia" w:eastAsia="仿宋_GB2312"/>
          <w:bCs/>
          <w:sz w:val="32"/>
          <w:szCs w:val="32"/>
        </w:rPr>
        <w:t>特种设备专项执法检查，</w:t>
      </w:r>
      <w:r>
        <w:rPr>
          <w:rFonts w:hint="eastAsia" w:eastAsia="仿宋_GB2312"/>
          <w:bCs/>
          <w:sz w:val="32"/>
          <w:szCs w:val="32"/>
          <w:lang w:val="zh-CN"/>
        </w:rPr>
        <w:t>卷烟零售行业联合执法检查，</w:t>
      </w:r>
      <w:r>
        <w:rPr>
          <w:rFonts w:hint="eastAsia" w:eastAsia="仿宋_GB2312"/>
          <w:bCs/>
          <w:sz w:val="32"/>
          <w:szCs w:val="32"/>
        </w:rPr>
        <w:t>会销场所专项执法检查等多次专项检查，出动执</w:t>
      </w:r>
      <w:r>
        <w:rPr>
          <w:rFonts w:eastAsia="仿宋_GB2312"/>
          <w:bCs/>
          <w:sz w:val="32"/>
          <w:szCs w:val="32"/>
        </w:rPr>
        <w:t>法人员</w:t>
      </w:r>
      <w:r>
        <w:rPr>
          <w:rFonts w:hint="eastAsia" w:eastAsia="仿宋_GB2312"/>
          <w:bCs/>
          <w:sz w:val="32"/>
          <w:szCs w:val="32"/>
        </w:rPr>
        <w:t>568</w:t>
      </w:r>
      <w:r>
        <w:rPr>
          <w:rFonts w:eastAsia="仿宋_GB2312"/>
          <w:bCs/>
          <w:sz w:val="32"/>
          <w:szCs w:val="32"/>
        </w:rPr>
        <w:t>人次</w:t>
      </w:r>
      <w:r>
        <w:rPr>
          <w:rFonts w:hint="eastAsia" w:eastAsia="仿宋_GB2312"/>
          <w:bCs/>
          <w:sz w:val="32"/>
          <w:szCs w:val="32"/>
        </w:rPr>
        <w:t>，</w:t>
      </w:r>
      <w:r>
        <w:rPr>
          <w:rFonts w:eastAsia="仿宋_GB2312"/>
          <w:bCs/>
          <w:sz w:val="32"/>
          <w:szCs w:val="32"/>
        </w:rPr>
        <w:t>执法车辆</w:t>
      </w:r>
      <w:r>
        <w:rPr>
          <w:rFonts w:hint="eastAsia" w:eastAsia="仿宋_GB2312"/>
          <w:bCs/>
          <w:sz w:val="32"/>
          <w:szCs w:val="32"/>
        </w:rPr>
        <w:t>258</w:t>
      </w:r>
      <w:r>
        <w:rPr>
          <w:rFonts w:eastAsia="仿宋_GB2312"/>
          <w:bCs/>
          <w:sz w:val="32"/>
          <w:szCs w:val="32"/>
        </w:rPr>
        <w:t>车次，检查食品餐饮经营户</w:t>
      </w:r>
      <w:r>
        <w:rPr>
          <w:rFonts w:hint="eastAsia" w:eastAsia="仿宋_GB2312"/>
          <w:bCs/>
          <w:sz w:val="32"/>
          <w:szCs w:val="32"/>
        </w:rPr>
        <w:t>1900余</w:t>
      </w:r>
      <w:r>
        <w:rPr>
          <w:rFonts w:eastAsia="仿宋_GB2312"/>
          <w:bCs/>
          <w:sz w:val="32"/>
          <w:szCs w:val="32"/>
        </w:rPr>
        <w:t>家次，药</w:t>
      </w:r>
      <w:r>
        <w:rPr>
          <w:rFonts w:hint="eastAsia" w:eastAsia="仿宋_GB2312"/>
          <w:bCs/>
          <w:sz w:val="32"/>
          <w:szCs w:val="32"/>
        </w:rPr>
        <w:t>械</w:t>
      </w:r>
      <w:r>
        <w:rPr>
          <w:rFonts w:eastAsia="仿宋_GB2312"/>
          <w:bCs/>
          <w:sz w:val="32"/>
          <w:szCs w:val="32"/>
        </w:rPr>
        <w:t>店</w:t>
      </w:r>
      <w:r>
        <w:rPr>
          <w:rFonts w:hint="eastAsia" w:eastAsia="仿宋_GB2312"/>
          <w:bCs/>
          <w:sz w:val="32"/>
          <w:szCs w:val="32"/>
        </w:rPr>
        <w:t>和</w:t>
      </w:r>
      <w:r>
        <w:rPr>
          <w:rFonts w:eastAsia="仿宋_GB2312"/>
          <w:bCs/>
          <w:sz w:val="32"/>
          <w:szCs w:val="32"/>
        </w:rPr>
        <w:t>医疗机构</w:t>
      </w:r>
      <w:r>
        <w:rPr>
          <w:rFonts w:hint="eastAsia" w:eastAsia="仿宋_GB2312"/>
          <w:bCs/>
          <w:sz w:val="32"/>
          <w:szCs w:val="32"/>
        </w:rPr>
        <w:t>189</w:t>
      </w:r>
      <w:r>
        <w:rPr>
          <w:rFonts w:eastAsia="仿宋_GB2312"/>
          <w:bCs/>
          <w:sz w:val="32"/>
          <w:szCs w:val="32"/>
        </w:rPr>
        <w:t>家次，</w:t>
      </w:r>
      <w:r>
        <w:rPr>
          <w:rFonts w:hint="eastAsia" w:eastAsia="仿宋_GB2312"/>
          <w:bCs/>
          <w:sz w:val="32"/>
          <w:szCs w:val="32"/>
        </w:rPr>
        <w:t>特种设备</w:t>
      </w:r>
      <w:r>
        <w:rPr>
          <w:rFonts w:eastAsia="仿宋_GB2312"/>
          <w:bCs/>
          <w:sz w:val="32"/>
          <w:szCs w:val="32"/>
        </w:rPr>
        <w:t>使用单位</w:t>
      </w:r>
      <w:r>
        <w:rPr>
          <w:rFonts w:hint="eastAsia" w:eastAsia="仿宋_GB2312"/>
          <w:bCs/>
          <w:sz w:val="32"/>
          <w:szCs w:val="32"/>
        </w:rPr>
        <w:t>36</w:t>
      </w:r>
      <w:r>
        <w:rPr>
          <w:rFonts w:eastAsia="仿宋_GB2312"/>
          <w:bCs/>
          <w:sz w:val="32"/>
          <w:szCs w:val="32"/>
        </w:rPr>
        <w:t>家次，集贸市场</w:t>
      </w:r>
      <w:r>
        <w:rPr>
          <w:rFonts w:hint="eastAsia" w:eastAsia="仿宋_GB2312"/>
          <w:bCs/>
          <w:sz w:val="32"/>
          <w:szCs w:val="32"/>
        </w:rPr>
        <w:t>89</w:t>
      </w:r>
      <w:r>
        <w:rPr>
          <w:rFonts w:eastAsia="仿宋_GB2312"/>
          <w:bCs/>
          <w:sz w:val="32"/>
          <w:szCs w:val="32"/>
        </w:rPr>
        <w:t>家次，学校食堂</w:t>
      </w:r>
      <w:r>
        <w:rPr>
          <w:rFonts w:hint="eastAsia" w:eastAsia="仿宋_GB2312"/>
          <w:bCs/>
          <w:sz w:val="32"/>
          <w:szCs w:val="32"/>
        </w:rPr>
        <w:t>78</w:t>
      </w:r>
      <w:r>
        <w:rPr>
          <w:rFonts w:eastAsia="仿宋_GB2312"/>
          <w:bCs/>
          <w:sz w:val="32"/>
          <w:szCs w:val="32"/>
        </w:rPr>
        <w:t>家次，</w:t>
      </w:r>
      <w:r>
        <w:rPr>
          <w:rFonts w:hint="eastAsia" w:eastAsia="仿宋_GB2312"/>
          <w:bCs/>
          <w:sz w:val="32"/>
          <w:szCs w:val="32"/>
        </w:rPr>
        <w:t>其他经营户310</w:t>
      </w:r>
      <w:r>
        <w:rPr>
          <w:rFonts w:eastAsia="仿宋_GB2312"/>
          <w:bCs/>
          <w:sz w:val="32"/>
          <w:szCs w:val="32"/>
        </w:rPr>
        <w:t>家次，</w:t>
      </w:r>
      <w:r>
        <w:rPr>
          <w:rFonts w:hint="eastAsia" w:eastAsia="仿宋_GB2312"/>
          <w:bCs/>
          <w:sz w:val="32"/>
          <w:szCs w:val="32"/>
        </w:rPr>
        <w:t>抽检67批次食品和28批次工业产品，</w:t>
      </w:r>
      <w:r>
        <w:rPr>
          <w:rFonts w:eastAsia="仿宋_GB2312"/>
          <w:bCs/>
          <w:sz w:val="32"/>
          <w:szCs w:val="32"/>
        </w:rPr>
        <w:t>立案查处</w:t>
      </w:r>
      <w:r>
        <w:rPr>
          <w:rFonts w:hint="eastAsia" w:eastAsia="仿宋_GB2312"/>
          <w:bCs/>
          <w:sz w:val="32"/>
          <w:szCs w:val="32"/>
        </w:rPr>
        <w:t>100余</w:t>
      </w:r>
      <w:r>
        <w:rPr>
          <w:rFonts w:eastAsia="仿宋_GB2312"/>
          <w:bCs/>
          <w:sz w:val="32"/>
          <w:szCs w:val="32"/>
        </w:rPr>
        <w:t>件。</w:t>
      </w:r>
    </w:p>
    <w:p w14:paraId="27529F0B">
      <w:pPr>
        <w:adjustRightInd w:val="0"/>
        <w:snapToGrid w:val="0"/>
        <w:spacing w:line="600" w:lineRule="exact"/>
        <w:ind w:firstLine="643" w:firstLineChars="200"/>
        <w:rPr>
          <w:rFonts w:eastAsia="仿宋_GB2312"/>
          <w:bCs/>
          <w:sz w:val="32"/>
          <w:szCs w:val="32"/>
        </w:rPr>
      </w:pPr>
      <w:r>
        <w:rPr>
          <w:rFonts w:eastAsia="仿宋_GB2312"/>
          <w:b/>
          <w:bCs/>
          <w:sz w:val="32"/>
          <w:szCs w:val="32"/>
        </w:rPr>
        <w:t>二是抓好交通领域执法。</w:t>
      </w:r>
      <w:r>
        <w:rPr>
          <w:rFonts w:eastAsia="仿宋_GB2312"/>
          <w:bCs/>
          <w:sz w:val="32"/>
          <w:szCs w:val="32"/>
        </w:rPr>
        <w:t>开展水陆交通执法检查，</w:t>
      </w:r>
      <w:r>
        <w:rPr>
          <w:rFonts w:hint="eastAsia" w:eastAsia="仿宋_GB2312"/>
          <w:bCs/>
          <w:sz w:val="32"/>
          <w:szCs w:val="32"/>
        </w:rPr>
        <w:t>出动执法人员4000余人次，共计检查车辆9000余台次，</w:t>
      </w:r>
      <w:r>
        <w:rPr>
          <w:rFonts w:eastAsia="仿宋_GB2312"/>
          <w:bCs/>
          <w:sz w:val="32"/>
          <w:szCs w:val="32"/>
        </w:rPr>
        <w:t>检查货运源头企业及运输企业</w:t>
      </w:r>
      <w:r>
        <w:rPr>
          <w:rFonts w:hint="eastAsia" w:eastAsia="仿宋_GB2312"/>
          <w:bCs/>
          <w:sz w:val="32"/>
          <w:szCs w:val="32"/>
        </w:rPr>
        <w:t>400</w:t>
      </w:r>
      <w:r>
        <w:rPr>
          <w:rFonts w:eastAsia="仿宋_GB2312"/>
          <w:bCs/>
          <w:sz w:val="32"/>
          <w:szCs w:val="32"/>
        </w:rPr>
        <w:t>次，</w:t>
      </w:r>
      <w:r>
        <w:rPr>
          <w:rFonts w:hint="eastAsia" w:eastAsia="仿宋_GB2312"/>
          <w:bCs/>
          <w:sz w:val="32"/>
          <w:szCs w:val="32"/>
        </w:rPr>
        <w:t>查处超限超载车辆101台次、非法客运车辆47台次以及非法改装、扬撒滴漏等各类违规违章行为共计650余起、卸载货物395.82吨，清理非公路标志标牌、标语等30余幅；清理路障、堆积物12处约50平方米。在今年年初和年中市县交通运输领域“打非百日攻坚”专项行动中分别取得全市排名第二和全市排名第一的成绩，有力确保了道路客货运输秩序，海事方面检查检查客渡船舶 、货船 、抽沙平台 、洗沙平台等客货运输平台300余艘（台）次，巡查黄丹、舟坝、杨村、铜街子等码头20余次，查出并整改安全隐患20余起；根据省市交通运输“三无船舶”整治工作要求，在全市率先完成“三无”的抽沙平台、洗沙平台上岸工作。完成五指山非现场超限检测站建设。</w:t>
      </w:r>
    </w:p>
    <w:p w14:paraId="4FD53459">
      <w:pPr>
        <w:spacing w:line="600" w:lineRule="exact"/>
        <w:ind w:firstLine="643" w:firstLineChars="200"/>
        <w:rPr>
          <w:rFonts w:eastAsia="仿宋_GB2312"/>
          <w:bCs/>
          <w:sz w:val="32"/>
          <w:szCs w:val="32"/>
        </w:rPr>
      </w:pPr>
      <w:r>
        <w:rPr>
          <w:rFonts w:eastAsia="仿宋_GB2312"/>
          <w:b/>
          <w:bCs/>
          <w:sz w:val="32"/>
          <w:szCs w:val="32"/>
        </w:rPr>
        <w:t>三是做好城市管理领域执法。</w:t>
      </w:r>
      <w:r>
        <w:rPr>
          <w:rFonts w:eastAsia="仿宋_GB2312"/>
          <w:bCs/>
          <w:sz w:val="32"/>
          <w:szCs w:val="32"/>
        </w:rPr>
        <w:t>常态化开展</w:t>
      </w:r>
      <w:r>
        <w:rPr>
          <w:rFonts w:hint="eastAsia" w:eastAsia="仿宋_GB2312"/>
          <w:bCs/>
          <w:sz w:val="32"/>
          <w:szCs w:val="32"/>
        </w:rPr>
        <w:t>了占道经营、乱停乱放、清理违规户外广告、县城规划区内乱搭乱建治理工作、城区扬尘污染防治等专项整治行动，共清理流动摊贩、出店经营、占道经营1.2万余起，规范劝导乱停乱放车辆5000余起，拆除破损及违规设置广告20个、横幅30余张，清理野广告3000余张。处理工地进出口、路面污染40余起，受理乱搭乱建投诉28起；组织实施强拆工作3次，共拆除乱搭乱建9处；宣传引导业主自行整改拆除3处。遏制了各类市容乱象。今年8月，根据乐城管委办〔2022〕3号文件要求，结合我县实际情况，联合多部门在醉氧天街打造“天街夜市”，通过规范设置和管理，把城市管理与经济发展紧密融合，进一步稳就业、保民生，释放城市活力。</w:t>
      </w:r>
    </w:p>
    <w:p w14:paraId="1248D88B">
      <w:pPr>
        <w:spacing w:line="600" w:lineRule="exact"/>
        <w:ind w:firstLine="643" w:firstLineChars="200"/>
        <w:rPr>
          <w:rFonts w:eastAsia="仿宋_GB2312"/>
          <w:bCs/>
          <w:sz w:val="32"/>
          <w:szCs w:val="32"/>
        </w:rPr>
      </w:pPr>
      <w:r>
        <w:rPr>
          <w:rFonts w:eastAsia="仿宋_GB2312"/>
          <w:b/>
          <w:bCs/>
          <w:sz w:val="32"/>
          <w:szCs w:val="32"/>
        </w:rPr>
        <w:t>四是抓好农、林业领域执法。</w:t>
      </w:r>
      <w:r>
        <w:rPr>
          <w:rFonts w:eastAsia="仿宋_GB2312"/>
          <w:bCs/>
          <w:sz w:val="32"/>
          <w:szCs w:val="32"/>
        </w:rPr>
        <w:t>开展农资市场、畜产品市场、农机市场执法检查</w:t>
      </w:r>
      <w:r>
        <w:rPr>
          <w:rFonts w:hint="eastAsia" w:eastAsia="仿宋_GB2312"/>
          <w:bCs/>
          <w:sz w:val="32"/>
          <w:szCs w:val="32"/>
        </w:rPr>
        <w:t>、长江十年禁捕源头治理、</w:t>
      </w:r>
      <w:r>
        <w:rPr>
          <w:rFonts w:eastAsia="仿宋_GB2312"/>
          <w:bCs/>
          <w:sz w:val="32"/>
          <w:szCs w:val="32"/>
        </w:rPr>
        <w:t>渔业资源保护，宅基地执法监督、违法案件查处和林业执法等工作。共计出动执法人员</w:t>
      </w:r>
      <w:r>
        <w:rPr>
          <w:rFonts w:hint="eastAsia" w:eastAsia="仿宋_GB2312"/>
          <w:bCs/>
          <w:sz w:val="32"/>
          <w:szCs w:val="32"/>
        </w:rPr>
        <w:t>600</w:t>
      </w:r>
      <w:r>
        <w:rPr>
          <w:rFonts w:eastAsia="仿宋_GB2312"/>
          <w:bCs/>
          <w:sz w:val="32"/>
          <w:szCs w:val="32"/>
        </w:rPr>
        <w:t>余人次，出动执法车辆</w:t>
      </w:r>
      <w:r>
        <w:rPr>
          <w:rFonts w:hint="eastAsia" w:eastAsia="仿宋_GB2312"/>
          <w:bCs/>
          <w:sz w:val="32"/>
          <w:szCs w:val="32"/>
        </w:rPr>
        <w:t>200</w:t>
      </w:r>
      <w:r>
        <w:rPr>
          <w:rFonts w:eastAsia="仿宋_GB2312"/>
          <w:bCs/>
          <w:sz w:val="32"/>
          <w:szCs w:val="32"/>
        </w:rPr>
        <w:t>余次、出动船艇巡查</w:t>
      </w:r>
      <w:r>
        <w:rPr>
          <w:rFonts w:hint="eastAsia" w:eastAsia="仿宋_GB2312"/>
          <w:bCs/>
          <w:sz w:val="32"/>
          <w:szCs w:val="32"/>
        </w:rPr>
        <w:t>60</w:t>
      </w:r>
      <w:r>
        <w:rPr>
          <w:rFonts w:eastAsia="仿宋_GB2312"/>
          <w:bCs/>
          <w:sz w:val="32"/>
          <w:szCs w:val="32"/>
        </w:rPr>
        <w:t>次，共检查农资经营门店</w:t>
      </w:r>
      <w:r>
        <w:rPr>
          <w:rFonts w:hint="eastAsia" w:eastAsia="仿宋_GB2312"/>
          <w:bCs/>
          <w:sz w:val="32"/>
          <w:szCs w:val="32"/>
        </w:rPr>
        <w:t>120</w:t>
      </w:r>
      <w:r>
        <w:rPr>
          <w:rFonts w:eastAsia="仿宋_GB2312"/>
          <w:bCs/>
          <w:sz w:val="32"/>
          <w:szCs w:val="32"/>
        </w:rPr>
        <w:t>余家次，</w:t>
      </w:r>
      <w:r>
        <w:rPr>
          <w:rFonts w:hint="eastAsia" w:eastAsia="仿宋_GB2312"/>
          <w:bCs/>
          <w:sz w:val="32"/>
          <w:szCs w:val="32"/>
        </w:rPr>
        <w:t>各类养殖场15个次，屠宰场15个次</w:t>
      </w:r>
      <w:r>
        <w:rPr>
          <w:rFonts w:eastAsia="仿宋_GB2312"/>
          <w:bCs/>
          <w:sz w:val="32"/>
          <w:szCs w:val="32"/>
        </w:rPr>
        <w:t>，兽药、饲料经营门市</w:t>
      </w:r>
      <w:r>
        <w:rPr>
          <w:rFonts w:hint="eastAsia" w:eastAsia="仿宋_GB2312"/>
          <w:bCs/>
          <w:sz w:val="32"/>
          <w:szCs w:val="32"/>
        </w:rPr>
        <w:t>45</w:t>
      </w:r>
      <w:r>
        <w:rPr>
          <w:rFonts w:eastAsia="仿宋_GB2312"/>
          <w:bCs/>
          <w:sz w:val="32"/>
          <w:szCs w:val="32"/>
        </w:rPr>
        <w:t>户，检查农机经营门店</w:t>
      </w:r>
      <w:r>
        <w:rPr>
          <w:rFonts w:hint="eastAsia" w:eastAsia="仿宋_GB2312"/>
          <w:bCs/>
          <w:sz w:val="32"/>
          <w:szCs w:val="32"/>
        </w:rPr>
        <w:t>49</w:t>
      </w:r>
      <w:r>
        <w:rPr>
          <w:rFonts w:eastAsia="仿宋_GB2312"/>
          <w:bCs/>
          <w:sz w:val="32"/>
          <w:szCs w:val="32"/>
        </w:rPr>
        <w:t>余家次</w:t>
      </w:r>
      <w:r>
        <w:rPr>
          <w:rFonts w:hint="eastAsia" w:eastAsia="仿宋_GB2312"/>
          <w:bCs/>
          <w:sz w:val="32"/>
          <w:szCs w:val="32"/>
        </w:rPr>
        <w:t>，暂扣鱼竿250余支，收缴禁用渔网30余副，批评教育违规垂钓200余人次，签承诺书30余份。</w:t>
      </w:r>
    </w:p>
    <w:p w14:paraId="053B4E9A">
      <w:pPr>
        <w:spacing w:line="600" w:lineRule="exact"/>
        <w:ind w:firstLine="643" w:firstLineChars="200"/>
        <w:rPr>
          <w:rFonts w:eastAsia="仿宋_GB2312"/>
          <w:bCs/>
          <w:sz w:val="32"/>
          <w:szCs w:val="32"/>
        </w:rPr>
      </w:pPr>
      <w:r>
        <w:rPr>
          <w:rFonts w:eastAsia="仿宋_GB2312"/>
          <w:b/>
          <w:bCs/>
          <w:sz w:val="32"/>
          <w:szCs w:val="32"/>
        </w:rPr>
        <w:t>五是抓好文旅领域执法</w:t>
      </w:r>
      <w:r>
        <w:rPr>
          <w:rFonts w:hint="eastAsia" w:eastAsia="仿宋_GB2312"/>
          <w:b/>
          <w:bCs/>
          <w:sz w:val="32"/>
          <w:szCs w:val="32"/>
        </w:rPr>
        <w:t>。</w:t>
      </w:r>
      <w:r>
        <w:rPr>
          <w:rFonts w:hint="eastAsia" w:eastAsia="仿宋_GB2312"/>
          <w:bCs/>
          <w:sz w:val="32"/>
          <w:szCs w:val="32"/>
        </w:rPr>
        <w:t>开展文化旅游市场双随机检查、知识产权周宣传活动，乐山市旅游市场专项整治行动。出动执法人员512次，检查县域KTV210家次、网吧157家次，对不符合疫情防控的部分KTV、网吧发出责令整改5份；检查印刷厂6家次、复印店43家次、书店38家次、音响摊3家次，检查旅游景点13家次、旅行社网点8家次，立案2起。</w:t>
      </w:r>
    </w:p>
    <w:p w14:paraId="2B11E695">
      <w:pPr>
        <w:spacing w:line="600" w:lineRule="exact"/>
        <w:ind w:firstLine="640" w:firstLineChars="200"/>
        <w:rPr>
          <w:rFonts w:eastAsia="仿宋_GB2312"/>
          <w:kern w:val="0"/>
          <w:sz w:val="32"/>
          <w:szCs w:val="32"/>
          <w:lang w:bidi="ar"/>
        </w:rPr>
      </w:pPr>
      <w:r>
        <w:rPr>
          <w:rFonts w:eastAsia="仿宋_GB2312"/>
          <w:sz w:val="32"/>
          <w:szCs w:val="32"/>
        </w:rPr>
        <w:t>目前，全局共查处各类违法行为</w:t>
      </w:r>
      <w:r>
        <w:rPr>
          <w:rFonts w:hint="eastAsia" w:eastAsia="仿宋_GB2312"/>
          <w:sz w:val="32"/>
          <w:szCs w:val="32"/>
        </w:rPr>
        <w:t>800</w:t>
      </w:r>
      <w:r>
        <w:rPr>
          <w:rFonts w:eastAsia="仿宋_GB2312"/>
          <w:sz w:val="32"/>
          <w:szCs w:val="32"/>
        </w:rPr>
        <w:t>余起，受理其他单位移交我局案件</w:t>
      </w:r>
      <w:r>
        <w:rPr>
          <w:rFonts w:hint="eastAsia" w:eastAsia="仿宋_GB2312"/>
          <w:sz w:val="32"/>
          <w:szCs w:val="32"/>
        </w:rPr>
        <w:t>线索90余</w:t>
      </w:r>
      <w:r>
        <w:rPr>
          <w:rFonts w:eastAsia="仿宋_GB2312"/>
          <w:sz w:val="32"/>
          <w:szCs w:val="32"/>
        </w:rPr>
        <w:t>起。受理来电来访投诉举报</w:t>
      </w:r>
      <w:r>
        <w:rPr>
          <w:rFonts w:hint="eastAsia" w:eastAsia="仿宋_GB2312"/>
          <w:sz w:val="32"/>
          <w:szCs w:val="32"/>
        </w:rPr>
        <w:t>200余</w:t>
      </w:r>
      <w:r>
        <w:rPr>
          <w:rFonts w:eastAsia="仿宋_GB2312"/>
          <w:sz w:val="32"/>
          <w:szCs w:val="32"/>
        </w:rPr>
        <w:t>件，心连心投诉举报</w:t>
      </w:r>
      <w:r>
        <w:rPr>
          <w:rFonts w:hint="eastAsia" w:eastAsia="仿宋_GB2312"/>
          <w:sz w:val="32"/>
          <w:szCs w:val="32"/>
        </w:rPr>
        <w:t>232</w:t>
      </w:r>
      <w:r>
        <w:rPr>
          <w:rFonts w:eastAsia="仿宋_GB2312"/>
          <w:sz w:val="32"/>
          <w:szCs w:val="32"/>
        </w:rPr>
        <w:t>件</w:t>
      </w:r>
      <w:r>
        <w:rPr>
          <w:rFonts w:eastAsia="仿宋_GB2312"/>
          <w:kern w:val="0"/>
          <w:sz w:val="32"/>
          <w:szCs w:val="32"/>
          <w:lang w:bidi="ar"/>
        </w:rPr>
        <w:t>，罚没收入</w:t>
      </w:r>
      <w:r>
        <w:rPr>
          <w:rFonts w:hint="eastAsia" w:eastAsia="仿宋_GB2312"/>
          <w:kern w:val="0"/>
          <w:sz w:val="32"/>
          <w:szCs w:val="32"/>
          <w:lang w:bidi="ar"/>
        </w:rPr>
        <w:t>入库199余</w:t>
      </w:r>
      <w:r>
        <w:rPr>
          <w:rFonts w:eastAsia="仿宋_GB2312"/>
          <w:kern w:val="0"/>
          <w:sz w:val="32"/>
          <w:szCs w:val="32"/>
          <w:lang w:bidi="ar"/>
        </w:rPr>
        <w:t>万</w:t>
      </w:r>
      <w:r>
        <w:rPr>
          <w:rFonts w:hint="eastAsia" w:eastAsia="仿宋_GB2312"/>
          <w:kern w:val="0"/>
          <w:sz w:val="32"/>
          <w:szCs w:val="32"/>
          <w:lang w:bidi="ar"/>
        </w:rPr>
        <w:t>元</w:t>
      </w:r>
      <w:r>
        <w:rPr>
          <w:rFonts w:eastAsia="仿宋_GB2312"/>
          <w:kern w:val="0"/>
          <w:sz w:val="32"/>
          <w:szCs w:val="32"/>
          <w:lang w:bidi="ar"/>
        </w:rPr>
        <w:t>。</w:t>
      </w:r>
    </w:p>
    <w:p w14:paraId="04B98D04">
      <w:pPr>
        <w:spacing w:line="600" w:lineRule="exact"/>
        <w:ind w:firstLine="643" w:firstLineChars="200"/>
        <w:jc w:val="left"/>
        <w:rPr>
          <w:rFonts w:eastAsia="仿宋_GB2312"/>
          <w:sz w:val="32"/>
          <w:szCs w:val="32"/>
        </w:rPr>
      </w:pPr>
      <w:r>
        <w:rPr>
          <w:rFonts w:hint="eastAsia" w:eastAsia="楷体_GB2312"/>
          <w:b/>
          <w:sz w:val="32"/>
          <w:szCs w:val="32"/>
        </w:rPr>
        <w:t>6.综合助力、配合县上各项重点工作。</w:t>
      </w:r>
      <w:r>
        <w:rPr>
          <w:rFonts w:hint="eastAsia" w:eastAsia="仿宋_GB2312"/>
          <w:b/>
          <w:bCs/>
          <w:sz w:val="32"/>
          <w:szCs w:val="32"/>
        </w:rPr>
        <w:t>配合各个乡镇开展五清行动和场镇提升行动。</w:t>
      </w:r>
      <w:r>
        <w:rPr>
          <w:rFonts w:hint="eastAsia" w:ascii="仿宋_GB2312" w:hAnsi="仿宋_GB2312" w:eastAsia="仿宋_GB2312" w:cs="仿宋_GB2312"/>
          <w:sz w:val="32"/>
          <w:szCs w:val="32"/>
        </w:rPr>
        <w:t>配合当地镇政府开展场镇提升“清街”行动，规范乡镇车辆停放，解决“以路代街”“以街代市”问题，引导沿街摊贩入市经营，</w:t>
      </w:r>
      <w:r>
        <w:rPr>
          <w:rFonts w:hint="eastAsia" w:eastAsia="仿宋_GB2312"/>
          <w:sz w:val="32"/>
          <w:szCs w:val="32"/>
        </w:rPr>
        <w:t>派出执法人员300余人次，共拆除违规搭建的棚架150余个，</w:t>
      </w:r>
      <w:r>
        <w:rPr>
          <w:rFonts w:hint="eastAsia" w:ascii="仿宋_GB2312" w:hAnsi="仿宋_GB2312" w:eastAsia="仿宋_GB2312" w:cs="仿宋_GB2312"/>
          <w:sz w:val="32"/>
          <w:szCs w:val="32"/>
        </w:rPr>
        <w:t>主要协助乡镇开展坐商归店369家次，游商归市302次，</w:t>
      </w:r>
      <w:r>
        <w:rPr>
          <w:rFonts w:hint="eastAsia" w:eastAsia="仿宋_GB2312"/>
          <w:sz w:val="32"/>
          <w:szCs w:val="32"/>
        </w:rPr>
        <w:t>清除不和规定要求设置的标语、广告牌300余个，规范占道堆放的货物、材料等约300平方米，协助乡镇拆除违章建筑约50平方米。</w:t>
      </w:r>
      <w:r>
        <w:rPr>
          <w:rFonts w:hint="eastAsia" w:ascii="仿宋_GB2312" w:hAnsi="仿宋_GB2312" w:eastAsia="仿宋_GB2312" w:cs="仿宋_GB2312"/>
          <w:b/>
          <w:bCs/>
          <w:sz w:val="32"/>
          <w:szCs w:val="32"/>
        </w:rPr>
        <w:t>紧抓疫情防控工作。</w:t>
      </w:r>
      <w:r>
        <w:rPr>
          <w:rFonts w:hint="eastAsia" w:eastAsia="仿宋_GB2312"/>
          <w:sz w:val="32"/>
          <w:szCs w:val="32"/>
        </w:rPr>
        <w:t>每日抽调执法人员6名执法人员坚守在沐川南高速出口疫情一线。加强进口冷链食品排查和非进口冷链食品常态化执法检查；强化落实农贸市场疫情防控措施，监督检查各农贸市场出入口体温检测及健康码查验点，督促进场消费者及场内从业人员佩戴口罩。</w:t>
      </w:r>
    </w:p>
    <w:p w14:paraId="1EC4ED87">
      <w:pPr>
        <w:spacing w:line="600" w:lineRule="exact"/>
        <w:ind w:firstLine="640" w:firstLineChars="200"/>
        <w:rPr>
          <w:rStyle w:val="29"/>
          <w:rFonts w:ascii="黑体" w:hAnsi="黑体" w:eastAsia="黑体" w:cs="黑体"/>
          <w:b w:val="0"/>
          <w:bCs w:val="0"/>
        </w:rPr>
      </w:pPr>
      <w:r>
        <w:rPr>
          <w:rStyle w:val="29"/>
          <w:rFonts w:hint="eastAsia" w:ascii="黑体" w:hAnsi="黑体" w:eastAsia="黑体" w:cs="黑体"/>
          <w:b w:val="0"/>
          <w:bCs w:val="0"/>
        </w:rPr>
        <w:t>二、机构设置</w:t>
      </w:r>
    </w:p>
    <w:p w14:paraId="21FEAB84">
      <w:pPr>
        <w:spacing w:line="600" w:lineRule="exact"/>
        <w:ind w:firstLine="640" w:firstLineChars="200"/>
        <w:rPr>
          <w:rFonts w:ascii="仿宋_GB2312" w:eastAsia="仿宋_GB2312"/>
          <w:sz w:val="32"/>
          <w:szCs w:val="32"/>
        </w:rPr>
      </w:pPr>
      <w:r>
        <w:rPr>
          <w:rFonts w:hint="eastAsia" w:ascii="仿宋_GB2312" w:hAnsi="仿宋" w:eastAsia="仿宋_GB2312"/>
          <w:sz w:val="32"/>
          <w:szCs w:val="32"/>
        </w:rPr>
        <w:t>沐川县综合行政执法局下属二级单位5个，属参照公务员法管理的事业单位。</w:t>
      </w:r>
      <w:r>
        <w:rPr>
          <w:rFonts w:hint="eastAsia" w:ascii="仿宋_GB2312" w:eastAsia="仿宋_GB2312"/>
          <w:sz w:val="32"/>
          <w:szCs w:val="32"/>
        </w:rPr>
        <w:t>分别为：沐川县综合行政执法一大队（市场监管领域）、沐川县综合行政执法二大队（交通运输领域）、沐川县综合行政执法三大队（城市管理领域）、沐川县综合行政执法四大队（农业、林业领域）、沐川县综合行政执法五大队（文化旅游领域）。</w:t>
      </w:r>
    </w:p>
    <w:p w14:paraId="446DE985">
      <w:pPr>
        <w:widowControl/>
        <w:spacing w:line="600" w:lineRule="exact"/>
        <w:ind w:firstLine="640" w:firstLineChars="200"/>
        <w:jc w:val="left"/>
        <w:rPr>
          <w:rFonts w:ascii="仿宋" w:hAnsi="仿宋" w:eastAsia="仿宋"/>
          <w:kern w:val="0"/>
          <w:sz w:val="32"/>
          <w:szCs w:val="32"/>
        </w:rPr>
      </w:pPr>
      <w:r>
        <w:rPr>
          <w:rFonts w:hint="eastAsia" w:ascii="仿宋" w:hAnsi="仿宋" w:eastAsia="仿宋"/>
          <w:sz w:val="32"/>
          <w:szCs w:val="32"/>
        </w:rPr>
        <w:t>本单位无纳入2022年度部门决算编制范围的二级预算单位。</w:t>
      </w:r>
      <w:r>
        <w:rPr>
          <w:rFonts w:ascii="仿宋" w:hAnsi="仿宋" w:eastAsia="仿宋"/>
          <w:sz w:val="32"/>
          <w:szCs w:val="32"/>
        </w:rPr>
        <w:br w:type="page"/>
      </w:r>
    </w:p>
    <w:p w14:paraId="74CE499E">
      <w:pPr>
        <w:pStyle w:val="3"/>
        <w:spacing w:line="600" w:lineRule="exact"/>
        <w:ind w:right="440"/>
        <w:jc w:val="center"/>
        <w:rPr>
          <w:rStyle w:val="28"/>
          <w:rFonts w:ascii="方正小标宋简体" w:hAnsi="方正小标宋简体" w:eastAsia="方正小标宋简体" w:cs="方正小标宋简体"/>
          <w:b w:val="0"/>
          <w:bCs/>
        </w:rPr>
      </w:pPr>
      <w:bookmarkStart w:id="18" w:name="_Toc15377204"/>
      <w:bookmarkStart w:id="19" w:name="_Toc15396602"/>
      <w:r>
        <w:rPr>
          <w:rFonts w:hint="eastAsia" w:ascii="方正小标宋简体" w:hAnsi="方正小标宋简体" w:eastAsia="方正小标宋简体" w:cs="方正小标宋简体"/>
          <w:b w:val="0"/>
        </w:rPr>
        <w:t>第二部分 2022年度</w:t>
      </w:r>
      <w:r>
        <w:rPr>
          <w:rStyle w:val="28"/>
          <w:rFonts w:hint="eastAsia" w:ascii="方正小标宋简体" w:hAnsi="方正小标宋简体" w:eastAsia="方正小标宋简体" w:cs="方正小标宋简体"/>
          <w:b w:val="0"/>
          <w:bCs/>
        </w:rPr>
        <w:t>部门决算情况说明</w:t>
      </w:r>
      <w:bookmarkEnd w:id="18"/>
      <w:bookmarkEnd w:id="19"/>
    </w:p>
    <w:p w14:paraId="5A5FAE5C">
      <w:pPr>
        <w:pStyle w:val="27"/>
        <w:spacing w:line="600" w:lineRule="exact"/>
        <w:ind w:firstLine="640"/>
        <w:outlineLvl w:val="1"/>
        <w:rPr>
          <w:rStyle w:val="29"/>
          <w:rFonts w:ascii="黑体" w:hAnsi="黑体" w:eastAsia="黑体"/>
          <w:b w:val="0"/>
        </w:rPr>
      </w:pPr>
      <w:bookmarkStart w:id="20" w:name="_Toc15396603"/>
      <w:bookmarkStart w:id="21" w:name="_Toc15377205"/>
      <w:r>
        <w:rPr>
          <w:rFonts w:hint="eastAsia" w:ascii="黑体" w:hAnsi="黑体" w:eastAsia="黑体"/>
          <w:sz w:val="32"/>
          <w:szCs w:val="32"/>
        </w:rPr>
        <w:t>一、收</w:t>
      </w:r>
      <w:r>
        <w:rPr>
          <w:rStyle w:val="29"/>
          <w:rFonts w:hint="eastAsia" w:ascii="黑体" w:hAnsi="黑体" w:eastAsia="黑体"/>
          <w:b w:val="0"/>
        </w:rPr>
        <w:t>入支出决算总体情况说明</w:t>
      </w:r>
      <w:bookmarkEnd w:id="20"/>
      <w:bookmarkEnd w:id="21"/>
    </w:p>
    <w:p w14:paraId="05D517C4">
      <w:pPr>
        <w:spacing w:line="600" w:lineRule="exact"/>
        <w:ind w:firstLine="709"/>
        <w:rPr>
          <w:rFonts w:ascii="仿宋_GB2312" w:hAnsi="仿宋_GB2312" w:eastAsia="仿宋_GB2312" w:cs="仿宋_GB2312"/>
          <w:sz w:val="32"/>
          <w:szCs w:val="32"/>
        </w:rPr>
      </w:pPr>
      <w:r>
        <w:rPr>
          <w:rFonts w:hint="eastAsia" w:ascii="仿宋_GB2312" w:hAnsi="仿宋_GB2312" w:eastAsia="仿宋_GB2312" w:cs="仿宋_GB2312"/>
          <w:sz w:val="32"/>
          <w:szCs w:val="32"/>
        </w:rPr>
        <w:t>2022年度沐川县综合行政执法局本年收、支总计均为1818.69万元。</w:t>
      </w:r>
      <w:r>
        <w:rPr>
          <w:rFonts w:hint="eastAsia" w:ascii="仿宋_GB2312" w:hAnsi="仿宋" w:eastAsia="仿宋_GB2312"/>
          <w:sz w:val="32"/>
          <w:szCs w:val="32"/>
        </w:rPr>
        <w:t>与2</w:t>
      </w:r>
      <w:r>
        <w:rPr>
          <w:rFonts w:ascii="仿宋_GB2312" w:hAnsi="仿宋" w:eastAsia="仿宋_GB2312"/>
          <w:sz w:val="32"/>
          <w:szCs w:val="32"/>
        </w:rPr>
        <w:t>0</w:t>
      </w:r>
      <w:r>
        <w:rPr>
          <w:rFonts w:hint="eastAsia" w:ascii="仿宋_GB2312" w:hAnsi="仿宋" w:eastAsia="仿宋_GB2312"/>
          <w:sz w:val="32"/>
          <w:szCs w:val="32"/>
        </w:rPr>
        <w:t>21</w:t>
      </w:r>
      <w:r>
        <w:rPr>
          <w:rFonts w:ascii="仿宋_GB2312" w:hAnsi="仿宋" w:eastAsia="仿宋_GB2312"/>
          <w:sz w:val="32"/>
          <w:szCs w:val="32"/>
        </w:rPr>
        <w:t>年</w:t>
      </w:r>
      <w:r>
        <w:rPr>
          <w:rFonts w:hint="eastAsia" w:ascii="仿宋_GB2312" w:hAnsi="仿宋" w:eastAsia="仿宋_GB2312"/>
          <w:sz w:val="32"/>
          <w:szCs w:val="32"/>
        </w:rPr>
        <w:t>相比，收、支总计各增加17.79万元，增长0.99%。主要变动原因是基本支出人员经费收支增加。</w:t>
      </w:r>
    </w:p>
    <w:p w14:paraId="0B44E0DB">
      <w:pPr>
        <w:spacing w:line="600" w:lineRule="exact"/>
        <w:ind w:firstLine="1600" w:firstLineChars="500"/>
        <w:rPr>
          <w:rFonts w:ascii="仿宋" w:hAnsi="仿宋" w:eastAsia="仿宋"/>
          <w:sz w:val="32"/>
          <w:szCs w:val="32"/>
        </w:rPr>
      </w:pP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w:t>
      </w:r>
    </w:p>
    <w:p w14:paraId="2E702C0C">
      <w:pPr>
        <w:pStyle w:val="6"/>
        <w:spacing w:before="93"/>
        <w:rPr>
          <w:rFonts w:eastAsia="仿宋"/>
        </w:rPr>
      </w:pPr>
      <w:r>
        <w:rPr>
          <w:rFonts w:hint="eastAsia" w:eastAsia="仿宋"/>
        </w:rPr>
        <w:drawing>
          <wp:inline distT="0" distB="0" distL="114300" distR="114300">
            <wp:extent cx="5080000" cy="2251075"/>
            <wp:effectExtent l="5080" t="4445" r="20320" b="1143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0DB2FDA7">
      <w:pPr>
        <w:pStyle w:val="27"/>
        <w:spacing w:line="600" w:lineRule="exact"/>
        <w:ind w:firstLine="640"/>
        <w:outlineLvl w:val="1"/>
        <w:rPr>
          <w:rStyle w:val="29"/>
          <w:rFonts w:ascii="黑体" w:hAnsi="黑体" w:eastAsia="黑体"/>
          <w:b w:val="0"/>
        </w:rPr>
      </w:pPr>
      <w:bookmarkStart w:id="22" w:name="_Toc15377206"/>
      <w:bookmarkStart w:id="23" w:name="_Toc15396604"/>
      <w:r>
        <w:rPr>
          <w:rFonts w:hint="eastAsia" w:ascii="黑体" w:hAnsi="黑体" w:eastAsia="黑体"/>
          <w:sz w:val="32"/>
          <w:szCs w:val="32"/>
        </w:rPr>
        <w:t>二、收</w:t>
      </w:r>
      <w:r>
        <w:rPr>
          <w:rStyle w:val="29"/>
          <w:rFonts w:hint="eastAsia" w:ascii="黑体" w:hAnsi="黑体" w:eastAsia="黑体"/>
          <w:b w:val="0"/>
        </w:rPr>
        <w:t>入决算情况说明</w:t>
      </w:r>
      <w:bookmarkEnd w:id="22"/>
      <w:bookmarkEnd w:id="23"/>
    </w:p>
    <w:p w14:paraId="6A1A90A4">
      <w:pPr>
        <w:spacing w:line="600" w:lineRule="exact"/>
        <w:ind w:firstLine="640" w:firstLineChars="200"/>
        <w:outlineLvl w:val="1"/>
        <w:rPr>
          <w:rFonts w:ascii="仿宋" w:hAnsi="仿宋" w:eastAsia="仿宋"/>
          <w:b/>
          <w:sz w:val="32"/>
          <w:szCs w:val="32"/>
        </w:rPr>
      </w:pPr>
      <w:r>
        <w:rPr>
          <w:rFonts w:hint="eastAsia" w:ascii="仿宋_GB2312" w:hAnsi="仿宋_GB2312" w:eastAsia="仿宋_GB2312" w:cs="仿宋_GB2312"/>
          <w:sz w:val="32"/>
          <w:szCs w:val="32"/>
        </w:rPr>
        <w:t>2022年本年收入合计1818.69万元，其中：一般公共预算财政拨款收入1818.69万元，占100%；政府性基金预算财政拨款收入0万元，占0.00%；国有资本经营预算财政拨款收入0万元，占0.00%；上级补助收入0万元，占0.00%；事业收入0万元，占0.00%；经营收入0万元，占0.00%；附属单位上缴收入0万元，占0.00%；其他收入0万元，占0.00%。</w:t>
      </w:r>
    </w:p>
    <w:p w14:paraId="769636CC">
      <w:pPr>
        <w:spacing w:line="600" w:lineRule="exact"/>
        <w:ind w:firstLine="2240" w:firstLineChars="700"/>
        <w:rPr>
          <w:rFonts w:ascii="仿宋" w:hAnsi="仿宋" w:eastAsia="仿宋"/>
          <w:sz w:val="32"/>
          <w:szCs w:val="32"/>
        </w:rPr>
      </w:pPr>
    </w:p>
    <w:p w14:paraId="6601361F">
      <w:pPr>
        <w:spacing w:line="600" w:lineRule="exact"/>
        <w:ind w:firstLine="2240" w:firstLineChars="700"/>
        <w:rPr>
          <w:rFonts w:ascii="仿宋" w:hAnsi="仿宋" w:eastAsia="仿宋"/>
          <w:sz w:val="32"/>
          <w:szCs w:val="32"/>
        </w:rPr>
      </w:pPr>
      <w:r>
        <w:rPr>
          <w:rFonts w:hint="eastAsia" w:ascii="仿宋" w:hAnsi="仿宋" w:eastAsia="仿宋"/>
          <w:sz w:val="32"/>
          <w:szCs w:val="32"/>
        </w:rPr>
        <w:t>图2：收入决算结构图</w:t>
      </w:r>
    </w:p>
    <w:p w14:paraId="2D103040">
      <w:pPr>
        <w:pStyle w:val="6"/>
        <w:spacing w:before="93" w:line="600" w:lineRule="exact"/>
        <w:rPr>
          <w:rFonts w:eastAsia="仿宋"/>
        </w:rPr>
      </w:pPr>
      <w:r>
        <w:rPr>
          <w:rFonts w:hint="eastAsia" w:ascii="仿宋" w:hAnsi="仿宋" w:eastAsia="仿宋"/>
          <w:sz w:val="32"/>
          <w:szCs w:val="32"/>
        </w:rPr>
        <w:t xml:space="preserve">                                    </w:t>
      </w:r>
      <w:r>
        <w:rPr>
          <w:rFonts w:hint="eastAsia" w:hAnsi="仿宋_GB2312" w:cs="仿宋_GB2312"/>
          <w:sz w:val="24"/>
        </w:rPr>
        <w:t>金额单位：万元</w:t>
      </w:r>
    </w:p>
    <w:p w14:paraId="6F9B63A2">
      <w:pPr>
        <w:pStyle w:val="6"/>
        <w:spacing w:before="93"/>
      </w:pPr>
      <w:r>
        <w:rPr>
          <w:rFonts w:hint="eastAsia"/>
        </w:rPr>
        <w:drawing>
          <wp:inline distT="0" distB="0" distL="114300" distR="114300">
            <wp:extent cx="5080000" cy="2540000"/>
            <wp:effectExtent l="4445" t="4445" r="20955" b="825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35193DB">
      <w:pPr>
        <w:pStyle w:val="27"/>
        <w:spacing w:line="600" w:lineRule="exact"/>
        <w:ind w:firstLine="640"/>
        <w:outlineLvl w:val="1"/>
        <w:rPr>
          <w:rStyle w:val="29"/>
          <w:rFonts w:ascii="黑体" w:hAnsi="黑体" w:eastAsia="黑体"/>
          <w:b w:val="0"/>
        </w:rPr>
      </w:pPr>
      <w:bookmarkStart w:id="24" w:name="_Toc15396605"/>
      <w:bookmarkStart w:id="25" w:name="_Toc15377207"/>
      <w:r>
        <w:rPr>
          <w:rFonts w:hint="eastAsia" w:ascii="黑体" w:hAnsi="黑体" w:eastAsia="黑体"/>
          <w:sz w:val="32"/>
          <w:szCs w:val="32"/>
        </w:rPr>
        <w:t>三、支</w:t>
      </w:r>
      <w:r>
        <w:rPr>
          <w:rStyle w:val="29"/>
          <w:rFonts w:hint="eastAsia" w:ascii="黑体" w:hAnsi="黑体" w:eastAsia="黑体"/>
          <w:b w:val="0"/>
        </w:rPr>
        <w:t>出决算情况说明</w:t>
      </w:r>
      <w:bookmarkEnd w:id="24"/>
      <w:bookmarkEnd w:id="25"/>
    </w:p>
    <w:p w14:paraId="55206957">
      <w:pPr>
        <w:spacing w:line="600" w:lineRule="exact"/>
        <w:ind w:firstLine="640" w:firstLineChars="200"/>
        <w:outlineLvl w:val="1"/>
        <w:rPr>
          <w:rFonts w:ascii="仿宋_GB2312" w:hAnsi="仿宋_GB2312" w:eastAsia="仿宋_GB2312" w:cs="仿宋_GB2312"/>
          <w:b/>
          <w:sz w:val="32"/>
          <w:szCs w:val="32"/>
        </w:rPr>
      </w:pPr>
      <w:r>
        <w:rPr>
          <w:rFonts w:hint="eastAsia" w:ascii="仿宋_GB2312" w:hAnsi="仿宋_GB2312" w:eastAsia="仿宋_GB2312" w:cs="仿宋_GB2312"/>
          <w:sz w:val="32"/>
          <w:szCs w:val="32"/>
        </w:rPr>
        <w:t>2022年本年支出合计1818.69万元，其中：基本支出1555.64万元，占85.54%；项目支出263.05万元，占14.46%；上缴上级支出0万元，占0.00%；经营支出0万元，占0.00%；对附属单位补助支出0万元，占0.00%。</w:t>
      </w:r>
    </w:p>
    <w:p w14:paraId="4DDE29DB">
      <w:pPr>
        <w:spacing w:line="600" w:lineRule="exact"/>
        <w:ind w:firstLine="1920" w:firstLineChars="600"/>
        <w:rPr>
          <w:rFonts w:ascii="仿宋_GB2312" w:hAnsi="仿宋_GB2312" w:eastAsia="仿宋_GB2312" w:cs="仿宋_GB2312"/>
          <w:sz w:val="32"/>
          <w:szCs w:val="32"/>
        </w:rPr>
      </w:pPr>
      <w:r>
        <w:rPr>
          <w:rFonts w:hint="eastAsia" w:ascii="仿宋_GB2312" w:hAnsi="仿宋_GB2312" w:eastAsia="仿宋_GB2312" w:cs="仿宋_GB2312"/>
          <w:sz w:val="32"/>
          <w:szCs w:val="32"/>
        </w:rPr>
        <w:t>图3：支出决算结构图</w:t>
      </w:r>
    </w:p>
    <w:p w14:paraId="1937EB78">
      <w:pPr>
        <w:pStyle w:val="6"/>
        <w:spacing w:before="93" w:line="600" w:lineRule="exact"/>
        <w:ind w:firstLine="5040" w:firstLineChars="1800"/>
        <w:rPr>
          <w:rFonts w:hAnsi="仿宋_GB2312" w:cs="仿宋_GB2312"/>
          <w:sz w:val="28"/>
          <w:szCs w:val="28"/>
        </w:rPr>
      </w:pPr>
      <w:r>
        <w:rPr>
          <w:rFonts w:hint="eastAsia" w:hAnsi="仿宋_GB2312" w:cs="仿宋_GB2312"/>
          <w:sz w:val="28"/>
          <w:szCs w:val="28"/>
        </w:rPr>
        <w:t>金额单位：万元</w:t>
      </w:r>
    </w:p>
    <w:p w14:paraId="71009622">
      <w:pPr>
        <w:pStyle w:val="6"/>
        <w:spacing w:before="93"/>
        <w:rPr>
          <w:rFonts w:hAnsi="仿宋_GB2312" w:cs="仿宋_GB2312"/>
          <w:sz w:val="28"/>
          <w:szCs w:val="28"/>
        </w:rPr>
      </w:pPr>
      <w:r>
        <w:rPr>
          <w:rFonts w:hint="eastAsia" w:hAnsi="仿宋_GB2312" w:cs="仿宋_GB2312"/>
          <w:sz w:val="28"/>
          <w:szCs w:val="28"/>
        </w:rPr>
        <w:drawing>
          <wp:inline distT="0" distB="0" distL="114300" distR="114300">
            <wp:extent cx="5080000" cy="2490470"/>
            <wp:effectExtent l="4445" t="4445" r="20955" b="1968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0FDBD10">
      <w:pPr>
        <w:spacing w:line="600" w:lineRule="exact"/>
        <w:ind w:firstLine="640" w:firstLineChars="200"/>
        <w:outlineLvl w:val="1"/>
        <w:rPr>
          <w:rStyle w:val="29"/>
          <w:rFonts w:ascii="黑体" w:hAnsi="黑体" w:eastAsia="黑体"/>
          <w:b w:val="0"/>
        </w:rPr>
      </w:pPr>
      <w:bookmarkStart w:id="26" w:name="_Toc15377208"/>
      <w:bookmarkStart w:id="27" w:name="_Toc15396606"/>
      <w:r>
        <w:rPr>
          <w:rFonts w:hint="eastAsia" w:ascii="黑体" w:hAnsi="黑体" w:eastAsia="黑体"/>
          <w:sz w:val="32"/>
          <w:szCs w:val="32"/>
        </w:rPr>
        <w:t>四、财</w:t>
      </w:r>
      <w:r>
        <w:rPr>
          <w:rStyle w:val="29"/>
          <w:rFonts w:hint="eastAsia" w:ascii="黑体" w:hAnsi="黑体" w:eastAsia="黑体"/>
          <w:b w:val="0"/>
        </w:rPr>
        <w:t>政拨款收入支出决算总体情况说明</w:t>
      </w:r>
      <w:bookmarkEnd w:id="26"/>
      <w:bookmarkEnd w:id="27"/>
    </w:p>
    <w:p w14:paraId="0E4C17A0">
      <w:pPr>
        <w:spacing w:line="600" w:lineRule="exact"/>
        <w:ind w:firstLine="709"/>
        <w:rPr>
          <w:rFonts w:ascii="仿宋_GB2312" w:hAnsi="仿宋_GB2312" w:eastAsia="仿宋_GB2312" w:cs="仿宋_GB2312"/>
          <w:b/>
          <w:color w:val="C00000"/>
          <w:sz w:val="32"/>
          <w:szCs w:val="32"/>
        </w:rPr>
      </w:pPr>
      <w:r>
        <w:rPr>
          <w:rFonts w:hint="eastAsia" w:ascii="仿宋_GB2312" w:hAnsi="仿宋_GB2312" w:eastAsia="仿宋_GB2312" w:cs="仿宋_GB2312"/>
          <w:sz w:val="32"/>
          <w:szCs w:val="32"/>
        </w:rPr>
        <w:t>2022年财政拨款收、支总计1818.69万元。与2021年相比，财政拨款收、支总计各增加17.79万元，增长0.99%。</w:t>
      </w:r>
      <w:r>
        <w:rPr>
          <w:rFonts w:hint="eastAsia" w:ascii="仿宋_GB2312" w:hAnsi="仿宋" w:eastAsia="仿宋_GB2312"/>
          <w:sz w:val="32"/>
          <w:szCs w:val="32"/>
        </w:rPr>
        <w:t>主要变动原因是基本支出人员经费收支增加</w:t>
      </w:r>
      <w:r>
        <w:rPr>
          <w:rFonts w:hint="eastAsia" w:ascii="仿宋_GB2312" w:hAnsi="仿宋_GB2312" w:eastAsia="仿宋_GB2312" w:cs="仿宋_GB2312"/>
          <w:sz w:val="32"/>
          <w:szCs w:val="32"/>
        </w:rPr>
        <w:t>。</w:t>
      </w:r>
    </w:p>
    <w:p w14:paraId="5CDDE0DE">
      <w:pPr>
        <w:spacing w:line="600" w:lineRule="exact"/>
        <w:ind w:firstLine="1280" w:firstLineChars="400"/>
        <w:rPr>
          <w:rFonts w:ascii="仿宋_GB2312" w:hAnsi="仿宋_GB2312" w:eastAsia="仿宋_GB2312" w:cs="仿宋_GB2312"/>
          <w:sz w:val="32"/>
          <w:szCs w:val="32"/>
        </w:rPr>
      </w:pPr>
      <w:r>
        <w:rPr>
          <w:rFonts w:hint="eastAsia" w:ascii="仿宋_GB2312" w:hAnsi="仿宋_GB2312" w:eastAsia="仿宋_GB2312" w:cs="仿宋_GB2312"/>
          <w:sz w:val="32"/>
          <w:szCs w:val="32"/>
        </w:rPr>
        <w:t>图4：财政拨款收、支决算总计变动情况</w:t>
      </w:r>
    </w:p>
    <w:p w14:paraId="646E88FB">
      <w:pPr>
        <w:pStyle w:val="6"/>
        <w:spacing w:before="93"/>
        <w:rPr>
          <w:rFonts w:eastAsia="仿宋"/>
        </w:rPr>
      </w:pPr>
      <w:r>
        <w:rPr>
          <w:rFonts w:hint="eastAsia" w:eastAsia="仿宋"/>
        </w:rPr>
        <w:drawing>
          <wp:inline distT="0" distB="0" distL="114300" distR="114300">
            <wp:extent cx="5080000" cy="2536825"/>
            <wp:effectExtent l="4445" t="4445" r="20955" b="1143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0B208F3">
      <w:pPr>
        <w:spacing w:line="600" w:lineRule="exact"/>
        <w:ind w:firstLine="640" w:firstLineChars="200"/>
        <w:outlineLvl w:val="1"/>
        <w:rPr>
          <w:rStyle w:val="29"/>
          <w:rFonts w:ascii="黑体" w:hAnsi="黑体" w:eastAsia="黑体"/>
          <w:b w:val="0"/>
        </w:rPr>
      </w:pPr>
      <w:bookmarkStart w:id="28" w:name="_Toc15396607"/>
      <w:bookmarkStart w:id="29" w:name="_Toc15377209"/>
      <w:r>
        <w:rPr>
          <w:rFonts w:hint="eastAsia" w:ascii="黑体" w:hAnsi="黑体" w:eastAsia="黑体"/>
          <w:sz w:val="32"/>
          <w:szCs w:val="32"/>
        </w:rPr>
        <w:t>五、</w:t>
      </w:r>
      <w:r>
        <w:rPr>
          <w:rFonts w:hint="eastAsia" w:ascii="黑体" w:hAnsi="黑体" w:eastAsia="黑体"/>
          <w:b/>
          <w:sz w:val="32"/>
          <w:szCs w:val="32"/>
        </w:rPr>
        <w:t>一</w:t>
      </w:r>
      <w:r>
        <w:rPr>
          <w:rStyle w:val="29"/>
          <w:rFonts w:hint="eastAsia" w:ascii="黑体" w:hAnsi="黑体" w:eastAsia="黑体"/>
          <w:b w:val="0"/>
        </w:rPr>
        <w:t>般公共预算财政拨款支出决算情况说明</w:t>
      </w:r>
      <w:bookmarkEnd w:id="28"/>
      <w:bookmarkEnd w:id="29"/>
    </w:p>
    <w:p w14:paraId="6664AE85">
      <w:pPr>
        <w:spacing w:line="600" w:lineRule="exact"/>
        <w:ind w:firstLine="643" w:firstLineChars="200"/>
        <w:outlineLvl w:val="2"/>
        <w:rPr>
          <w:rFonts w:ascii="仿宋" w:hAnsi="仿宋" w:eastAsia="仿宋"/>
          <w:b/>
          <w:sz w:val="32"/>
          <w:szCs w:val="32"/>
        </w:rPr>
      </w:pPr>
      <w:bookmarkStart w:id="30" w:name="_Toc15377210"/>
      <w:r>
        <w:rPr>
          <w:rFonts w:hint="eastAsia" w:ascii="楷体_GB2312" w:hAnsi="楷体_GB2312" w:eastAsia="楷体_GB2312" w:cs="楷体_GB2312"/>
          <w:b/>
          <w:sz w:val="32"/>
          <w:szCs w:val="32"/>
        </w:rPr>
        <w:t>（一）一般公共预算财政拨款支出决算总体情况</w:t>
      </w:r>
      <w:bookmarkEnd w:id="30"/>
    </w:p>
    <w:p w14:paraId="511A4211">
      <w:pPr>
        <w:spacing w:line="600" w:lineRule="exact"/>
        <w:ind w:firstLine="640" w:firstLineChars="200"/>
        <w:rPr>
          <w:rFonts w:ascii="仿宋_GB2312" w:hAnsi="仿宋" w:eastAsia="仿宋_GB2312" w:cs="仿宋"/>
          <w:bCs/>
          <w:sz w:val="32"/>
          <w:szCs w:val="32"/>
        </w:rPr>
      </w:pPr>
      <w:r>
        <w:rPr>
          <w:rFonts w:ascii="仿宋" w:hAnsi="仿宋" w:eastAsia="仿宋"/>
          <w:sz w:val="32"/>
          <w:szCs w:val="32"/>
        </w:rPr>
        <w:t>20</w:t>
      </w:r>
      <w:r>
        <w:rPr>
          <w:rFonts w:hint="eastAsia" w:ascii="仿宋" w:hAnsi="仿宋" w:eastAsia="仿宋"/>
          <w:sz w:val="32"/>
          <w:szCs w:val="32"/>
        </w:rPr>
        <w:t>22年一般公共预算财政拨款支出1818.69万元，占本年支出合计的100.00</w:t>
      </w:r>
      <w:r>
        <w:rPr>
          <w:rFonts w:ascii="仿宋" w:hAnsi="仿宋" w:eastAsia="仿宋"/>
          <w:sz w:val="32"/>
          <w:szCs w:val="32"/>
        </w:rPr>
        <w:t>%</w:t>
      </w:r>
      <w:r>
        <w:rPr>
          <w:rFonts w:hint="eastAsia" w:ascii="仿宋" w:hAnsi="仿宋" w:eastAsia="仿宋"/>
          <w:sz w:val="32"/>
          <w:szCs w:val="32"/>
        </w:rPr>
        <w:t>。与</w:t>
      </w:r>
      <w:r>
        <w:rPr>
          <w:rFonts w:ascii="仿宋" w:hAnsi="仿宋" w:eastAsia="仿宋"/>
          <w:sz w:val="32"/>
          <w:szCs w:val="32"/>
        </w:rPr>
        <w:t>20</w:t>
      </w:r>
      <w:r>
        <w:rPr>
          <w:rFonts w:hint="eastAsia" w:ascii="仿宋" w:hAnsi="仿宋" w:eastAsia="仿宋"/>
          <w:sz w:val="32"/>
          <w:szCs w:val="32"/>
        </w:rPr>
        <w:t>21年相比，一般公共预算财政拨款支出增加17.79万元，增长0.99</w:t>
      </w:r>
      <w:r>
        <w:rPr>
          <w:rFonts w:ascii="仿宋" w:hAnsi="仿宋" w:eastAsia="仿宋"/>
          <w:sz w:val="32"/>
          <w:szCs w:val="32"/>
        </w:rPr>
        <w:t>%</w:t>
      </w:r>
      <w:r>
        <w:rPr>
          <w:rFonts w:hint="eastAsia" w:ascii="仿宋" w:hAnsi="仿宋" w:eastAsia="仿宋"/>
          <w:sz w:val="32"/>
          <w:szCs w:val="32"/>
        </w:rPr>
        <w:t>。</w:t>
      </w:r>
      <w:r>
        <w:rPr>
          <w:rFonts w:hint="eastAsia" w:ascii="仿宋_GB2312" w:hAnsi="仿宋" w:eastAsia="仿宋_GB2312" w:cs="仿宋"/>
          <w:bCs/>
          <w:sz w:val="32"/>
          <w:szCs w:val="32"/>
        </w:rPr>
        <w:t>主要变动原因是2022年财政供养人员正常调资增加了人员经费支出。</w:t>
      </w:r>
    </w:p>
    <w:p w14:paraId="505B5C16">
      <w:pPr>
        <w:spacing w:line="600" w:lineRule="exact"/>
        <w:ind w:firstLine="640" w:firstLineChars="200"/>
        <w:rPr>
          <w:rFonts w:ascii="仿宋_GB2312" w:hAnsi="仿宋" w:eastAsia="仿宋_GB2312" w:cs="仿宋"/>
          <w:bCs/>
          <w:sz w:val="32"/>
          <w:szCs w:val="32"/>
        </w:rPr>
      </w:pPr>
    </w:p>
    <w:p w14:paraId="566DC83B">
      <w:pPr>
        <w:spacing w:line="600" w:lineRule="exact"/>
        <w:ind w:firstLine="640" w:firstLineChars="200"/>
        <w:rPr>
          <w:rFonts w:ascii="仿宋_GB2312" w:hAnsi="仿宋" w:eastAsia="仿宋_GB2312" w:cs="仿宋"/>
          <w:bCs/>
          <w:sz w:val="32"/>
          <w:szCs w:val="32"/>
        </w:rPr>
      </w:pPr>
    </w:p>
    <w:p w14:paraId="02CF71FB">
      <w:pPr>
        <w:spacing w:line="600" w:lineRule="exact"/>
        <w:ind w:firstLine="640" w:firstLineChars="200"/>
        <w:rPr>
          <w:rFonts w:ascii="仿宋_GB2312" w:hAnsi="仿宋" w:eastAsia="仿宋_GB2312" w:cs="仿宋"/>
          <w:bCs/>
          <w:sz w:val="32"/>
          <w:szCs w:val="32"/>
        </w:rPr>
      </w:pPr>
    </w:p>
    <w:p w14:paraId="565B6425">
      <w:pPr>
        <w:spacing w:line="600" w:lineRule="exact"/>
        <w:ind w:firstLine="640" w:firstLineChars="200"/>
        <w:rPr>
          <w:rFonts w:ascii="仿宋_GB2312" w:hAnsi="仿宋" w:eastAsia="仿宋_GB2312" w:cs="仿宋"/>
          <w:bCs/>
          <w:sz w:val="32"/>
          <w:szCs w:val="32"/>
        </w:rPr>
      </w:pPr>
    </w:p>
    <w:p w14:paraId="1F378021">
      <w:pPr>
        <w:spacing w:line="600" w:lineRule="exact"/>
        <w:ind w:firstLine="640" w:firstLineChars="200"/>
        <w:rPr>
          <w:rFonts w:ascii="仿宋_GB2312" w:hAnsi="仿宋" w:eastAsia="仿宋_GB2312" w:cs="仿宋"/>
          <w:bCs/>
          <w:sz w:val="32"/>
          <w:szCs w:val="32"/>
        </w:rPr>
      </w:pPr>
    </w:p>
    <w:p w14:paraId="00FA3817">
      <w:pPr>
        <w:spacing w:line="600" w:lineRule="exact"/>
        <w:ind w:firstLine="640" w:firstLineChars="200"/>
        <w:rPr>
          <w:rFonts w:ascii="仿宋" w:hAnsi="仿宋" w:eastAsia="仿宋"/>
          <w:sz w:val="32"/>
          <w:szCs w:val="32"/>
        </w:rPr>
      </w:pPr>
      <w:r>
        <w:rPr>
          <w:rFonts w:hint="eastAsia" w:ascii="仿宋" w:hAnsi="仿宋" w:eastAsia="仿宋"/>
          <w:sz w:val="32"/>
          <w:szCs w:val="32"/>
        </w:rPr>
        <w:t>图5：一般公共预算财政拨款支出决算变动情况</w:t>
      </w:r>
    </w:p>
    <w:p w14:paraId="0CF263EA">
      <w:pPr>
        <w:pStyle w:val="6"/>
        <w:spacing w:before="93"/>
      </w:pPr>
      <w:r>
        <w:rPr>
          <w:rFonts w:hint="eastAsia"/>
        </w:rPr>
        <w:drawing>
          <wp:inline distT="0" distB="0" distL="114300" distR="114300">
            <wp:extent cx="5080000" cy="2306955"/>
            <wp:effectExtent l="4445" t="4445" r="20955" b="1270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7EDBB6D">
      <w:pPr>
        <w:spacing w:line="600" w:lineRule="exact"/>
        <w:ind w:firstLine="643" w:firstLineChars="200"/>
        <w:outlineLvl w:val="2"/>
        <w:rPr>
          <w:rFonts w:ascii="楷体_GB2312" w:hAnsi="楷体_GB2312" w:eastAsia="楷体_GB2312" w:cs="楷体_GB2312"/>
          <w:b/>
          <w:sz w:val="32"/>
          <w:szCs w:val="32"/>
        </w:rPr>
      </w:pPr>
      <w:bookmarkStart w:id="31" w:name="_Toc15377211"/>
      <w:r>
        <w:rPr>
          <w:rFonts w:hint="eastAsia" w:ascii="楷体_GB2312" w:hAnsi="楷体_GB2312" w:eastAsia="楷体_GB2312" w:cs="楷体_GB2312"/>
          <w:b/>
          <w:sz w:val="32"/>
          <w:szCs w:val="32"/>
        </w:rPr>
        <w:t>（二）一般公共预算财政拨款支出决算结构情况</w:t>
      </w:r>
      <w:bookmarkEnd w:id="31"/>
    </w:p>
    <w:p w14:paraId="055CF92A">
      <w:pPr>
        <w:spacing w:line="600" w:lineRule="exact"/>
        <w:ind w:firstLine="640" w:firstLineChars="200"/>
        <w:rPr>
          <w:rFonts w:ascii="仿宋_GB2312" w:hAnsi="仿宋_GB2312" w:eastAsia="仿宋_GB2312" w:cs="仿宋_GB2312"/>
          <w:b/>
          <w:sz w:val="32"/>
          <w:szCs w:val="32"/>
        </w:rPr>
      </w:pPr>
      <w:r>
        <w:rPr>
          <w:rFonts w:hint="eastAsia" w:ascii="仿宋_GB2312" w:hAnsi="仿宋_GB2312" w:eastAsia="仿宋_GB2312" w:cs="仿宋_GB2312"/>
          <w:sz w:val="32"/>
          <w:szCs w:val="32"/>
        </w:rPr>
        <w:t>2022年一般公共预算财政拨款支出1818.69万元，主要用于以下方面:一般公共服务支出1580.64万元，占86.91%；社会保障和就业支出99.59万元，占5.48%；卫生健康支出39.53万元，占2.17%；住房保障支出98.93万元，占5.44%。</w:t>
      </w:r>
    </w:p>
    <w:p w14:paraId="1C55D276">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图6：一般公共预算财政拨款支出决算结构</w:t>
      </w:r>
    </w:p>
    <w:p w14:paraId="60234FC1">
      <w:pPr>
        <w:pStyle w:val="6"/>
        <w:spacing w:before="93"/>
        <w:ind w:firstLine="5760" w:firstLineChars="2400"/>
        <w:rPr>
          <w:sz w:val="24"/>
        </w:rPr>
      </w:pPr>
      <w:r>
        <w:rPr>
          <w:rFonts w:hint="eastAsia" w:hAnsi="仿宋_GB2312" w:cs="仿宋_GB2312"/>
          <w:sz w:val="24"/>
        </w:rPr>
        <w:t>金额单位：万元</w:t>
      </w:r>
    </w:p>
    <w:p w14:paraId="1BC5AACF">
      <w:pPr>
        <w:pStyle w:val="6"/>
        <w:spacing w:before="93"/>
      </w:pPr>
      <w:r>
        <w:rPr>
          <w:rFonts w:hint="eastAsia"/>
        </w:rPr>
        <w:drawing>
          <wp:inline distT="0" distB="0" distL="114300" distR="114300">
            <wp:extent cx="5080000" cy="2337435"/>
            <wp:effectExtent l="4445" t="4445" r="20955" b="2032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B32F54D">
      <w:pPr>
        <w:spacing w:line="600" w:lineRule="exact"/>
        <w:ind w:firstLine="643" w:firstLineChars="200"/>
        <w:outlineLvl w:val="2"/>
        <w:rPr>
          <w:rFonts w:ascii="楷体_GB2312" w:hAnsi="楷体_GB2312" w:eastAsia="楷体_GB2312" w:cs="楷体_GB2312"/>
          <w:b/>
          <w:sz w:val="32"/>
          <w:szCs w:val="32"/>
        </w:rPr>
      </w:pPr>
      <w:bookmarkStart w:id="32" w:name="_Toc15377212"/>
      <w:r>
        <w:rPr>
          <w:rFonts w:hint="eastAsia" w:ascii="楷体_GB2312" w:hAnsi="楷体_GB2312" w:eastAsia="楷体_GB2312" w:cs="楷体_GB2312"/>
          <w:b/>
          <w:sz w:val="32"/>
          <w:szCs w:val="32"/>
        </w:rPr>
        <w:t>（三）一般公共预算财政拨款支出决算具体情况</w:t>
      </w:r>
      <w:bookmarkEnd w:id="32"/>
    </w:p>
    <w:p w14:paraId="363492F9">
      <w:pPr>
        <w:spacing w:line="600" w:lineRule="exact"/>
        <w:ind w:firstLine="640" w:firstLineChars="200"/>
        <w:outlineLvl w:val="2"/>
        <w:rPr>
          <w:rFonts w:ascii="仿宋_GB2312" w:hAnsi="仿宋_GB2312" w:eastAsia="仿宋_GB2312" w:cs="仿宋_GB2312"/>
          <w:bCs/>
          <w:sz w:val="32"/>
          <w:szCs w:val="32"/>
        </w:rPr>
      </w:pPr>
      <w:bookmarkStart w:id="33" w:name="_Toc15377444"/>
      <w:bookmarkStart w:id="34" w:name="_Toc15378460"/>
      <w:bookmarkStart w:id="35" w:name="_Toc15377213"/>
      <w:r>
        <w:rPr>
          <w:rFonts w:hint="eastAsia" w:ascii="仿宋_GB2312" w:hAnsi="仿宋_GB2312" w:eastAsia="仿宋_GB2312" w:cs="仿宋_GB2312"/>
          <w:bCs/>
          <w:sz w:val="32"/>
          <w:szCs w:val="32"/>
        </w:rPr>
        <w:t>2022年一般公共预算支出决算数为1818.69万元，完成预算100%。</w:t>
      </w:r>
      <w:r>
        <w:rPr>
          <w:rStyle w:val="17"/>
          <w:rFonts w:hint="eastAsia" w:ascii="仿宋_GB2312" w:hAnsi="仿宋_GB2312" w:eastAsia="仿宋_GB2312" w:cs="仿宋_GB2312"/>
          <w:b w:val="0"/>
          <w:bCs/>
          <w:sz w:val="32"/>
          <w:szCs w:val="32"/>
        </w:rPr>
        <w:t>其中：</w:t>
      </w:r>
      <w:bookmarkEnd w:id="33"/>
      <w:bookmarkEnd w:id="34"/>
      <w:bookmarkEnd w:id="35"/>
    </w:p>
    <w:p w14:paraId="71550F8D">
      <w:pPr>
        <w:spacing w:line="600" w:lineRule="exact"/>
        <w:ind w:firstLine="643" w:firstLineChars="200"/>
        <w:rPr>
          <w:rStyle w:val="17"/>
          <w:rFonts w:ascii="仿宋_GB2312" w:hAnsi="仿宋_GB2312" w:eastAsia="仿宋_GB2312" w:cs="仿宋_GB2312"/>
          <w:b w:val="0"/>
          <w:sz w:val="32"/>
          <w:szCs w:val="32"/>
        </w:rPr>
      </w:pPr>
      <w:r>
        <w:rPr>
          <w:rStyle w:val="17"/>
          <w:rFonts w:hint="eastAsia" w:ascii="仿宋_GB2312" w:hAnsi="仿宋" w:eastAsia="仿宋_GB2312"/>
          <w:bCs/>
          <w:color w:val="000000"/>
          <w:sz w:val="32"/>
          <w:szCs w:val="32"/>
        </w:rPr>
        <w:t>1.一般公共服务（类）政府办公厅（室）及相关机构事务（款）行政运行（项）</w:t>
      </w:r>
      <w:r>
        <w:rPr>
          <w:rStyle w:val="17"/>
          <w:rFonts w:hint="eastAsia" w:ascii="仿宋_GB2312" w:hAnsi="仿宋_GB2312" w:eastAsia="仿宋_GB2312" w:cs="仿宋_GB2312"/>
          <w:bCs/>
          <w:sz w:val="32"/>
          <w:szCs w:val="32"/>
        </w:rPr>
        <w:t>:</w:t>
      </w:r>
      <w:r>
        <w:rPr>
          <w:rStyle w:val="17"/>
          <w:rFonts w:hint="eastAsia" w:ascii="仿宋_GB2312" w:hAnsi="仿宋_GB2312" w:eastAsia="仿宋_GB2312" w:cs="仿宋_GB2312"/>
          <w:b w:val="0"/>
          <w:sz w:val="32"/>
          <w:szCs w:val="32"/>
        </w:rPr>
        <w:t xml:space="preserve"> 支出决算为1305.57万元，</w:t>
      </w:r>
      <w:r>
        <w:rPr>
          <w:rFonts w:hint="eastAsia" w:ascii="仿宋_GB2312" w:hAnsi="仿宋_GB2312" w:eastAsia="仿宋_GB2312" w:cs="仿宋_GB2312"/>
          <w:bCs/>
          <w:sz w:val="32"/>
          <w:szCs w:val="32"/>
        </w:rPr>
        <w:t>完成预算100%</w:t>
      </w:r>
      <w:r>
        <w:rPr>
          <w:rStyle w:val="17"/>
          <w:rFonts w:hint="eastAsia" w:ascii="仿宋_GB2312" w:hAnsi="仿宋_GB2312" w:eastAsia="仿宋_GB2312" w:cs="仿宋_GB2312"/>
          <w:b w:val="0"/>
          <w:sz w:val="32"/>
          <w:szCs w:val="32"/>
        </w:rPr>
        <w:t>。决算数等于预算数。</w:t>
      </w:r>
    </w:p>
    <w:p w14:paraId="468006D2">
      <w:pPr>
        <w:pStyle w:val="6"/>
        <w:spacing w:before="93" w:line="600" w:lineRule="exact"/>
        <w:ind w:firstLine="643" w:firstLineChars="200"/>
        <w:rPr>
          <w:rStyle w:val="17"/>
          <w:rFonts w:hAnsi="仿宋"/>
          <w:b w:val="0"/>
          <w:color w:val="000000"/>
          <w:sz w:val="32"/>
          <w:szCs w:val="32"/>
        </w:rPr>
      </w:pPr>
      <w:r>
        <w:rPr>
          <w:rStyle w:val="17"/>
          <w:rFonts w:hint="eastAsia" w:hAnsi="仿宋"/>
          <w:bCs/>
          <w:color w:val="000000"/>
          <w:sz w:val="32"/>
          <w:szCs w:val="32"/>
        </w:rPr>
        <w:t>2.一般公共服务（类）政府办公厅（室）及相关机构事务（款）一般行政管理事务（项）</w:t>
      </w:r>
      <w:r>
        <w:rPr>
          <w:rStyle w:val="17"/>
          <w:rFonts w:hAnsi="仿宋"/>
          <w:bCs/>
          <w:color w:val="000000"/>
          <w:sz w:val="32"/>
          <w:szCs w:val="32"/>
        </w:rPr>
        <w:t xml:space="preserve">: </w:t>
      </w:r>
      <w:r>
        <w:rPr>
          <w:rStyle w:val="17"/>
          <w:rFonts w:hint="eastAsia" w:hAnsi="仿宋"/>
          <w:b w:val="0"/>
          <w:color w:val="000000"/>
          <w:sz w:val="32"/>
          <w:szCs w:val="32"/>
        </w:rPr>
        <w:t>支出决算为</w:t>
      </w:r>
      <w:r>
        <w:rPr>
          <w:rStyle w:val="17"/>
          <w:rFonts w:hint="eastAsia" w:hAnsi="仿宋"/>
          <w:b w:val="0"/>
          <w:sz w:val="32"/>
          <w:szCs w:val="32"/>
        </w:rPr>
        <w:t>241.76</w:t>
      </w:r>
      <w:r>
        <w:rPr>
          <w:rStyle w:val="17"/>
          <w:rFonts w:hint="eastAsia" w:hAnsi="仿宋"/>
          <w:b w:val="0"/>
          <w:color w:val="000000"/>
          <w:sz w:val="32"/>
          <w:szCs w:val="32"/>
        </w:rPr>
        <w:t>万元，</w:t>
      </w:r>
      <w:r>
        <w:rPr>
          <w:rFonts w:hint="eastAsia" w:hAnsi="仿宋_GB2312" w:cs="仿宋_GB2312"/>
          <w:bCs/>
          <w:sz w:val="32"/>
          <w:szCs w:val="32"/>
        </w:rPr>
        <w:t>完成预算100%</w:t>
      </w:r>
      <w:r>
        <w:rPr>
          <w:rStyle w:val="17"/>
          <w:rFonts w:hint="eastAsia" w:hAnsi="仿宋"/>
          <w:b w:val="0"/>
          <w:color w:val="000000"/>
          <w:sz w:val="32"/>
          <w:szCs w:val="32"/>
        </w:rPr>
        <w:t>。</w:t>
      </w:r>
      <w:r>
        <w:rPr>
          <w:rStyle w:val="17"/>
          <w:rFonts w:hint="eastAsia" w:hAnsi="仿宋_GB2312" w:cs="仿宋_GB2312"/>
          <w:b w:val="0"/>
          <w:sz w:val="32"/>
          <w:szCs w:val="32"/>
        </w:rPr>
        <w:t>决算数等于预算数。</w:t>
      </w:r>
    </w:p>
    <w:p w14:paraId="64C3AB6C">
      <w:pPr>
        <w:spacing w:line="600" w:lineRule="exact"/>
        <w:ind w:firstLine="643" w:firstLineChars="200"/>
        <w:rPr>
          <w:rStyle w:val="17"/>
          <w:rFonts w:ascii="仿宋_GB2312" w:hAnsi="仿宋" w:eastAsia="仿宋_GB2312"/>
          <w:b w:val="0"/>
          <w:color w:val="000000"/>
          <w:sz w:val="32"/>
          <w:szCs w:val="32"/>
        </w:rPr>
      </w:pPr>
      <w:r>
        <w:rPr>
          <w:rStyle w:val="17"/>
          <w:rFonts w:hint="eastAsia" w:ascii="仿宋_GB2312" w:hAnsi="仿宋" w:eastAsia="仿宋_GB2312"/>
          <w:bCs/>
          <w:color w:val="000000"/>
          <w:sz w:val="32"/>
          <w:szCs w:val="32"/>
        </w:rPr>
        <w:t>3.一般公共服务（类）政府办公厅（室）及相关机构事务（款）事业运行（项）</w:t>
      </w:r>
      <w:r>
        <w:rPr>
          <w:rStyle w:val="17"/>
          <w:rFonts w:ascii="仿宋_GB2312" w:hAnsi="仿宋" w:eastAsia="仿宋_GB2312"/>
          <w:bCs/>
          <w:color w:val="000000"/>
          <w:sz w:val="32"/>
          <w:szCs w:val="32"/>
        </w:rPr>
        <w:t>:</w:t>
      </w:r>
      <w:r>
        <w:rPr>
          <w:rStyle w:val="17"/>
          <w:rFonts w:ascii="仿宋_GB2312" w:hAnsi="仿宋" w:eastAsia="仿宋_GB2312"/>
          <w:b w:val="0"/>
          <w:color w:val="000000"/>
          <w:sz w:val="32"/>
          <w:szCs w:val="32"/>
        </w:rPr>
        <w:t xml:space="preserve"> </w:t>
      </w:r>
      <w:r>
        <w:rPr>
          <w:rStyle w:val="17"/>
          <w:rFonts w:hint="eastAsia" w:ascii="仿宋_GB2312" w:hAnsi="仿宋" w:eastAsia="仿宋_GB2312"/>
          <w:b w:val="0"/>
          <w:color w:val="000000"/>
          <w:sz w:val="32"/>
          <w:szCs w:val="32"/>
        </w:rPr>
        <w:t>支出决算为12.02万元，</w:t>
      </w:r>
      <w:r>
        <w:rPr>
          <w:rFonts w:hint="eastAsia" w:ascii="仿宋_GB2312" w:hAnsi="仿宋_GB2312" w:eastAsia="仿宋_GB2312" w:cs="仿宋_GB2312"/>
          <w:bCs/>
          <w:sz w:val="32"/>
          <w:szCs w:val="32"/>
        </w:rPr>
        <w:t>完成预算100%</w:t>
      </w:r>
      <w:r>
        <w:rPr>
          <w:rStyle w:val="17"/>
          <w:rFonts w:hint="eastAsia" w:ascii="仿宋_GB2312" w:hAnsi="仿宋" w:eastAsia="仿宋_GB2312"/>
          <w:b w:val="0"/>
          <w:color w:val="000000"/>
          <w:sz w:val="32"/>
          <w:szCs w:val="32"/>
        </w:rPr>
        <w:t>。</w:t>
      </w:r>
      <w:r>
        <w:rPr>
          <w:rStyle w:val="17"/>
          <w:rFonts w:hint="eastAsia" w:ascii="仿宋_GB2312" w:hAnsi="仿宋_GB2312" w:eastAsia="仿宋_GB2312" w:cs="仿宋_GB2312"/>
          <w:b w:val="0"/>
          <w:sz w:val="32"/>
          <w:szCs w:val="32"/>
        </w:rPr>
        <w:t>决算数等于预算数。</w:t>
      </w:r>
    </w:p>
    <w:p w14:paraId="24A266C7">
      <w:pPr>
        <w:pStyle w:val="6"/>
        <w:spacing w:before="93" w:line="600" w:lineRule="exact"/>
        <w:ind w:firstLine="643" w:firstLineChars="200"/>
      </w:pPr>
      <w:r>
        <w:rPr>
          <w:rStyle w:val="17"/>
          <w:rFonts w:hint="eastAsia" w:hAnsi="仿宋"/>
          <w:bCs/>
          <w:color w:val="000000"/>
          <w:sz w:val="32"/>
          <w:szCs w:val="32"/>
        </w:rPr>
        <w:t>4.一般公共服务（类）政府办公厅（室）及相关机构事务（款）其他政府办公厅（室）及相关机构事务支出（项）</w:t>
      </w:r>
      <w:r>
        <w:rPr>
          <w:rStyle w:val="17"/>
          <w:rFonts w:hAnsi="仿宋"/>
          <w:bCs/>
          <w:color w:val="000000"/>
          <w:sz w:val="32"/>
          <w:szCs w:val="32"/>
        </w:rPr>
        <w:t xml:space="preserve">: </w:t>
      </w:r>
      <w:r>
        <w:rPr>
          <w:rStyle w:val="17"/>
          <w:rFonts w:hint="eastAsia" w:hAnsi="仿宋"/>
          <w:b w:val="0"/>
          <w:color w:val="000000"/>
          <w:sz w:val="32"/>
          <w:szCs w:val="32"/>
        </w:rPr>
        <w:t>支出决算为</w:t>
      </w:r>
      <w:r>
        <w:rPr>
          <w:rStyle w:val="17"/>
          <w:rFonts w:hint="eastAsia" w:hAnsi="仿宋"/>
          <w:b w:val="0"/>
          <w:sz w:val="32"/>
          <w:szCs w:val="32"/>
        </w:rPr>
        <w:t>21.29</w:t>
      </w:r>
      <w:r>
        <w:rPr>
          <w:rStyle w:val="17"/>
          <w:rFonts w:hint="eastAsia" w:hAnsi="仿宋"/>
          <w:b w:val="0"/>
          <w:color w:val="000000"/>
          <w:sz w:val="32"/>
          <w:szCs w:val="32"/>
        </w:rPr>
        <w:t>万元，</w:t>
      </w:r>
      <w:r>
        <w:rPr>
          <w:rFonts w:hint="eastAsia" w:hAnsi="仿宋_GB2312" w:cs="仿宋_GB2312"/>
          <w:bCs/>
          <w:sz w:val="32"/>
          <w:szCs w:val="32"/>
        </w:rPr>
        <w:t>完成预算100%</w:t>
      </w:r>
      <w:r>
        <w:rPr>
          <w:rStyle w:val="17"/>
          <w:rFonts w:hint="eastAsia" w:hAnsi="仿宋"/>
          <w:b w:val="0"/>
          <w:color w:val="000000"/>
          <w:sz w:val="32"/>
          <w:szCs w:val="32"/>
        </w:rPr>
        <w:t>。</w:t>
      </w:r>
      <w:r>
        <w:rPr>
          <w:rStyle w:val="17"/>
          <w:rFonts w:hint="eastAsia" w:hAnsi="仿宋_GB2312" w:cs="仿宋_GB2312"/>
          <w:b w:val="0"/>
          <w:sz w:val="32"/>
          <w:szCs w:val="32"/>
        </w:rPr>
        <w:t>决算数等于预算数。</w:t>
      </w:r>
    </w:p>
    <w:p w14:paraId="61D410D6">
      <w:pPr>
        <w:spacing w:line="600" w:lineRule="exact"/>
        <w:ind w:firstLine="643" w:firstLineChars="200"/>
        <w:rPr>
          <w:rFonts w:ascii="仿宋_GB2312" w:hAnsi="仿宋" w:eastAsia="仿宋_GB2312"/>
          <w:color w:val="000000"/>
          <w:sz w:val="32"/>
          <w:szCs w:val="32"/>
        </w:rPr>
      </w:pPr>
      <w:r>
        <w:rPr>
          <w:rStyle w:val="17"/>
          <w:rFonts w:hint="eastAsia" w:ascii="仿宋_GB2312" w:hAnsi="仿宋" w:eastAsia="仿宋_GB2312"/>
          <w:color w:val="000000"/>
          <w:sz w:val="32"/>
          <w:szCs w:val="32"/>
        </w:rPr>
        <w:t>5</w:t>
      </w:r>
      <w:r>
        <w:rPr>
          <w:rStyle w:val="17"/>
          <w:rFonts w:ascii="仿宋_GB2312" w:hAnsi="仿宋" w:eastAsia="仿宋_GB2312"/>
          <w:color w:val="000000"/>
          <w:sz w:val="32"/>
          <w:szCs w:val="32"/>
        </w:rPr>
        <w:t>.</w:t>
      </w:r>
      <w:r>
        <w:rPr>
          <w:rStyle w:val="17"/>
          <w:rFonts w:hint="eastAsia" w:ascii="仿宋_GB2312" w:hAnsi="仿宋" w:eastAsia="仿宋_GB2312"/>
          <w:color w:val="000000"/>
          <w:sz w:val="32"/>
          <w:szCs w:val="32"/>
        </w:rPr>
        <w:t>社会保障和就业（类）行政事业单位养老支出（款）机关事业单位基本养老保险缴费支出（项）</w:t>
      </w:r>
      <w:r>
        <w:rPr>
          <w:rStyle w:val="17"/>
          <w:rFonts w:ascii="仿宋_GB2312" w:hAnsi="仿宋" w:eastAsia="仿宋_GB2312"/>
          <w:color w:val="000000"/>
          <w:sz w:val="32"/>
          <w:szCs w:val="32"/>
        </w:rPr>
        <w:t>:</w:t>
      </w:r>
      <w:r>
        <w:rPr>
          <w:rStyle w:val="17"/>
          <w:rFonts w:ascii="仿宋_GB2312" w:hAnsi="仿宋" w:eastAsia="仿宋_GB2312"/>
          <w:b w:val="0"/>
          <w:bCs/>
          <w:color w:val="000000"/>
          <w:sz w:val="32"/>
          <w:szCs w:val="32"/>
        </w:rPr>
        <w:t xml:space="preserve"> </w:t>
      </w:r>
      <w:r>
        <w:rPr>
          <w:rStyle w:val="17"/>
          <w:rFonts w:hint="eastAsia" w:ascii="仿宋_GB2312" w:hAnsi="仿宋" w:eastAsia="仿宋_GB2312"/>
          <w:b w:val="0"/>
          <w:bCs/>
          <w:color w:val="000000"/>
          <w:sz w:val="32"/>
          <w:szCs w:val="32"/>
        </w:rPr>
        <w:t>支出决算为79.28万元，</w:t>
      </w:r>
      <w:r>
        <w:rPr>
          <w:rFonts w:hint="eastAsia" w:ascii="仿宋_GB2312" w:hAnsi="仿宋_GB2312" w:eastAsia="仿宋_GB2312" w:cs="仿宋_GB2312"/>
          <w:bCs/>
          <w:sz w:val="32"/>
          <w:szCs w:val="32"/>
        </w:rPr>
        <w:t>完成预算100%</w:t>
      </w:r>
      <w:r>
        <w:rPr>
          <w:rStyle w:val="17"/>
          <w:rFonts w:hint="eastAsia" w:ascii="仿宋_GB2312" w:hAnsi="仿宋" w:eastAsia="仿宋_GB2312"/>
          <w:b w:val="0"/>
          <w:bCs/>
          <w:color w:val="000000"/>
          <w:sz w:val="32"/>
          <w:szCs w:val="32"/>
        </w:rPr>
        <w:t>。</w:t>
      </w:r>
      <w:r>
        <w:rPr>
          <w:rStyle w:val="17"/>
          <w:rFonts w:hint="eastAsia" w:ascii="仿宋_GB2312" w:hAnsi="仿宋_GB2312" w:eastAsia="仿宋_GB2312" w:cs="仿宋_GB2312"/>
          <w:b w:val="0"/>
          <w:sz w:val="32"/>
          <w:szCs w:val="32"/>
        </w:rPr>
        <w:t>决算数等于预算数。</w:t>
      </w:r>
    </w:p>
    <w:p w14:paraId="535C892F">
      <w:pPr>
        <w:spacing w:line="600" w:lineRule="exact"/>
        <w:ind w:firstLine="643" w:firstLineChars="200"/>
        <w:rPr>
          <w:rFonts w:ascii="仿宋_GB2312" w:hAnsi="仿宋" w:eastAsia="仿宋_GB2312"/>
          <w:color w:val="000000"/>
          <w:sz w:val="32"/>
          <w:szCs w:val="32"/>
        </w:rPr>
      </w:pPr>
      <w:r>
        <w:rPr>
          <w:rStyle w:val="17"/>
          <w:rFonts w:hint="eastAsia" w:ascii="仿宋_GB2312" w:hAnsi="仿宋" w:eastAsia="仿宋_GB2312"/>
          <w:color w:val="000000"/>
          <w:sz w:val="32"/>
          <w:szCs w:val="32"/>
        </w:rPr>
        <w:t>6</w:t>
      </w:r>
      <w:r>
        <w:rPr>
          <w:rStyle w:val="17"/>
          <w:rFonts w:ascii="仿宋_GB2312" w:hAnsi="仿宋" w:eastAsia="仿宋_GB2312"/>
          <w:color w:val="000000"/>
          <w:sz w:val="32"/>
          <w:szCs w:val="32"/>
        </w:rPr>
        <w:t>.</w:t>
      </w:r>
      <w:r>
        <w:rPr>
          <w:rStyle w:val="17"/>
          <w:rFonts w:hint="eastAsia" w:ascii="仿宋_GB2312" w:hAnsi="仿宋" w:eastAsia="仿宋_GB2312"/>
          <w:color w:val="000000"/>
          <w:sz w:val="32"/>
          <w:szCs w:val="32"/>
        </w:rPr>
        <w:t>社会保障和就业（类）行政事业单位养老支出（款）机关事业单位职业年金缴费支出（项）</w:t>
      </w:r>
      <w:r>
        <w:rPr>
          <w:rStyle w:val="17"/>
          <w:rFonts w:ascii="仿宋_GB2312" w:hAnsi="仿宋" w:eastAsia="仿宋_GB2312"/>
          <w:color w:val="000000"/>
          <w:sz w:val="32"/>
          <w:szCs w:val="32"/>
        </w:rPr>
        <w:t xml:space="preserve">: </w:t>
      </w:r>
      <w:r>
        <w:rPr>
          <w:rStyle w:val="17"/>
          <w:rFonts w:hint="eastAsia" w:ascii="仿宋_GB2312" w:hAnsi="仿宋" w:eastAsia="仿宋_GB2312"/>
          <w:b w:val="0"/>
          <w:bCs/>
          <w:color w:val="000000"/>
          <w:sz w:val="32"/>
          <w:szCs w:val="32"/>
        </w:rPr>
        <w:t>支出决算为16.83万元，</w:t>
      </w:r>
      <w:r>
        <w:rPr>
          <w:rFonts w:hint="eastAsia" w:ascii="仿宋_GB2312" w:hAnsi="仿宋_GB2312" w:eastAsia="仿宋_GB2312" w:cs="仿宋_GB2312"/>
          <w:bCs/>
          <w:sz w:val="32"/>
          <w:szCs w:val="32"/>
        </w:rPr>
        <w:t>完成预算100%</w:t>
      </w:r>
      <w:r>
        <w:rPr>
          <w:rStyle w:val="17"/>
          <w:rFonts w:hint="eastAsia" w:ascii="仿宋_GB2312" w:hAnsi="仿宋" w:eastAsia="仿宋_GB2312"/>
          <w:b w:val="0"/>
          <w:bCs/>
          <w:color w:val="000000"/>
          <w:sz w:val="32"/>
          <w:szCs w:val="32"/>
        </w:rPr>
        <w:t>。</w:t>
      </w:r>
      <w:r>
        <w:rPr>
          <w:rStyle w:val="17"/>
          <w:rFonts w:hint="eastAsia" w:ascii="仿宋_GB2312" w:hAnsi="仿宋_GB2312" w:eastAsia="仿宋_GB2312" w:cs="仿宋_GB2312"/>
          <w:b w:val="0"/>
          <w:sz w:val="32"/>
          <w:szCs w:val="32"/>
        </w:rPr>
        <w:t>决算数等于预算数。</w:t>
      </w:r>
    </w:p>
    <w:p w14:paraId="7D4FBD30">
      <w:pPr>
        <w:spacing w:line="600" w:lineRule="exact"/>
        <w:ind w:firstLine="643" w:firstLineChars="200"/>
        <w:rPr>
          <w:rStyle w:val="17"/>
          <w:rFonts w:ascii="仿宋_GB2312" w:hAnsi="仿宋" w:eastAsia="仿宋_GB2312"/>
          <w:b w:val="0"/>
          <w:bCs/>
          <w:color w:val="000000"/>
          <w:sz w:val="32"/>
          <w:szCs w:val="32"/>
        </w:rPr>
      </w:pPr>
      <w:r>
        <w:rPr>
          <w:rStyle w:val="17"/>
          <w:rFonts w:hint="eastAsia" w:ascii="仿宋_GB2312" w:hAnsi="仿宋" w:eastAsia="仿宋_GB2312"/>
          <w:color w:val="000000"/>
          <w:sz w:val="32"/>
          <w:szCs w:val="32"/>
        </w:rPr>
        <w:t>7</w:t>
      </w:r>
      <w:r>
        <w:rPr>
          <w:rStyle w:val="17"/>
          <w:rFonts w:ascii="仿宋_GB2312" w:hAnsi="仿宋" w:eastAsia="仿宋_GB2312"/>
          <w:color w:val="000000"/>
          <w:sz w:val="32"/>
          <w:szCs w:val="32"/>
        </w:rPr>
        <w:t>.</w:t>
      </w:r>
      <w:r>
        <w:rPr>
          <w:rStyle w:val="17"/>
          <w:rFonts w:hint="eastAsia" w:ascii="仿宋_GB2312" w:hAnsi="仿宋" w:eastAsia="仿宋_GB2312"/>
          <w:color w:val="000000"/>
          <w:sz w:val="32"/>
          <w:szCs w:val="32"/>
        </w:rPr>
        <w:t>社会保障和就业（类）行政事业单位养老支出（款）其他行政事业单位养老支出（项）</w:t>
      </w:r>
      <w:r>
        <w:rPr>
          <w:rStyle w:val="17"/>
          <w:rFonts w:ascii="仿宋_GB2312" w:hAnsi="仿宋" w:eastAsia="仿宋_GB2312"/>
          <w:color w:val="000000"/>
          <w:sz w:val="32"/>
          <w:szCs w:val="32"/>
        </w:rPr>
        <w:t>:</w:t>
      </w:r>
      <w:r>
        <w:rPr>
          <w:rStyle w:val="17"/>
          <w:rFonts w:ascii="仿宋_GB2312" w:hAnsi="仿宋" w:eastAsia="仿宋_GB2312"/>
          <w:b w:val="0"/>
          <w:bCs/>
          <w:color w:val="000000"/>
          <w:sz w:val="32"/>
          <w:szCs w:val="32"/>
        </w:rPr>
        <w:t xml:space="preserve"> </w:t>
      </w:r>
      <w:r>
        <w:rPr>
          <w:rStyle w:val="17"/>
          <w:rFonts w:hint="eastAsia" w:ascii="仿宋_GB2312" w:hAnsi="仿宋" w:eastAsia="仿宋_GB2312"/>
          <w:b w:val="0"/>
          <w:bCs/>
          <w:color w:val="000000"/>
          <w:sz w:val="32"/>
          <w:szCs w:val="32"/>
        </w:rPr>
        <w:t>支出决算为3.48万元，</w:t>
      </w:r>
      <w:r>
        <w:rPr>
          <w:rFonts w:hint="eastAsia" w:ascii="仿宋_GB2312" w:hAnsi="仿宋_GB2312" w:eastAsia="仿宋_GB2312" w:cs="仿宋_GB2312"/>
          <w:bCs/>
          <w:sz w:val="32"/>
          <w:szCs w:val="32"/>
        </w:rPr>
        <w:t>完成预算100%</w:t>
      </w:r>
      <w:r>
        <w:rPr>
          <w:rStyle w:val="17"/>
          <w:rFonts w:hint="eastAsia" w:ascii="仿宋_GB2312" w:hAnsi="仿宋" w:eastAsia="仿宋_GB2312"/>
          <w:b w:val="0"/>
          <w:bCs/>
          <w:color w:val="000000"/>
          <w:sz w:val="32"/>
          <w:szCs w:val="32"/>
        </w:rPr>
        <w:t>。</w:t>
      </w:r>
      <w:r>
        <w:rPr>
          <w:rStyle w:val="17"/>
          <w:rFonts w:hint="eastAsia" w:ascii="仿宋_GB2312" w:hAnsi="仿宋_GB2312" w:eastAsia="仿宋_GB2312" w:cs="仿宋_GB2312"/>
          <w:b w:val="0"/>
          <w:sz w:val="32"/>
          <w:szCs w:val="32"/>
        </w:rPr>
        <w:t>决算数等于预算数。</w:t>
      </w:r>
    </w:p>
    <w:p w14:paraId="24ACCEDA">
      <w:pPr>
        <w:spacing w:line="600" w:lineRule="exact"/>
        <w:ind w:firstLine="643" w:firstLineChars="200"/>
        <w:rPr>
          <w:rStyle w:val="17"/>
          <w:rFonts w:ascii="仿宋_GB2312" w:hAnsi="仿宋" w:eastAsia="仿宋_GB2312"/>
          <w:b w:val="0"/>
          <w:bCs/>
          <w:color w:val="000000"/>
          <w:sz w:val="32"/>
          <w:szCs w:val="32"/>
        </w:rPr>
      </w:pPr>
      <w:r>
        <w:rPr>
          <w:rStyle w:val="17"/>
          <w:rFonts w:hint="eastAsia" w:ascii="仿宋_GB2312" w:hAnsi="仿宋" w:eastAsia="仿宋_GB2312"/>
          <w:color w:val="000000"/>
          <w:sz w:val="32"/>
          <w:szCs w:val="32"/>
        </w:rPr>
        <w:t>8</w:t>
      </w:r>
      <w:r>
        <w:rPr>
          <w:rStyle w:val="17"/>
          <w:rFonts w:ascii="仿宋_GB2312" w:hAnsi="仿宋" w:eastAsia="仿宋_GB2312"/>
          <w:color w:val="000000"/>
          <w:sz w:val="32"/>
          <w:szCs w:val="32"/>
        </w:rPr>
        <w:t>.</w:t>
      </w:r>
      <w:r>
        <w:rPr>
          <w:rStyle w:val="17"/>
          <w:rFonts w:hint="eastAsia" w:ascii="仿宋_GB2312" w:hAnsi="仿宋" w:eastAsia="仿宋_GB2312"/>
          <w:color w:val="000000"/>
          <w:sz w:val="32"/>
          <w:szCs w:val="32"/>
        </w:rPr>
        <w:t>卫生健康支出（类）行政事业单位医疗（款）行政单位医疗（项）：</w:t>
      </w:r>
      <w:r>
        <w:rPr>
          <w:rStyle w:val="17"/>
          <w:rFonts w:hint="eastAsia" w:ascii="仿宋_GB2312" w:hAnsi="仿宋" w:eastAsia="仿宋_GB2312"/>
          <w:b w:val="0"/>
          <w:bCs/>
          <w:color w:val="000000"/>
          <w:sz w:val="32"/>
          <w:szCs w:val="32"/>
        </w:rPr>
        <w:t>支出决算为32.79万元，</w:t>
      </w:r>
      <w:r>
        <w:rPr>
          <w:rFonts w:hint="eastAsia" w:ascii="仿宋_GB2312" w:hAnsi="仿宋_GB2312" w:eastAsia="仿宋_GB2312" w:cs="仿宋_GB2312"/>
          <w:bCs/>
          <w:sz w:val="32"/>
          <w:szCs w:val="32"/>
        </w:rPr>
        <w:t>完成预算100%</w:t>
      </w:r>
      <w:r>
        <w:rPr>
          <w:rStyle w:val="17"/>
          <w:rFonts w:hint="eastAsia" w:ascii="仿宋_GB2312" w:hAnsi="仿宋" w:eastAsia="仿宋_GB2312"/>
          <w:b w:val="0"/>
          <w:bCs/>
          <w:color w:val="000000"/>
          <w:sz w:val="32"/>
          <w:szCs w:val="32"/>
        </w:rPr>
        <w:t>。</w:t>
      </w:r>
      <w:r>
        <w:rPr>
          <w:rStyle w:val="17"/>
          <w:rFonts w:hint="eastAsia" w:ascii="仿宋_GB2312" w:hAnsi="仿宋_GB2312" w:eastAsia="仿宋_GB2312" w:cs="仿宋_GB2312"/>
          <w:b w:val="0"/>
          <w:sz w:val="32"/>
          <w:szCs w:val="32"/>
        </w:rPr>
        <w:t>决算数等于预算数。</w:t>
      </w:r>
    </w:p>
    <w:p w14:paraId="08B5D6A6">
      <w:pPr>
        <w:pStyle w:val="6"/>
        <w:spacing w:before="93" w:line="600" w:lineRule="exact"/>
        <w:ind w:firstLine="643" w:firstLineChars="200"/>
        <w:rPr>
          <w:rStyle w:val="17"/>
          <w:rFonts w:hAnsi="仿宋"/>
          <w:b w:val="0"/>
          <w:bCs/>
          <w:color w:val="000000"/>
          <w:sz w:val="32"/>
          <w:szCs w:val="32"/>
        </w:rPr>
      </w:pPr>
      <w:r>
        <w:rPr>
          <w:rStyle w:val="17"/>
          <w:rFonts w:hint="eastAsia" w:hAnsi="仿宋"/>
          <w:color w:val="000000"/>
          <w:sz w:val="32"/>
          <w:szCs w:val="32"/>
        </w:rPr>
        <w:t>9</w:t>
      </w:r>
      <w:r>
        <w:rPr>
          <w:rStyle w:val="17"/>
          <w:rFonts w:hAnsi="仿宋"/>
          <w:color w:val="000000"/>
          <w:sz w:val="32"/>
          <w:szCs w:val="32"/>
        </w:rPr>
        <w:t>.</w:t>
      </w:r>
      <w:r>
        <w:rPr>
          <w:rStyle w:val="17"/>
          <w:rFonts w:hint="eastAsia" w:hAnsi="仿宋"/>
          <w:color w:val="000000"/>
          <w:sz w:val="32"/>
          <w:szCs w:val="32"/>
        </w:rPr>
        <w:t>卫生健康支出（类）行政事业单位医疗（款）事业单位医疗（项）：</w:t>
      </w:r>
      <w:r>
        <w:rPr>
          <w:rStyle w:val="17"/>
          <w:rFonts w:hint="eastAsia" w:hAnsi="仿宋"/>
          <w:b w:val="0"/>
          <w:bCs/>
          <w:color w:val="000000"/>
          <w:sz w:val="32"/>
          <w:szCs w:val="32"/>
        </w:rPr>
        <w:t>支出决算为0.67万元，</w:t>
      </w:r>
      <w:r>
        <w:rPr>
          <w:rFonts w:hint="eastAsia" w:hAnsi="仿宋_GB2312" w:cs="仿宋_GB2312"/>
          <w:bCs/>
          <w:sz w:val="32"/>
          <w:szCs w:val="32"/>
        </w:rPr>
        <w:t>完成预算100%</w:t>
      </w:r>
      <w:r>
        <w:rPr>
          <w:rStyle w:val="17"/>
          <w:rFonts w:hint="eastAsia" w:hAnsi="仿宋"/>
          <w:b w:val="0"/>
          <w:bCs/>
          <w:color w:val="000000"/>
          <w:sz w:val="32"/>
          <w:szCs w:val="32"/>
        </w:rPr>
        <w:t>。</w:t>
      </w:r>
      <w:r>
        <w:rPr>
          <w:rStyle w:val="17"/>
          <w:rFonts w:hint="eastAsia" w:hAnsi="仿宋_GB2312" w:cs="仿宋_GB2312"/>
          <w:b w:val="0"/>
          <w:sz w:val="32"/>
          <w:szCs w:val="32"/>
        </w:rPr>
        <w:t>决算数等于预算数。</w:t>
      </w:r>
    </w:p>
    <w:p w14:paraId="513ACCC5">
      <w:pPr>
        <w:pStyle w:val="6"/>
        <w:spacing w:before="93" w:line="600" w:lineRule="exact"/>
        <w:ind w:firstLine="643" w:firstLineChars="200"/>
        <w:rPr>
          <w:rStyle w:val="17"/>
          <w:rFonts w:hAnsi="仿宋"/>
          <w:b w:val="0"/>
          <w:bCs/>
          <w:color w:val="000000"/>
          <w:sz w:val="32"/>
          <w:szCs w:val="32"/>
        </w:rPr>
      </w:pPr>
      <w:r>
        <w:rPr>
          <w:rStyle w:val="17"/>
          <w:rFonts w:hint="eastAsia" w:hAnsi="仿宋"/>
          <w:color w:val="000000"/>
          <w:sz w:val="32"/>
          <w:szCs w:val="32"/>
        </w:rPr>
        <w:t>10</w:t>
      </w:r>
      <w:r>
        <w:rPr>
          <w:rStyle w:val="17"/>
          <w:rFonts w:hAnsi="仿宋"/>
          <w:color w:val="000000"/>
          <w:sz w:val="32"/>
          <w:szCs w:val="32"/>
        </w:rPr>
        <w:t>.</w:t>
      </w:r>
      <w:r>
        <w:rPr>
          <w:rStyle w:val="17"/>
          <w:rFonts w:hint="eastAsia" w:hAnsi="仿宋"/>
          <w:color w:val="000000"/>
          <w:sz w:val="32"/>
          <w:szCs w:val="32"/>
        </w:rPr>
        <w:t>卫生健康支出（类）行政事业单位医疗（款）公务员医疗补助（项）：</w:t>
      </w:r>
      <w:r>
        <w:rPr>
          <w:rStyle w:val="17"/>
          <w:rFonts w:hint="eastAsia" w:hAnsi="仿宋"/>
          <w:b w:val="0"/>
          <w:bCs/>
          <w:color w:val="000000"/>
          <w:sz w:val="32"/>
          <w:szCs w:val="32"/>
        </w:rPr>
        <w:t>支出决算为6.07万元，</w:t>
      </w:r>
      <w:r>
        <w:rPr>
          <w:rFonts w:hint="eastAsia" w:hAnsi="仿宋_GB2312" w:cs="仿宋_GB2312"/>
          <w:bCs/>
          <w:sz w:val="32"/>
          <w:szCs w:val="32"/>
        </w:rPr>
        <w:t>完成预算100%</w:t>
      </w:r>
      <w:r>
        <w:rPr>
          <w:rStyle w:val="17"/>
          <w:rFonts w:hint="eastAsia" w:hAnsi="仿宋"/>
          <w:b w:val="0"/>
          <w:bCs/>
          <w:color w:val="000000"/>
          <w:sz w:val="32"/>
          <w:szCs w:val="32"/>
        </w:rPr>
        <w:t>。</w:t>
      </w:r>
      <w:r>
        <w:rPr>
          <w:rStyle w:val="17"/>
          <w:rFonts w:hint="eastAsia" w:hAnsi="仿宋_GB2312" w:cs="仿宋_GB2312"/>
          <w:b w:val="0"/>
          <w:sz w:val="32"/>
          <w:szCs w:val="32"/>
        </w:rPr>
        <w:t>决算数等于预算数。</w:t>
      </w:r>
    </w:p>
    <w:p w14:paraId="1AA22271">
      <w:pPr>
        <w:spacing w:line="600" w:lineRule="exact"/>
        <w:ind w:firstLine="643" w:firstLineChars="200"/>
        <w:rPr>
          <w:rFonts w:ascii="仿宋" w:hAnsi="仿宋" w:eastAsia="仿宋"/>
          <w:b/>
          <w:sz w:val="32"/>
          <w:szCs w:val="32"/>
        </w:rPr>
      </w:pPr>
      <w:r>
        <w:rPr>
          <w:rFonts w:hint="eastAsia" w:ascii="仿宋_GB2312" w:hAnsi="仿宋" w:eastAsia="仿宋_GB2312"/>
          <w:b/>
          <w:bCs/>
          <w:color w:val="000000"/>
          <w:sz w:val="32"/>
          <w:szCs w:val="32"/>
        </w:rPr>
        <w:t>11.住房保障支出（类）住房改革支出（款）住房公积金（项）：</w:t>
      </w:r>
      <w:r>
        <w:rPr>
          <w:rStyle w:val="17"/>
          <w:rFonts w:hint="eastAsia" w:ascii="仿宋_GB2312" w:hAnsi="仿宋" w:eastAsia="仿宋_GB2312"/>
          <w:b w:val="0"/>
          <w:bCs/>
          <w:color w:val="000000"/>
          <w:sz w:val="32"/>
          <w:szCs w:val="32"/>
        </w:rPr>
        <w:t>支出决算为98.93万元，</w:t>
      </w:r>
      <w:r>
        <w:rPr>
          <w:rFonts w:hint="eastAsia" w:ascii="仿宋_GB2312" w:hAnsi="仿宋_GB2312" w:eastAsia="仿宋_GB2312" w:cs="仿宋_GB2312"/>
          <w:bCs/>
          <w:sz w:val="32"/>
          <w:szCs w:val="32"/>
        </w:rPr>
        <w:t>完成预算100%</w:t>
      </w:r>
      <w:r>
        <w:rPr>
          <w:rStyle w:val="17"/>
          <w:rFonts w:hint="eastAsia" w:ascii="仿宋_GB2312" w:hAnsi="仿宋" w:eastAsia="仿宋_GB2312"/>
          <w:b w:val="0"/>
          <w:bCs/>
          <w:color w:val="000000"/>
          <w:sz w:val="32"/>
          <w:szCs w:val="32"/>
        </w:rPr>
        <w:t>。</w:t>
      </w:r>
      <w:r>
        <w:rPr>
          <w:rStyle w:val="17"/>
          <w:rFonts w:hint="eastAsia" w:ascii="仿宋_GB2312" w:hAnsi="仿宋_GB2312" w:eastAsia="仿宋_GB2312" w:cs="仿宋_GB2312"/>
          <w:b w:val="0"/>
          <w:sz w:val="32"/>
          <w:szCs w:val="32"/>
        </w:rPr>
        <w:t>决算数等于预算数。</w:t>
      </w:r>
    </w:p>
    <w:p w14:paraId="58B0A5AC">
      <w:pPr>
        <w:tabs>
          <w:tab w:val="right" w:pos="8306"/>
        </w:tabs>
        <w:spacing w:line="600" w:lineRule="exact"/>
        <w:ind w:firstLine="640"/>
        <w:outlineLvl w:val="1"/>
        <w:rPr>
          <w:rStyle w:val="29"/>
        </w:rPr>
      </w:pPr>
      <w:bookmarkStart w:id="36" w:name="_Toc15396608"/>
      <w:bookmarkStart w:id="37" w:name="_Toc15377214"/>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29"/>
          <w:rFonts w:hint="eastAsia" w:ascii="黑体" w:hAnsi="黑体" w:eastAsia="黑体"/>
          <w:b w:val="0"/>
        </w:rPr>
        <w:t>般公共预算财政拨款基本支出决算情况说明</w:t>
      </w:r>
      <w:bookmarkEnd w:id="36"/>
      <w:bookmarkEnd w:id="37"/>
      <w:r>
        <w:rPr>
          <w:rStyle w:val="29"/>
          <w:rFonts w:ascii="黑体" w:hAnsi="黑体" w:eastAsia="黑体"/>
          <w:b w:val="0"/>
        </w:rPr>
        <w:tab/>
      </w:r>
    </w:p>
    <w:p w14:paraId="4E47A41B">
      <w:pPr>
        <w:spacing w:line="600" w:lineRule="exact"/>
        <w:ind w:firstLine="646"/>
        <w:rPr>
          <w:rFonts w:ascii="仿宋_GB2312" w:hAnsi="仿宋_GB2312" w:eastAsia="仿宋_GB2312" w:cs="仿宋_GB2312"/>
          <w:sz w:val="32"/>
          <w:szCs w:val="32"/>
        </w:rPr>
      </w:pPr>
      <w:r>
        <w:rPr>
          <w:rFonts w:hint="eastAsia" w:ascii="仿宋_GB2312" w:hAnsi="仿宋_GB2312" w:eastAsia="仿宋_GB2312" w:cs="仿宋_GB2312"/>
          <w:sz w:val="32"/>
          <w:szCs w:val="32"/>
        </w:rPr>
        <w:t>2022年一般公共预算财政拨款基本支出1555.64万元，其中：</w:t>
      </w:r>
    </w:p>
    <w:p w14:paraId="2B65250F">
      <w:pPr>
        <w:spacing w:line="600" w:lineRule="exact"/>
        <w:ind w:firstLine="646"/>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人员经费1335.78万元，主要包括：基本工资、津贴补贴、奖金、绩效工资、机关事业单位基本养老保险缴费、职业年金缴费、</w:t>
      </w:r>
      <w:r>
        <w:rPr>
          <w:rFonts w:hint="eastAsia" w:ascii="仿宋_GB2312" w:hAnsi="仿宋_GB2312" w:eastAsia="仿宋_GB2312" w:cs="仿宋_GB2312"/>
          <w:color w:val="000000"/>
          <w:sz w:val="32"/>
          <w:szCs w:val="32"/>
        </w:rPr>
        <w:t>职工基本医疗保险缴费、公务员医疗补助缴费</w:t>
      </w:r>
    </w:p>
    <w:p w14:paraId="185A8A43">
      <w:pPr>
        <w:spacing w:line="600" w:lineRule="exact"/>
        <w:rPr>
          <w:rFonts w:ascii="仿宋_GB2312" w:hAnsi="仿宋_GB2312" w:eastAsia="仿宋_GB2312" w:cs="仿宋_GB2312"/>
          <w:b/>
          <w:sz w:val="32"/>
          <w:szCs w:val="32"/>
        </w:rPr>
      </w:pPr>
      <w:r>
        <w:rPr>
          <w:rFonts w:hint="eastAsia" w:ascii="仿宋_GB2312" w:hAnsi="仿宋_GB2312" w:eastAsia="仿宋_GB2312" w:cs="仿宋_GB2312"/>
          <w:sz w:val="32"/>
          <w:szCs w:val="32"/>
        </w:rPr>
        <w:t>、其他社会保障缴费、住房公积金、其他工资福利支出、生活补助、奖励金、其他对个人和家庭的补助支出等。</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公用经费219.86万元，主要包括：办公费、印刷费、水费、电费、邮电费、差旅费、维修（护）费、租赁费、培训费、公务接待费、劳务费、委托业务费、工会经费、福利费、公务用车运行维护费、其他交通费、办公设备购置等。</w:t>
      </w:r>
    </w:p>
    <w:p w14:paraId="59AED348">
      <w:pPr>
        <w:spacing w:line="600" w:lineRule="exact"/>
        <w:ind w:firstLine="640" w:firstLineChars="200"/>
        <w:outlineLvl w:val="1"/>
        <w:rPr>
          <w:rStyle w:val="29"/>
          <w:rFonts w:ascii="黑体" w:hAnsi="黑体" w:eastAsia="黑体"/>
          <w:b w:val="0"/>
        </w:rPr>
      </w:pPr>
      <w:bookmarkStart w:id="38" w:name="_Toc15377215"/>
      <w:bookmarkStart w:id="39" w:name="_Toc15396609"/>
      <w:r>
        <w:rPr>
          <w:rFonts w:hint="eastAsia" w:ascii="黑体" w:eastAsia="黑体"/>
          <w:sz w:val="32"/>
          <w:szCs w:val="32"/>
        </w:rPr>
        <w:t>七、</w:t>
      </w:r>
      <w:r>
        <w:rPr>
          <w:rStyle w:val="29"/>
          <w:rFonts w:hint="eastAsia" w:ascii="黑体" w:hAnsi="黑体" w:eastAsia="黑体"/>
        </w:rPr>
        <w:t>“</w:t>
      </w:r>
      <w:r>
        <w:rPr>
          <w:rStyle w:val="29"/>
          <w:rFonts w:hint="eastAsia" w:ascii="黑体" w:hAnsi="黑体" w:eastAsia="黑体"/>
          <w:b w:val="0"/>
        </w:rPr>
        <w:t>三公”经费财政拨款支出决算情况说明</w:t>
      </w:r>
      <w:bookmarkEnd w:id="38"/>
      <w:bookmarkEnd w:id="39"/>
    </w:p>
    <w:p w14:paraId="6E075830">
      <w:pPr>
        <w:spacing w:line="600" w:lineRule="exact"/>
        <w:ind w:firstLine="640"/>
        <w:outlineLvl w:val="2"/>
        <w:rPr>
          <w:rFonts w:ascii="仿宋" w:hAnsi="仿宋" w:eastAsia="仿宋"/>
          <w:b/>
          <w:sz w:val="32"/>
          <w:szCs w:val="32"/>
        </w:rPr>
      </w:pPr>
      <w:bookmarkStart w:id="40" w:name="_Toc15377216"/>
      <w:r>
        <w:rPr>
          <w:rFonts w:hint="eastAsia" w:ascii="楷体_GB2312" w:hAnsi="楷体_GB2312" w:eastAsia="楷体_GB2312" w:cs="楷体_GB2312"/>
          <w:b/>
          <w:sz w:val="32"/>
          <w:szCs w:val="32"/>
        </w:rPr>
        <w:t>（一）“三公”经费财政拨款支出决算总体情况说明</w:t>
      </w:r>
      <w:bookmarkEnd w:id="40"/>
    </w:p>
    <w:p w14:paraId="480F3015">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2022年“三公”经费财政拨款支出决算为46.81万元，完成预算100%，较上年增加18.44万元，增长65%。决算数与预算数持平。</w:t>
      </w:r>
    </w:p>
    <w:p w14:paraId="202B3C3E">
      <w:pPr>
        <w:spacing w:line="600" w:lineRule="exact"/>
        <w:ind w:firstLine="640"/>
        <w:outlineLvl w:val="2"/>
        <w:rPr>
          <w:rFonts w:ascii="楷体_GB2312" w:hAnsi="楷体_GB2312" w:eastAsia="楷体_GB2312" w:cs="楷体_GB2312"/>
          <w:b/>
          <w:sz w:val="32"/>
          <w:szCs w:val="32"/>
        </w:rPr>
      </w:pPr>
      <w:bookmarkStart w:id="41" w:name="_Toc15377217"/>
      <w:r>
        <w:rPr>
          <w:rFonts w:hint="eastAsia" w:ascii="楷体_GB2312" w:hAnsi="楷体_GB2312" w:eastAsia="楷体_GB2312" w:cs="楷体_GB2312"/>
          <w:b/>
          <w:sz w:val="32"/>
          <w:szCs w:val="32"/>
        </w:rPr>
        <w:t>（二）“三公”经费财政拨款支出决算具体情况说明</w:t>
      </w:r>
      <w:bookmarkEnd w:id="41"/>
    </w:p>
    <w:p w14:paraId="34C553C1">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2022年“三公”经费财政拨款支出决算中，因公出国（境）费支出决算0万元，占0.00%；公务用车购置及运行维护费支出决算45.64万元，占97.50%；公务接待费支出决算1.17万元，占2.50%。具体情况如下：</w:t>
      </w:r>
    </w:p>
    <w:p w14:paraId="7BE0B426">
      <w:pPr>
        <w:spacing w:line="600" w:lineRule="exact"/>
        <w:ind w:firstLine="1292" w:firstLineChars="404"/>
        <w:rPr>
          <w:rFonts w:ascii="仿宋_GB2312" w:hAnsi="仿宋_GB2312" w:eastAsia="仿宋_GB2312" w:cs="仿宋_GB2312"/>
          <w:sz w:val="32"/>
          <w:szCs w:val="32"/>
        </w:rPr>
      </w:pPr>
      <w:r>
        <w:rPr>
          <w:rFonts w:hint="eastAsia" w:ascii="仿宋_GB2312" w:hAnsi="仿宋_GB2312" w:eastAsia="仿宋_GB2312" w:cs="仿宋_GB2312"/>
          <w:sz w:val="32"/>
          <w:szCs w:val="32"/>
        </w:rPr>
        <w:t>图7：“三公”经费财政拨款支出结构</w:t>
      </w:r>
    </w:p>
    <w:p w14:paraId="648E8573">
      <w:pPr>
        <w:pStyle w:val="6"/>
        <w:spacing w:before="93"/>
        <w:ind w:firstLine="5520" w:firstLineChars="2300"/>
        <w:rPr>
          <w:sz w:val="24"/>
        </w:rPr>
      </w:pPr>
      <w:r>
        <w:rPr>
          <w:rFonts w:hint="eastAsia"/>
          <w:sz w:val="24"/>
        </w:rPr>
        <w:t>金额单位：万元</w:t>
      </w:r>
    </w:p>
    <w:p w14:paraId="34FFA9A9">
      <w:pPr>
        <w:pStyle w:val="6"/>
        <w:spacing w:before="93"/>
      </w:pPr>
      <w:r>
        <w:rPr>
          <w:rFonts w:hint="eastAsia"/>
        </w:rPr>
        <w:drawing>
          <wp:inline distT="0" distB="0" distL="114300" distR="114300">
            <wp:extent cx="5080000" cy="2073910"/>
            <wp:effectExtent l="4445" t="4445" r="20955"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5B4743F">
      <w:pPr>
        <w:spacing w:line="600" w:lineRule="exact"/>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sz w:val="32"/>
          <w:szCs w:val="32"/>
        </w:rPr>
        <w:t>1.因公出国（境）经费支出0</w:t>
      </w:r>
      <w:r>
        <w:rPr>
          <w:rFonts w:hint="eastAsia" w:ascii="仿宋_GB2312" w:hAnsi="仿宋_GB2312" w:eastAsia="仿宋_GB2312" w:cs="仿宋_GB2312"/>
          <w:sz w:val="32"/>
          <w:szCs w:val="32"/>
        </w:rPr>
        <w:t>万元</w:t>
      </w:r>
      <w:r>
        <w:rPr>
          <w:rStyle w:val="17"/>
          <w:rFonts w:hint="eastAsia" w:ascii="仿宋_GB2312" w:hAnsi="仿宋_GB2312" w:eastAsia="仿宋_GB2312" w:cs="仿宋_GB2312"/>
          <w:b w:val="0"/>
          <w:bCs/>
          <w:sz w:val="32"/>
          <w:szCs w:val="32"/>
        </w:rPr>
        <w:t>。完成预算0.00%。</w:t>
      </w:r>
      <w:r>
        <w:rPr>
          <w:rFonts w:hint="eastAsia" w:ascii="仿宋_GB2312" w:hAnsi="仿宋_GB2312" w:eastAsia="仿宋_GB2312" w:cs="仿宋_GB2312"/>
          <w:sz w:val="32"/>
          <w:szCs w:val="32"/>
        </w:rPr>
        <w:t>全年安排因公出国（境）团组0次，出国（境）0人。</w:t>
      </w:r>
      <w:r>
        <w:rPr>
          <w:rFonts w:hint="eastAsia" w:ascii="仿宋_GB2312" w:hAnsi="仿宋_GB2312" w:eastAsia="仿宋_GB2312" w:cs="仿宋_GB2312"/>
          <w:color w:val="000000"/>
          <w:sz w:val="32"/>
          <w:szCs w:val="32"/>
        </w:rPr>
        <w:t>与上年数据一致。</w:t>
      </w:r>
    </w:p>
    <w:p w14:paraId="3972A43E">
      <w:pPr>
        <w:spacing w:line="600" w:lineRule="exact"/>
        <w:ind w:firstLine="709"/>
        <w:rPr>
          <w:rFonts w:ascii="仿宋_GB2312" w:hAnsi="仿宋_GB2312" w:eastAsia="仿宋_GB2312" w:cs="仿宋_GB2312"/>
          <w:sz w:val="32"/>
          <w:szCs w:val="32"/>
        </w:rPr>
      </w:pPr>
      <w:r>
        <w:rPr>
          <w:rFonts w:hint="eastAsia" w:ascii="仿宋_GB2312" w:hAnsi="仿宋_GB2312" w:eastAsia="仿宋_GB2312" w:cs="仿宋_GB2312"/>
          <w:b/>
          <w:sz w:val="32"/>
          <w:szCs w:val="32"/>
        </w:rPr>
        <w:t>2.公务用车购置及运行维护费支出45.64</w:t>
      </w:r>
      <w:r>
        <w:rPr>
          <w:rFonts w:hint="eastAsia" w:ascii="仿宋_GB2312" w:hAnsi="仿宋_GB2312" w:eastAsia="仿宋_GB2312" w:cs="仿宋_GB2312"/>
          <w:sz w:val="32"/>
          <w:szCs w:val="32"/>
        </w:rPr>
        <w:t>万元，</w:t>
      </w:r>
      <w:r>
        <w:rPr>
          <w:rFonts w:hint="eastAsia" w:ascii="仿宋_GB2312" w:hAnsi="仿宋_GB2312" w:eastAsia="仿宋_GB2312" w:cs="仿宋_GB2312"/>
          <w:bCs/>
          <w:sz w:val="32"/>
          <w:szCs w:val="32"/>
        </w:rPr>
        <w:t>完成预算100%</w:t>
      </w:r>
      <w:r>
        <w:rPr>
          <w:rStyle w:val="17"/>
          <w:rFonts w:hint="eastAsia" w:ascii="仿宋_GB2312" w:hAnsi="仿宋_GB2312" w:eastAsia="仿宋_GB2312" w:cs="仿宋_GB2312"/>
          <w:b w:val="0"/>
          <w:bCs/>
          <w:sz w:val="32"/>
          <w:szCs w:val="32"/>
        </w:rPr>
        <w:t>。</w:t>
      </w:r>
      <w:r>
        <w:rPr>
          <w:rFonts w:hint="eastAsia" w:ascii="仿宋_GB2312" w:hAnsi="仿宋_GB2312" w:eastAsia="仿宋_GB2312" w:cs="仿宋_GB2312"/>
          <w:sz w:val="32"/>
          <w:szCs w:val="32"/>
        </w:rPr>
        <w:t>公务用车购置及运行维护费支出</w:t>
      </w:r>
      <w:r>
        <w:rPr>
          <w:rFonts w:hint="eastAsia" w:ascii="仿宋_GB2312" w:hAnsi="仿宋_GB2312" w:eastAsia="仿宋_GB2312" w:cs="仿宋_GB2312"/>
          <w:color w:val="000000" w:themeColor="text1"/>
          <w:sz w:val="32"/>
          <w:szCs w:val="32"/>
          <w14:textFill>
            <w14:solidFill>
              <w14:schemeClr w14:val="tx1"/>
            </w14:solidFill>
          </w14:textFill>
        </w:rPr>
        <w:t>决算</w:t>
      </w:r>
      <w:r>
        <w:rPr>
          <w:rFonts w:hint="eastAsia" w:ascii="仿宋_GB2312" w:hAnsi="仿宋_GB2312" w:eastAsia="仿宋_GB2312" w:cs="仿宋_GB2312"/>
          <w:sz w:val="32"/>
          <w:szCs w:val="32"/>
        </w:rPr>
        <w:t>比2021年增加18.86万元，增长70.43%。主要原因一是</w:t>
      </w:r>
      <w:r>
        <w:rPr>
          <w:rFonts w:hint="eastAsia" w:ascii="仿宋_GB2312" w:hAnsi="仿宋_GB2312" w:eastAsia="仿宋_GB2312" w:cs="仿宋_GB2312"/>
          <w:color w:val="000000"/>
          <w:sz w:val="32"/>
          <w:szCs w:val="32"/>
        </w:rPr>
        <w:t>2022年我单位报废更新2台执法执勤用车</w:t>
      </w:r>
      <w:r>
        <w:rPr>
          <w:rFonts w:hint="eastAsia" w:ascii="仿宋_GB2312" w:hAnsi="仿宋_GB2312" w:eastAsia="仿宋_GB2312" w:cs="仿宋_GB2312"/>
          <w:sz w:val="32"/>
          <w:szCs w:val="32"/>
        </w:rPr>
        <w:t>；二是增加2台特种专业技术用车费用</w:t>
      </w:r>
      <w:r>
        <w:rPr>
          <w:rFonts w:hint="eastAsia" w:ascii="仿宋_GB2312" w:hAnsi="仿宋_GB2312" w:eastAsia="仿宋_GB2312" w:cs="仿宋_GB2312"/>
          <w:color w:val="000000"/>
          <w:sz w:val="32"/>
          <w:szCs w:val="32"/>
        </w:rPr>
        <w:t>。</w:t>
      </w:r>
    </w:p>
    <w:p w14:paraId="7096E58B">
      <w:pPr>
        <w:spacing w:line="600" w:lineRule="exact"/>
        <w:ind w:firstLine="640" w:firstLineChars="200"/>
        <w:rPr>
          <w:rFonts w:ascii="仿宋_GB2312" w:hAnsi="仿宋_GB2312" w:eastAsia="仿宋_GB2312" w:cs="仿宋_GB2312"/>
          <w:b/>
          <w:sz w:val="32"/>
          <w:szCs w:val="32"/>
        </w:rPr>
      </w:pPr>
      <w:r>
        <w:rPr>
          <w:rFonts w:hint="eastAsia" w:ascii="仿宋_GB2312" w:hAnsi="仿宋_GB2312" w:eastAsia="仿宋_GB2312" w:cs="仿宋_GB2312"/>
          <w:sz w:val="32"/>
          <w:szCs w:val="32"/>
        </w:rPr>
        <w:t>其中：</w:t>
      </w:r>
      <w:r>
        <w:rPr>
          <w:rFonts w:hint="eastAsia" w:ascii="仿宋_GB2312" w:hAnsi="仿宋_GB2312" w:eastAsia="仿宋_GB2312" w:cs="仿宋_GB2312"/>
          <w:b/>
          <w:sz w:val="32"/>
          <w:szCs w:val="32"/>
        </w:rPr>
        <w:t>公务用车购置支出21.29</w:t>
      </w:r>
      <w:r>
        <w:rPr>
          <w:rFonts w:hint="eastAsia" w:ascii="仿宋_GB2312" w:hAnsi="仿宋_GB2312" w:eastAsia="仿宋_GB2312" w:cs="仿宋_GB2312"/>
          <w:sz w:val="32"/>
          <w:szCs w:val="32"/>
        </w:rPr>
        <w:t>万元。全年按规定更新购置公务用车2辆，车辆类型为轿车,金额21.29万元。主要用于行政执法工作。截至2022年12月底，单位公务用车保有量13辆，其中：轿车9辆、小型普通客车1辆、轻型普通货车3辆。</w:t>
      </w:r>
    </w:p>
    <w:p w14:paraId="2273B50F">
      <w:pPr>
        <w:spacing w:line="600"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sz w:val="32"/>
          <w:szCs w:val="32"/>
        </w:rPr>
        <w:t>公务用车运行维护费支出24.35</w:t>
      </w:r>
      <w:r>
        <w:rPr>
          <w:rFonts w:hint="eastAsia" w:ascii="仿宋_GB2312" w:hAnsi="仿宋_GB2312" w:eastAsia="仿宋_GB2312" w:cs="仿宋_GB2312"/>
          <w:sz w:val="32"/>
          <w:szCs w:val="32"/>
        </w:rPr>
        <w:t>万元。主要用于执行公务、开展综合行政执法业务工作</w:t>
      </w:r>
      <w:r>
        <w:rPr>
          <w:rFonts w:hint="eastAsia" w:ascii="仿宋_GB2312" w:hAnsi="仿宋_GB2312" w:eastAsia="仿宋_GB2312" w:cs="仿宋_GB2312"/>
          <w:color w:val="000000"/>
          <w:sz w:val="32"/>
          <w:szCs w:val="32"/>
        </w:rPr>
        <w:t>等所需的公务用车燃料费、维修费、过路过桥费、保险费等支出。</w:t>
      </w:r>
    </w:p>
    <w:p w14:paraId="5704122B">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b/>
          <w:sz w:val="32"/>
          <w:szCs w:val="32"/>
        </w:rPr>
        <w:t>3.公务接待费支出1.17</w:t>
      </w:r>
      <w:r>
        <w:rPr>
          <w:rFonts w:hint="eastAsia" w:ascii="仿宋_GB2312" w:hAnsi="仿宋_GB2312" w:eastAsia="仿宋_GB2312" w:cs="仿宋_GB2312"/>
          <w:sz w:val="32"/>
          <w:szCs w:val="32"/>
        </w:rPr>
        <w:t>万元，</w:t>
      </w:r>
      <w:r>
        <w:rPr>
          <w:rFonts w:hint="eastAsia" w:ascii="仿宋_GB2312" w:hAnsi="仿宋_GB2312" w:eastAsia="仿宋_GB2312" w:cs="仿宋_GB2312"/>
          <w:bCs/>
          <w:sz w:val="32"/>
          <w:szCs w:val="32"/>
        </w:rPr>
        <w:t>完成预算100%</w:t>
      </w:r>
      <w:r>
        <w:rPr>
          <w:rStyle w:val="17"/>
          <w:rFonts w:hint="eastAsia" w:ascii="仿宋_GB2312" w:hAnsi="仿宋_GB2312" w:eastAsia="仿宋_GB2312" w:cs="仿宋_GB2312"/>
          <w:b w:val="0"/>
          <w:bCs/>
          <w:sz w:val="32"/>
          <w:szCs w:val="32"/>
        </w:rPr>
        <w:t>。</w:t>
      </w:r>
      <w:r>
        <w:rPr>
          <w:rFonts w:hint="eastAsia" w:ascii="仿宋_GB2312" w:hAnsi="仿宋_GB2312" w:eastAsia="仿宋_GB2312" w:cs="仿宋_GB2312"/>
          <w:sz w:val="32"/>
          <w:szCs w:val="32"/>
        </w:rPr>
        <w:t>公务接待费支出</w:t>
      </w:r>
      <w:r>
        <w:rPr>
          <w:rFonts w:hint="eastAsia" w:ascii="仿宋_GB2312" w:hAnsi="仿宋_GB2312" w:eastAsia="仿宋_GB2312" w:cs="仿宋_GB2312"/>
          <w:color w:val="000000" w:themeColor="text1"/>
          <w:sz w:val="32"/>
          <w:szCs w:val="32"/>
          <w14:textFill>
            <w14:solidFill>
              <w14:schemeClr w14:val="tx1"/>
            </w14:solidFill>
          </w14:textFill>
        </w:rPr>
        <w:t>决算</w:t>
      </w:r>
      <w:r>
        <w:rPr>
          <w:rFonts w:hint="eastAsia" w:ascii="仿宋_GB2312" w:hAnsi="仿宋_GB2312" w:eastAsia="仿宋_GB2312" w:cs="仿宋_GB2312"/>
          <w:sz w:val="32"/>
          <w:szCs w:val="32"/>
        </w:rPr>
        <w:t>比2021年减少0.42万元，下降26.41%。主要原因是我单位严格按照相关规定和要求厉行节约，反对浪费，且受疫情影响，减少了公务接待费开支。其中：</w:t>
      </w:r>
    </w:p>
    <w:p w14:paraId="4DBA8975">
      <w:pPr>
        <w:spacing w:line="60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国内公务接待支出1.17</w:t>
      </w:r>
      <w:r>
        <w:rPr>
          <w:rFonts w:hint="eastAsia" w:ascii="仿宋_GB2312" w:hAnsi="仿宋_GB2312" w:eastAsia="仿宋_GB2312" w:cs="仿宋_GB2312"/>
          <w:sz w:val="32"/>
          <w:szCs w:val="32"/>
        </w:rPr>
        <w:t>万元，主要用于</w:t>
      </w:r>
      <w:r>
        <w:rPr>
          <w:rFonts w:hint="eastAsia" w:ascii="仿宋_GB2312" w:hAnsi="仿宋_GB2312" w:eastAsia="仿宋_GB2312" w:cs="仿宋_GB2312"/>
          <w:color w:val="000000"/>
          <w:sz w:val="32"/>
          <w:szCs w:val="32"/>
        </w:rPr>
        <w:t>执行公务、开展业务活动开支的用餐费</w:t>
      </w:r>
      <w:r>
        <w:rPr>
          <w:rFonts w:hint="eastAsia" w:ascii="仿宋_GB2312" w:hAnsi="仿宋_GB2312" w:eastAsia="仿宋_GB2312" w:cs="仿宋_GB2312"/>
          <w:sz w:val="32"/>
          <w:szCs w:val="32"/>
        </w:rPr>
        <w:t>。2022年国内公务接待18批次，111人次（不包括陪同人员），共计支出1.17万元，具体内容包括：上级部门监督检查、工作指导，相关单位交流学习以及开展业务活动等。</w:t>
      </w:r>
    </w:p>
    <w:p w14:paraId="7C22BA71">
      <w:pPr>
        <w:spacing w:line="60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外事接待支出0</w:t>
      </w:r>
      <w:r>
        <w:rPr>
          <w:rFonts w:hint="eastAsia" w:ascii="仿宋_GB2312" w:hAnsi="仿宋_GB2312" w:eastAsia="仿宋_GB2312" w:cs="仿宋_GB2312"/>
          <w:sz w:val="32"/>
          <w:szCs w:val="32"/>
        </w:rPr>
        <w:t>万元，外事接待0批次，0人，共计支出0万元。</w:t>
      </w:r>
    </w:p>
    <w:p w14:paraId="67C62645">
      <w:pPr>
        <w:spacing w:line="600" w:lineRule="exact"/>
        <w:ind w:firstLine="640" w:firstLineChars="200"/>
        <w:outlineLvl w:val="1"/>
        <w:rPr>
          <w:rStyle w:val="29"/>
          <w:rFonts w:ascii="黑体" w:hAnsi="黑体" w:eastAsia="黑体"/>
        </w:rPr>
      </w:pPr>
      <w:bookmarkStart w:id="42" w:name="_Toc15396610"/>
      <w:bookmarkStart w:id="43" w:name="_Toc15377218"/>
      <w:r>
        <w:rPr>
          <w:rFonts w:hint="eastAsia" w:ascii="黑体" w:eastAsia="黑体"/>
          <w:sz w:val="32"/>
          <w:szCs w:val="32"/>
        </w:rPr>
        <w:t>八、</w:t>
      </w:r>
      <w:r>
        <w:rPr>
          <w:rStyle w:val="29"/>
          <w:rFonts w:hint="eastAsia" w:ascii="黑体" w:hAnsi="黑体" w:eastAsia="黑体"/>
          <w:b w:val="0"/>
        </w:rPr>
        <w:t>政府性基金预算支出决算情况说明</w:t>
      </w:r>
      <w:bookmarkEnd w:id="42"/>
      <w:bookmarkEnd w:id="43"/>
    </w:p>
    <w:p w14:paraId="288D92B4">
      <w:pPr>
        <w:spacing w:line="600" w:lineRule="exact"/>
        <w:ind w:firstLine="640" w:firstLineChars="20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22年政府性基金预算财政拨款支出0万元。</w:t>
      </w:r>
    </w:p>
    <w:p w14:paraId="43A9773B">
      <w:pPr>
        <w:spacing w:line="600" w:lineRule="exact"/>
        <w:ind w:firstLine="640" w:firstLineChars="200"/>
        <w:outlineLvl w:val="1"/>
        <w:rPr>
          <w:rStyle w:val="29"/>
          <w:rFonts w:ascii="黑体" w:hAnsi="黑体" w:eastAsia="黑体"/>
          <w:b w:val="0"/>
        </w:rPr>
      </w:pPr>
      <w:bookmarkStart w:id="44" w:name="_Toc15396611"/>
      <w:bookmarkStart w:id="45" w:name="_Toc15377219"/>
      <w:r>
        <w:rPr>
          <w:rStyle w:val="29"/>
          <w:rFonts w:hint="eastAsia" w:ascii="黑体" w:hAnsi="黑体" w:eastAsia="黑体"/>
          <w:b w:val="0"/>
        </w:rPr>
        <w:t>九、国有资本经营预算支出决算情况说明</w:t>
      </w:r>
      <w:bookmarkEnd w:id="44"/>
      <w:bookmarkEnd w:id="45"/>
    </w:p>
    <w:p w14:paraId="4F658441">
      <w:pPr>
        <w:spacing w:line="600" w:lineRule="exact"/>
        <w:ind w:firstLine="640" w:firstLineChars="20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22年国有资本经营预算财政拨款支出0万元。</w:t>
      </w:r>
    </w:p>
    <w:p w14:paraId="0CA7BBF6">
      <w:pPr>
        <w:spacing w:line="600" w:lineRule="exact"/>
        <w:ind w:firstLine="640" w:firstLineChars="200"/>
        <w:outlineLvl w:val="1"/>
        <w:rPr>
          <w:rStyle w:val="29"/>
          <w:rFonts w:ascii="黑体" w:hAnsi="黑体" w:eastAsia="黑体"/>
          <w:b w:val="0"/>
        </w:rPr>
      </w:pPr>
      <w:bookmarkStart w:id="46" w:name="_Toc15396612"/>
      <w:bookmarkStart w:id="47" w:name="_Toc15377221"/>
      <w:r>
        <w:rPr>
          <w:rStyle w:val="29"/>
          <w:rFonts w:hint="eastAsia" w:ascii="黑体" w:hAnsi="黑体" w:eastAsia="黑体"/>
          <w:b w:val="0"/>
        </w:rPr>
        <w:t>十、其他重要事项的情况说明</w:t>
      </w:r>
      <w:bookmarkEnd w:id="46"/>
      <w:bookmarkEnd w:id="47"/>
    </w:p>
    <w:p w14:paraId="049E99ED">
      <w:pPr>
        <w:spacing w:line="600" w:lineRule="exact"/>
        <w:ind w:firstLine="643" w:firstLineChars="200"/>
        <w:outlineLvl w:val="2"/>
        <w:rPr>
          <w:rFonts w:ascii="楷体_GB2312" w:hAnsi="楷体_GB2312" w:eastAsia="楷体_GB2312" w:cs="楷体_GB2312"/>
          <w:sz w:val="32"/>
          <w:szCs w:val="32"/>
        </w:rPr>
      </w:pPr>
      <w:bookmarkStart w:id="48" w:name="_Toc15377222"/>
      <w:r>
        <w:rPr>
          <w:rFonts w:hint="eastAsia" w:ascii="楷体_GB2312" w:hAnsi="楷体_GB2312" w:eastAsia="楷体_GB2312" w:cs="楷体_GB2312"/>
          <w:b/>
          <w:sz w:val="32"/>
          <w:szCs w:val="32"/>
        </w:rPr>
        <w:t>（一）机关运行经费支出情况</w:t>
      </w:r>
      <w:bookmarkEnd w:id="48"/>
    </w:p>
    <w:p w14:paraId="450E4B13">
      <w:pPr>
        <w:spacing w:line="600" w:lineRule="exact"/>
        <w:ind w:firstLine="640" w:firstLineChars="200"/>
        <w:rPr>
          <w:rFonts w:ascii="仿宋" w:hAnsi="仿宋" w:eastAsia="仿宋_GB2312"/>
          <w:b/>
          <w:color w:val="FF0000"/>
          <w:sz w:val="32"/>
          <w:szCs w:val="32"/>
        </w:rPr>
      </w:pPr>
      <w:r>
        <w:rPr>
          <w:rFonts w:ascii="仿宋_GB2312" w:eastAsia="仿宋_GB2312"/>
          <w:sz w:val="32"/>
          <w:szCs w:val="32"/>
        </w:rPr>
        <w:t>20</w:t>
      </w:r>
      <w:r>
        <w:rPr>
          <w:rFonts w:hint="eastAsia" w:ascii="仿宋_GB2312" w:eastAsia="仿宋_GB2312"/>
          <w:sz w:val="32"/>
          <w:szCs w:val="32"/>
        </w:rPr>
        <w:t>22年，沐川县综合行政执法局机关运行经费支出219.86万元，比2021年增加13.76万元，增长6.68%。主要原因是单位车辆老旧导致公务用车运行维护费增加</w:t>
      </w:r>
      <w:r>
        <w:rPr>
          <w:rFonts w:hint="eastAsia" w:ascii="仿宋_GB2312" w:hAnsi="仿宋_GB2312" w:eastAsia="仿宋_GB2312" w:cs="仿宋_GB2312"/>
          <w:color w:val="000000"/>
          <w:sz w:val="32"/>
          <w:szCs w:val="32"/>
        </w:rPr>
        <w:t>。</w:t>
      </w:r>
    </w:p>
    <w:p w14:paraId="4FA3EF61">
      <w:pPr>
        <w:autoSpaceDE w:val="0"/>
        <w:autoSpaceDN w:val="0"/>
        <w:adjustRightInd w:val="0"/>
        <w:spacing w:line="600" w:lineRule="exact"/>
        <w:ind w:firstLine="643" w:firstLineChars="200"/>
        <w:jc w:val="left"/>
        <w:outlineLvl w:val="2"/>
        <w:rPr>
          <w:rFonts w:ascii="楷体_GB2312" w:hAnsi="楷体_GB2312" w:eastAsia="楷体_GB2312" w:cs="楷体_GB2312"/>
          <w:b/>
          <w:sz w:val="32"/>
          <w:szCs w:val="32"/>
        </w:rPr>
      </w:pPr>
      <w:bookmarkStart w:id="49" w:name="_Toc15377223"/>
      <w:r>
        <w:rPr>
          <w:rFonts w:hint="eastAsia" w:ascii="楷体_GB2312" w:hAnsi="楷体_GB2312" w:eastAsia="楷体_GB2312" w:cs="楷体_GB2312"/>
          <w:b/>
          <w:sz w:val="32"/>
          <w:szCs w:val="32"/>
        </w:rPr>
        <w:t>（二）政府采购支出情况</w:t>
      </w:r>
      <w:bookmarkEnd w:id="49"/>
    </w:p>
    <w:p w14:paraId="61789B8A">
      <w:pPr>
        <w:spacing w:line="600" w:lineRule="exact"/>
        <w:ind w:firstLine="640" w:firstLineChars="200"/>
        <w:rPr>
          <w:rFonts w:ascii="仿宋" w:hAnsi="仿宋" w:eastAsia="仿宋"/>
          <w:b/>
          <w:sz w:val="32"/>
          <w:szCs w:val="32"/>
        </w:rPr>
      </w:pPr>
      <w:r>
        <w:rPr>
          <w:rFonts w:ascii="仿宋_GB2312" w:eastAsia="仿宋_GB2312"/>
          <w:sz w:val="32"/>
          <w:szCs w:val="32"/>
        </w:rPr>
        <w:t>20</w:t>
      </w:r>
      <w:r>
        <w:rPr>
          <w:rFonts w:hint="eastAsia" w:ascii="仿宋_GB2312" w:eastAsia="仿宋_GB2312"/>
          <w:sz w:val="32"/>
          <w:szCs w:val="32"/>
        </w:rPr>
        <w:t>22年，沐川县综合行政执法局政府采购支出总额31.66万元，其中：政府采购货物支出31.66万元、政府采购工程支出0万元、政府采购服务支出0万元。主要用于购置</w:t>
      </w:r>
      <w:r>
        <w:rPr>
          <w:rFonts w:hint="eastAsia" w:ascii="仿宋_GB2312" w:eastAsia="仿宋_GB2312"/>
          <w:color w:val="000000"/>
          <w:sz w:val="32"/>
          <w:szCs w:val="32"/>
        </w:rPr>
        <w:t>台式机、便携式计算机、多功能一体机、空调、执法执勤用车等</w:t>
      </w:r>
      <w:r>
        <w:rPr>
          <w:rFonts w:hint="eastAsia" w:ascii="仿宋_GB2312" w:eastAsia="仿宋_GB2312"/>
          <w:sz w:val="32"/>
          <w:szCs w:val="32"/>
        </w:rPr>
        <w:t>。授予中小企业合同金额31.66万元，占政府采购支出总额的100</w:t>
      </w:r>
      <w:r>
        <w:rPr>
          <w:rFonts w:ascii="仿宋_GB2312" w:eastAsia="仿宋_GB2312"/>
          <w:sz w:val="32"/>
          <w:szCs w:val="32"/>
        </w:rPr>
        <w:t>%</w:t>
      </w:r>
      <w:r>
        <w:rPr>
          <w:rFonts w:hint="eastAsia" w:ascii="仿宋_GB2312" w:eastAsia="仿宋_GB2312"/>
          <w:sz w:val="32"/>
          <w:szCs w:val="32"/>
        </w:rPr>
        <w:t>。</w:t>
      </w:r>
    </w:p>
    <w:p w14:paraId="22FBD3AB">
      <w:pPr>
        <w:autoSpaceDE w:val="0"/>
        <w:autoSpaceDN w:val="0"/>
        <w:adjustRightInd w:val="0"/>
        <w:spacing w:line="600" w:lineRule="exact"/>
        <w:ind w:firstLine="643" w:firstLineChars="200"/>
        <w:jc w:val="left"/>
        <w:outlineLvl w:val="2"/>
        <w:rPr>
          <w:rFonts w:ascii="仿宋" w:hAnsi="仿宋" w:eastAsia="仿宋"/>
          <w:b/>
          <w:sz w:val="32"/>
          <w:szCs w:val="32"/>
        </w:rPr>
      </w:pPr>
      <w:bookmarkStart w:id="50" w:name="_Toc15377224"/>
      <w:r>
        <w:rPr>
          <w:rFonts w:hint="eastAsia" w:ascii="楷体_GB2312" w:hAnsi="楷体_GB2312" w:eastAsia="楷体_GB2312" w:cs="楷体_GB2312"/>
          <w:b/>
          <w:sz w:val="32"/>
          <w:szCs w:val="32"/>
        </w:rPr>
        <w:t>（三）国有资产占有使用情况</w:t>
      </w:r>
      <w:bookmarkEnd w:id="50"/>
    </w:p>
    <w:p w14:paraId="1112D544">
      <w:pPr>
        <w:autoSpaceDE w:val="0"/>
        <w:autoSpaceDN w:val="0"/>
        <w:adjustRightInd w:val="0"/>
        <w:spacing w:line="600" w:lineRule="exact"/>
        <w:ind w:firstLine="640" w:firstLineChars="200"/>
        <w:jc w:val="left"/>
        <w:rPr>
          <w:rFonts w:ascii="仿宋" w:hAnsi="仿宋" w:eastAsia="仿宋"/>
          <w:b/>
          <w:sz w:val="32"/>
          <w:szCs w:val="32"/>
        </w:rPr>
      </w:pPr>
      <w:r>
        <w:rPr>
          <w:rFonts w:hint="eastAsia" w:ascii="仿宋_GB2312" w:eastAsia="仿宋_GB2312"/>
          <w:sz w:val="32"/>
          <w:szCs w:val="32"/>
        </w:rPr>
        <w:t>截至</w:t>
      </w:r>
      <w:r>
        <w:rPr>
          <w:rFonts w:ascii="仿宋_GB2312" w:eastAsia="仿宋_GB2312"/>
          <w:sz w:val="32"/>
          <w:szCs w:val="32"/>
        </w:rPr>
        <w:t>20</w:t>
      </w:r>
      <w:r>
        <w:rPr>
          <w:rFonts w:hint="eastAsia" w:ascii="仿宋_GB2312" w:eastAsia="仿宋_GB2312"/>
          <w:sz w:val="32"/>
          <w:szCs w:val="32"/>
        </w:rPr>
        <w:t>22年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日，沐川县综合行政执法局共有车辆13辆，其中：主要领导干部用车0辆、机要通信用车0辆、应急保障用车1辆、执法执勤用车10辆、特种专用技术用车2辆、其他用车0辆。单价</w:t>
      </w:r>
      <w:r>
        <w:rPr>
          <w:rFonts w:ascii="仿宋_GB2312" w:eastAsia="仿宋_GB2312"/>
          <w:sz w:val="32"/>
          <w:szCs w:val="32"/>
        </w:rPr>
        <w:t>50</w:t>
      </w:r>
      <w:r>
        <w:rPr>
          <w:rFonts w:hint="eastAsia" w:ascii="仿宋_GB2312" w:eastAsia="仿宋_GB2312"/>
          <w:sz w:val="32"/>
          <w:szCs w:val="32"/>
        </w:rPr>
        <w:t>万元以上通用设备0台（套），单价</w:t>
      </w:r>
      <w:r>
        <w:rPr>
          <w:rFonts w:ascii="仿宋_GB2312" w:eastAsia="仿宋_GB2312"/>
          <w:sz w:val="32"/>
          <w:szCs w:val="32"/>
        </w:rPr>
        <w:t>100</w:t>
      </w:r>
      <w:r>
        <w:rPr>
          <w:rFonts w:hint="eastAsia" w:ascii="仿宋_GB2312" w:eastAsia="仿宋_GB2312"/>
          <w:sz w:val="32"/>
          <w:szCs w:val="32"/>
        </w:rPr>
        <w:t>万元以上专用设备0台（套）。</w:t>
      </w:r>
    </w:p>
    <w:p w14:paraId="25333141">
      <w:pPr>
        <w:autoSpaceDE w:val="0"/>
        <w:autoSpaceDN w:val="0"/>
        <w:adjustRightInd w:val="0"/>
        <w:spacing w:line="600" w:lineRule="exact"/>
        <w:ind w:firstLine="643" w:firstLineChars="200"/>
        <w:jc w:val="left"/>
        <w:outlineLvl w:val="2"/>
        <w:rPr>
          <w:rFonts w:ascii="楷体_GB2312" w:hAnsi="楷体_GB2312" w:eastAsia="楷体_GB2312" w:cs="楷体_GB2312"/>
          <w:b/>
          <w:sz w:val="32"/>
          <w:szCs w:val="32"/>
        </w:rPr>
      </w:pPr>
      <w:r>
        <w:rPr>
          <w:rFonts w:hint="eastAsia" w:ascii="楷体_GB2312" w:hAnsi="楷体_GB2312" w:eastAsia="楷体_GB2312" w:cs="楷体_GB2312"/>
          <w:b/>
          <w:sz w:val="32"/>
          <w:szCs w:val="32"/>
        </w:rPr>
        <w:t>（四）预算绩效管理情况</w:t>
      </w:r>
    </w:p>
    <w:p w14:paraId="09ACCE3C">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根据预算绩效管理要求，本部门在2022年度预算编制阶段，组织对21名安置人员工资及保险费用、政务运转工作经费、综合执法能力建设经费、 船舶及特种设备车辆运维费、执法执勤用车购置经费等5个项目开展了预算事前绩效评估，对5个项目编制了绩效目标，预算执行过程中，对5个项目开展绩效监控。</w:t>
      </w:r>
    </w:p>
    <w:p w14:paraId="0DCFCC9A">
      <w:pPr>
        <w:widowControl/>
        <w:adjustRightInd w:val="0"/>
        <w:snapToGrid w:val="0"/>
        <w:spacing w:line="600" w:lineRule="exact"/>
        <w:ind w:firstLine="640" w:firstLineChars="200"/>
        <w:contextualSpacing/>
        <w:jc w:val="left"/>
        <w:rPr>
          <w:rFonts w:ascii="仿宋_GB2312" w:hAnsi="仿宋" w:eastAsia="仿宋_GB2312" w:cs="仿宋"/>
          <w:bCs/>
          <w:color w:val="000000"/>
          <w:sz w:val="32"/>
          <w:szCs w:val="32"/>
        </w:rPr>
      </w:pPr>
      <w:r>
        <w:rPr>
          <w:rFonts w:hint="eastAsia" w:ascii="仿宋_GB2312" w:hAnsi="仿宋_GB2312" w:eastAsia="仿宋_GB2312" w:cs="仿宋_GB2312"/>
          <w:sz w:val="32"/>
          <w:szCs w:val="32"/>
        </w:rPr>
        <w:t>组织对2022年度一般公共预算、政府性基金预算、国有资本经营预算、社会保险基金预算以及资本资产、债券资金等全面开展绩效自评，形成沐川县综合行政执法局部门整体（含部门预算项目）绩效自评报告，其中，沐川县综合行政执法局部门整体支出绩效自评得分96分，绩效自评综述：沐川县综合行政执法局严格执行预算，支出高效规范。财政支出既</w:t>
      </w:r>
      <w:r>
        <w:rPr>
          <w:rFonts w:hint="eastAsia" w:ascii="仿宋_GB2312" w:hAnsi="仿宋" w:eastAsia="仿宋_GB2312" w:cs="仿宋"/>
          <w:bCs/>
          <w:color w:val="000000"/>
          <w:sz w:val="32"/>
          <w:szCs w:val="32"/>
        </w:rPr>
        <w:t>确保了机关正常运转，又保证了项目的实施</w:t>
      </w:r>
      <w:r>
        <w:rPr>
          <w:rFonts w:hint="eastAsia" w:ascii="仿宋_GB2312" w:hAnsi="仿宋_GB2312" w:eastAsia="仿宋_GB2312" w:cs="仿宋_GB2312"/>
          <w:sz w:val="32"/>
          <w:szCs w:val="32"/>
        </w:rPr>
        <w:t>，财政支出绩效良好。部门整体支出和预算项目支出绩效自评报告</w:t>
      </w:r>
      <w:r>
        <w:rPr>
          <w:rFonts w:hint="eastAsia" w:ascii="仿宋_GB2312" w:hAnsi="仿宋_GB2312" w:eastAsia="仿宋_GB2312" w:cs="仿宋_GB2312"/>
          <w:sz w:val="32"/>
          <w:szCs w:val="32"/>
          <w:lang w:val="en-US" w:eastAsia="zh-CN"/>
        </w:rPr>
        <w:t>详见</w:t>
      </w:r>
      <w:r>
        <w:rPr>
          <w:rFonts w:hint="eastAsia" w:ascii="仿宋_GB2312" w:hAnsi="仿宋_GB2312" w:eastAsia="仿宋_GB2312" w:cs="仿宋_GB2312"/>
          <w:sz w:val="32"/>
          <w:szCs w:val="32"/>
        </w:rPr>
        <w:t>附件。</w:t>
      </w:r>
    </w:p>
    <w:p w14:paraId="2095D84C">
      <w:pPr>
        <w:spacing w:line="600" w:lineRule="exact"/>
        <w:ind w:firstLine="640" w:firstLineChars="200"/>
        <w:rPr>
          <w:rFonts w:eastAsia="仿宋_GB2312"/>
          <w:color w:val="FF0000"/>
          <w:sz w:val="32"/>
          <w:szCs w:val="32"/>
        </w:rPr>
      </w:pPr>
    </w:p>
    <w:p w14:paraId="125AD87A">
      <w:pPr>
        <w:spacing w:line="600" w:lineRule="exact"/>
        <w:jc w:val="center"/>
        <w:outlineLvl w:val="0"/>
        <w:rPr>
          <w:rFonts w:ascii="方正小标宋简体" w:hAnsi="方正小标宋简体" w:eastAsia="方正小标宋简体" w:cs="方正小标宋简体"/>
          <w:sz w:val="44"/>
          <w:szCs w:val="44"/>
        </w:rPr>
      </w:pPr>
      <w:bookmarkStart w:id="51" w:name="_Toc15396613"/>
      <w:bookmarkStart w:id="52" w:name="_Toc15377225"/>
    </w:p>
    <w:p w14:paraId="32AFD07D">
      <w:pPr>
        <w:spacing w:line="600" w:lineRule="exact"/>
        <w:jc w:val="center"/>
        <w:outlineLvl w:val="0"/>
        <w:rPr>
          <w:rFonts w:ascii="方正小标宋简体" w:hAnsi="方正小标宋简体" w:eastAsia="方正小标宋简体" w:cs="方正小标宋简体"/>
          <w:sz w:val="44"/>
          <w:szCs w:val="44"/>
        </w:rPr>
      </w:pPr>
    </w:p>
    <w:p w14:paraId="67604AB5">
      <w:pPr>
        <w:spacing w:line="600" w:lineRule="exact"/>
        <w:jc w:val="center"/>
        <w:outlineLvl w:val="0"/>
        <w:rPr>
          <w:rFonts w:ascii="方正小标宋简体" w:hAnsi="方正小标宋简体" w:eastAsia="方正小标宋简体" w:cs="方正小标宋简体"/>
          <w:sz w:val="44"/>
          <w:szCs w:val="44"/>
        </w:rPr>
      </w:pPr>
    </w:p>
    <w:p w14:paraId="01A2C2FF">
      <w:pPr>
        <w:spacing w:line="600" w:lineRule="exact"/>
        <w:jc w:val="center"/>
        <w:outlineLvl w:val="0"/>
        <w:rPr>
          <w:rFonts w:ascii="方正小标宋简体" w:hAnsi="方正小标宋简体" w:eastAsia="方正小标宋简体" w:cs="方正小标宋简体"/>
          <w:sz w:val="44"/>
          <w:szCs w:val="44"/>
        </w:rPr>
      </w:pPr>
    </w:p>
    <w:p w14:paraId="091A8659">
      <w:pPr>
        <w:spacing w:line="600" w:lineRule="exact"/>
        <w:jc w:val="center"/>
        <w:outlineLvl w:val="0"/>
        <w:rPr>
          <w:rFonts w:ascii="方正小标宋简体" w:hAnsi="方正小标宋简体" w:eastAsia="方正小标宋简体" w:cs="方正小标宋简体"/>
          <w:sz w:val="44"/>
          <w:szCs w:val="44"/>
        </w:rPr>
      </w:pPr>
    </w:p>
    <w:p w14:paraId="34A2C61C">
      <w:pPr>
        <w:spacing w:line="600" w:lineRule="exact"/>
        <w:jc w:val="center"/>
        <w:outlineLvl w:val="0"/>
        <w:rPr>
          <w:rFonts w:ascii="方正小标宋简体" w:hAnsi="方正小标宋简体" w:eastAsia="方正小标宋简体" w:cs="方正小标宋简体"/>
          <w:sz w:val="44"/>
          <w:szCs w:val="44"/>
        </w:rPr>
      </w:pPr>
    </w:p>
    <w:p w14:paraId="59DDF874">
      <w:pPr>
        <w:spacing w:line="600" w:lineRule="exact"/>
        <w:jc w:val="center"/>
        <w:outlineLvl w:val="0"/>
        <w:rPr>
          <w:rStyle w:val="28"/>
          <w:rFonts w:ascii="方正小标宋简体" w:hAnsi="方正小标宋简体" w:eastAsia="方正小标宋简体" w:cs="方正小标宋简体"/>
          <w:b w:val="0"/>
        </w:rPr>
      </w:pPr>
      <w:r>
        <w:rPr>
          <w:rFonts w:hint="eastAsia" w:ascii="方正小标宋简体" w:hAnsi="方正小标宋简体" w:eastAsia="方正小标宋简体" w:cs="方正小标宋简体"/>
          <w:sz w:val="44"/>
          <w:szCs w:val="44"/>
        </w:rPr>
        <w:t>第三部分 名</w:t>
      </w:r>
      <w:r>
        <w:rPr>
          <w:rStyle w:val="28"/>
          <w:rFonts w:hint="eastAsia" w:ascii="方正小标宋简体" w:hAnsi="方正小标宋简体" w:eastAsia="方正小标宋简体" w:cs="方正小标宋简体"/>
          <w:b w:val="0"/>
        </w:rPr>
        <w:t>词解释</w:t>
      </w:r>
      <w:bookmarkEnd w:id="51"/>
      <w:bookmarkEnd w:id="52"/>
    </w:p>
    <w:p w14:paraId="2EBC8A99">
      <w:pPr>
        <w:pStyle w:val="6"/>
        <w:spacing w:before="93" w:line="600" w:lineRule="exact"/>
      </w:pPr>
    </w:p>
    <w:p w14:paraId="1BB7C7C7">
      <w:pPr>
        <w:autoSpaceDE w:val="0"/>
        <w:autoSpaceDN w:val="0"/>
        <w:adjustRightInd w:val="0"/>
        <w:spacing w:line="600" w:lineRule="exact"/>
        <w:ind w:firstLine="640" w:firstLineChars="200"/>
        <w:jc w:val="left"/>
        <w:rPr>
          <w:rFonts w:ascii="仿宋_GB2312" w:hAnsi="仿宋" w:eastAsia="仿宋_GB2312"/>
          <w:kern w:val="0"/>
          <w:sz w:val="32"/>
          <w:szCs w:val="32"/>
        </w:rPr>
      </w:pPr>
      <w:r>
        <w:rPr>
          <w:rFonts w:ascii="仿宋_GB2312" w:hAnsi="仿宋" w:eastAsia="仿宋_GB2312" w:cs="仿宋"/>
          <w:kern w:val="0"/>
          <w:sz w:val="32"/>
          <w:szCs w:val="32"/>
        </w:rPr>
        <w:t>1.</w:t>
      </w:r>
      <w:r>
        <w:rPr>
          <w:rFonts w:hint="eastAsia" w:ascii="仿宋_GB2312" w:hAnsi="仿宋" w:eastAsia="仿宋_GB2312" w:cs="仿宋"/>
          <w:kern w:val="0"/>
          <w:sz w:val="32"/>
          <w:szCs w:val="32"/>
        </w:rPr>
        <w:t>财政拨款收入：指单位从同级财政部门取得的财政预算资金。</w:t>
      </w:r>
    </w:p>
    <w:p w14:paraId="63B543AD">
      <w:pPr>
        <w:autoSpaceDE w:val="0"/>
        <w:autoSpaceDN w:val="0"/>
        <w:adjustRightInd w:val="0"/>
        <w:spacing w:line="600" w:lineRule="exact"/>
        <w:ind w:firstLine="640" w:firstLineChars="200"/>
        <w:jc w:val="left"/>
        <w:rPr>
          <w:rFonts w:ascii="仿宋_GB2312" w:hAnsi="仿宋" w:eastAsia="仿宋_GB2312"/>
          <w:kern w:val="0"/>
          <w:sz w:val="32"/>
          <w:szCs w:val="32"/>
        </w:rPr>
      </w:pPr>
      <w:r>
        <w:rPr>
          <w:rFonts w:ascii="仿宋_GB2312" w:hAnsi="仿宋" w:eastAsia="仿宋_GB2312"/>
          <w:kern w:val="0"/>
          <w:sz w:val="32"/>
          <w:szCs w:val="32"/>
        </w:rPr>
        <w:t>2.</w:t>
      </w:r>
      <w:r>
        <w:rPr>
          <w:rFonts w:hint="eastAsia" w:ascii="仿宋_GB2312" w:hAnsi="仿宋" w:eastAsia="仿宋_GB2312"/>
          <w:kern w:val="0"/>
          <w:sz w:val="32"/>
          <w:szCs w:val="32"/>
        </w:rPr>
        <w:t>其他收入：从本级财政部门以外的同级单位取得的经费、从非本级财政部门取得的经费，以及行政单位收到的财政专户管理资金。</w:t>
      </w:r>
      <w:r>
        <w:rPr>
          <w:rFonts w:ascii="仿宋_GB2312" w:hAnsi="仿宋" w:eastAsia="仿宋_GB2312"/>
          <w:kern w:val="0"/>
          <w:sz w:val="32"/>
          <w:szCs w:val="32"/>
        </w:rPr>
        <w:t xml:space="preserve"> </w:t>
      </w:r>
    </w:p>
    <w:p w14:paraId="069FABB1">
      <w:pPr>
        <w:autoSpaceDE w:val="0"/>
        <w:autoSpaceDN w:val="0"/>
        <w:adjustRightInd w:val="0"/>
        <w:spacing w:line="600" w:lineRule="exact"/>
        <w:ind w:firstLine="640" w:firstLineChars="200"/>
        <w:jc w:val="left"/>
        <w:rPr>
          <w:rFonts w:ascii="仿宋_GB2312" w:hAnsi="仿宋" w:eastAsia="仿宋_GB2312"/>
          <w:kern w:val="0"/>
          <w:sz w:val="32"/>
          <w:szCs w:val="32"/>
        </w:rPr>
      </w:pPr>
      <w:r>
        <w:rPr>
          <w:rFonts w:ascii="仿宋_GB2312" w:hAnsi="仿宋" w:eastAsia="仿宋_GB2312"/>
          <w:kern w:val="0"/>
          <w:sz w:val="32"/>
          <w:szCs w:val="32"/>
        </w:rPr>
        <w:t>3.</w:t>
      </w:r>
      <w:r>
        <w:rPr>
          <w:rFonts w:hint="eastAsia" w:ascii="仿宋_GB2312" w:hAnsi="仿宋" w:eastAsia="仿宋_GB2312"/>
          <w:kern w:val="0"/>
          <w:sz w:val="32"/>
          <w:szCs w:val="32"/>
        </w:rPr>
        <w:t>年初结转和结余：指以前年度尚未完成、结转到本年按有关规定继续使用的资金。</w:t>
      </w:r>
      <w:r>
        <w:rPr>
          <w:rFonts w:ascii="仿宋_GB2312" w:hAnsi="仿宋" w:eastAsia="仿宋_GB2312"/>
          <w:kern w:val="0"/>
          <w:sz w:val="32"/>
          <w:szCs w:val="32"/>
        </w:rPr>
        <w:t xml:space="preserve"> </w:t>
      </w:r>
    </w:p>
    <w:p w14:paraId="11626F28">
      <w:pPr>
        <w:pStyle w:val="26"/>
        <w:spacing w:line="600" w:lineRule="exact"/>
        <w:ind w:firstLine="640" w:firstLineChars="200"/>
        <w:rPr>
          <w:rFonts w:ascii="仿宋_GB2312" w:hAnsi="仿宋" w:eastAsia="仿宋_GB2312" w:cs="Times New Roman"/>
          <w:color w:val="auto"/>
          <w:kern w:val="2"/>
          <w:sz w:val="32"/>
          <w:szCs w:val="32"/>
        </w:rPr>
      </w:pPr>
      <w:r>
        <w:rPr>
          <w:rFonts w:ascii="仿宋_GB2312" w:hAnsi="仿宋" w:eastAsia="仿宋_GB2312" w:cs="Times New Roman"/>
          <w:color w:val="auto"/>
          <w:kern w:val="2"/>
          <w:sz w:val="32"/>
          <w:szCs w:val="32"/>
        </w:rPr>
        <w:t>4.</w:t>
      </w:r>
      <w:r>
        <w:rPr>
          <w:rFonts w:hint="eastAsia" w:ascii="仿宋_GB2312" w:hAnsi="仿宋" w:eastAsia="仿宋_GB2312" w:cs="Times New Roman"/>
          <w:color w:val="auto"/>
          <w:kern w:val="2"/>
          <w:sz w:val="32"/>
          <w:szCs w:val="32"/>
        </w:rPr>
        <w:t>年末结转和结余：指单位按有关规定结转到下年或以后年度继续使用的资金。</w:t>
      </w:r>
    </w:p>
    <w:p w14:paraId="239364D7">
      <w:pPr>
        <w:pStyle w:val="26"/>
        <w:spacing w:line="600" w:lineRule="exact"/>
        <w:ind w:firstLine="640" w:firstLineChars="200"/>
        <w:rPr>
          <w:rStyle w:val="17"/>
          <w:rFonts w:ascii="仿宋_GB2312" w:hAnsi="仿宋" w:eastAsia="仿宋_GB2312"/>
          <w:b w:val="0"/>
          <w:bCs/>
          <w:sz w:val="32"/>
          <w:szCs w:val="32"/>
        </w:rPr>
      </w:pPr>
      <w:r>
        <w:rPr>
          <w:rStyle w:val="17"/>
          <w:rFonts w:ascii="仿宋_GB2312" w:hAnsi="仿宋" w:eastAsia="仿宋_GB2312"/>
          <w:b w:val="0"/>
          <w:bCs/>
          <w:sz w:val="32"/>
          <w:szCs w:val="32"/>
        </w:rPr>
        <w:t>5.</w:t>
      </w:r>
      <w:r>
        <w:rPr>
          <w:rStyle w:val="17"/>
          <w:rFonts w:hint="eastAsia" w:ascii="仿宋_GB2312" w:hAnsi="仿宋" w:eastAsia="仿宋_GB2312"/>
          <w:b w:val="0"/>
          <w:bCs/>
          <w:sz w:val="32"/>
          <w:szCs w:val="32"/>
        </w:rPr>
        <w:t>一般公共服务（类）政府办公厅（室）及相关机构事务（款）行政运行（项）</w:t>
      </w:r>
      <w:r>
        <w:rPr>
          <w:rStyle w:val="17"/>
          <w:rFonts w:ascii="仿宋_GB2312" w:hAnsi="仿宋" w:eastAsia="仿宋_GB2312"/>
          <w:b w:val="0"/>
          <w:bCs/>
          <w:sz w:val="32"/>
          <w:szCs w:val="32"/>
        </w:rPr>
        <w:t xml:space="preserve">: </w:t>
      </w:r>
      <w:r>
        <w:rPr>
          <w:rFonts w:hint="eastAsia" w:ascii="仿宋_GB2312" w:hAnsi="仿宋" w:eastAsia="仿宋_GB2312"/>
          <w:sz w:val="32"/>
          <w:szCs w:val="32"/>
        </w:rPr>
        <w:t>反映行政单位（包括实行公务员管理的事业单位）的基本支出。</w:t>
      </w:r>
    </w:p>
    <w:p w14:paraId="2EBF3479">
      <w:pPr>
        <w:pStyle w:val="34"/>
        <w:numPr>
          <w:ilvl w:val="0"/>
          <w:numId w:val="0"/>
        </w:numPr>
        <w:ind w:firstLine="640" w:firstLineChars="200"/>
        <w:rPr>
          <w:rFonts w:ascii="仿宋_GB2312" w:hAnsi="仿宋" w:eastAsia="仿宋_GB2312"/>
        </w:rPr>
      </w:pPr>
      <w:r>
        <w:rPr>
          <w:rStyle w:val="17"/>
          <w:rFonts w:ascii="仿宋_GB2312" w:hAnsi="仿宋" w:eastAsia="仿宋_GB2312"/>
          <w:b w:val="0"/>
          <w:bCs/>
          <w:color w:val="000000"/>
        </w:rPr>
        <w:t>6.</w:t>
      </w:r>
      <w:r>
        <w:rPr>
          <w:rStyle w:val="17"/>
          <w:rFonts w:hint="eastAsia" w:ascii="仿宋_GB2312" w:hAnsi="仿宋" w:eastAsia="仿宋_GB2312"/>
          <w:b w:val="0"/>
          <w:bCs/>
          <w:color w:val="000000"/>
        </w:rPr>
        <w:t>一般公共服务（类）政府办公厅（室）及相关机构事务（款）一般行政管理事务（项）</w:t>
      </w:r>
      <w:r>
        <w:rPr>
          <w:rStyle w:val="17"/>
          <w:rFonts w:ascii="仿宋_GB2312" w:hAnsi="仿宋" w:eastAsia="仿宋_GB2312"/>
          <w:b w:val="0"/>
          <w:bCs/>
          <w:color w:val="000000"/>
        </w:rPr>
        <w:t xml:space="preserve">: </w:t>
      </w:r>
      <w:r>
        <w:rPr>
          <w:rFonts w:hint="eastAsia" w:ascii="仿宋_GB2312" w:hAnsi="仿宋" w:eastAsia="仿宋_GB2312"/>
        </w:rPr>
        <w:t>反映行政单位（包括实行公务员管理的事业单位）未单独设置项级科目的其他项目支出。</w:t>
      </w:r>
    </w:p>
    <w:p w14:paraId="4EF2E0AD">
      <w:pPr>
        <w:spacing w:line="600" w:lineRule="exact"/>
        <w:ind w:firstLine="640" w:firstLineChars="200"/>
        <w:rPr>
          <w:rFonts w:ascii="仿宋_GB2312" w:hAnsi="仿宋" w:eastAsia="仿宋_GB2312"/>
          <w:sz w:val="32"/>
          <w:szCs w:val="32"/>
        </w:rPr>
      </w:pPr>
      <w:r>
        <w:rPr>
          <w:rStyle w:val="17"/>
          <w:rFonts w:ascii="仿宋_GB2312" w:hAnsi="仿宋" w:eastAsia="仿宋_GB2312"/>
          <w:b w:val="0"/>
          <w:bCs/>
          <w:color w:val="000000"/>
          <w:sz w:val="32"/>
          <w:szCs w:val="32"/>
        </w:rPr>
        <w:t>7.</w:t>
      </w:r>
      <w:r>
        <w:rPr>
          <w:rStyle w:val="17"/>
          <w:rFonts w:hint="eastAsia" w:ascii="仿宋_GB2312" w:hAnsi="仿宋" w:eastAsia="仿宋_GB2312"/>
          <w:b w:val="0"/>
          <w:bCs/>
          <w:color w:val="000000"/>
          <w:sz w:val="32"/>
          <w:szCs w:val="32"/>
        </w:rPr>
        <w:t>一般公共服务（类）政府办公厅（室）及相关机构事务（款）事业运行（项）</w:t>
      </w:r>
      <w:r>
        <w:rPr>
          <w:rStyle w:val="17"/>
          <w:rFonts w:ascii="仿宋_GB2312" w:hAnsi="仿宋" w:eastAsia="仿宋_GB2312"/>
          <w:b w:val="0"/>
          <w:bCs/>
          <w:color w:val="000000"/>
          <w:sz w:val="32"/>
          <w:szCs w:val="32"/>
        </w:rPr>
        <w:t xml:space="preserve">: </w:t>
      </w:r>
      <w:r>
        <w:rPr>
          <w:rFonts w:hint="eastAsia" w:ascii="仿宋_GB2312" w:hAnsi="仿宋" w:eastAsia="仿宋_GB2312"/>
          <w:sz w:val="32"/>
          <w:szCs w:val="32"/>
        </w:rPr>
        <w:t>反映事业单位的基本支出，不包括行政单位（包括实行公务员管理的事业单位）后勤服务中心、医务室等附属事业单位。</w:t>
      </w:r>
    </w:p>
    <w:p w14:paraId="59204EEB">
      <w:pPr>
        <w:pStyle w:val="2"/>
        <w:spacing w:line="600" w:lineRule="exact"/>
        <w:ind w:firstLine="640" w:firstLineChars="200"/>
        <w:rPr>
          <w:rFonts w:eastAsia="仿宋_GB2312"/>
          <w:sz w:val="32"/>
          <w:szCs w:val="32"/>
        </w:rPr>
      </w:pPr>
      <w:r>
        <w:rPr>
          <w:rStyle w:val="17"/>
          <w:rFonts w:hint="eastAsia" w:ascii="仿宋_GB2312" w:hAnsi="仿宋" w:eastAsia="仿宋_GB2312"/>
          <w:b w:val="0"/>
          <w:bCs/>
          <w:color w:val="000000"/>
          <w:sz w:val="32"/>
          <w:szCs w:val="32"/>
        </w:rPr>
        <w:t>8.一般公共服务（类）政府办公厅（室）及相关机构事务（款）其他政府办公厅（室）及相关机构事务支出（项）</w:t>
      </w:r>
      <w:r>
        <w:rPr>
          <w:rStyle w:val="17"/>
          <w:rFonts w:ascii="仿宋_GB2312" w:hAnsi="仿宋" w:eastAsia="仿宋_GB2312"/>
          <w:b w:val="0"/>
          <w:bCs/>
          <w:color w:val="000000"/>
          <w:sz w:val="32"/>
          <w:szCs w:val="32"/>
        </w:rPr>
        <w:t>:</w:t>
      </w:r>
      <w:r>
        <w:rPr>
          <w:rStyle w:val="17"/>
          <w:rFonts w:hint="eastAsia" w:ascii="仿宋_GB2312" w:hAnsi="仿宋" w:eastAsia="仿宋_GB2312"/>
          <w:b w:val="0"/>
          <w:bCs/>
          <w:color w:val="000000"/>
          <w:sz w:val="32"/>
          <w:szCs w:val="32"/>
        </w:rPr>
        <w:t>反映其他政府办公厅（室）及相关机构事务支出。</w:t>
      </w:r>
    </w:p>
    <w:p w14:paraId="7ADB19C3">
      <w:pPr>
        <w:spacing w:line="600" w:lineRule="exact"/>
        <w:ind w:firstLine="640" w:firstLineChars="200"/>
        <w:rPr>
          <w:rStyle w:val="17"/>
          <w:rFonts w:ascii="仿宋_GB2312" w:hAnsi="仿宋" w:eastAsia="仿宋_GB2312"/>
          <w:b w:val="0"/>
          <w:bCs/>
          <w:color w:val="000000"/>
          <w:sz w:val="32"/>
          <w:szCs w:val="32"/>
        </w:rPr>
      </w:pPr>
      <w:r>
        <w:rPr>
          <w:rStyle w:val="17"/>
          <w:rFonts w:hint="eastAsia" w:ascii="仿宋_GB2312" w:hAnsi="仿宋" w:eastAsia="仿宋_GB2312"/>
          <w:b w:val="0"/>
          <w:bCs/>
          <w:color w:val="000000"/>
          <w:sz w:val="32"/>
          <w:szCs w:val="32"/>
        </w:rPr>
        <w:t>9</w:t>
      </w:r>
      <w:r>
        <w:rPr>
          <w:rStyle w:val="17"/>
          <w:rFonts w:ascii="仿宋_GB2312" w:hAnsi="仿宋" w:eastAsia="仿宋_GB2312"/>
          <w:b w:val="0"/>
          <w:bCs/>
          <w:color w:val="000000"/>
          <w:sz w:val="32"/>
          <w:szCs w:val="32"/>
        </w:rPr>
        <w:t>.</w:t>
      </w:r>
      <w:r>
        <w:rPr>
          <w:rStyle w:val="17"/>
          <w:rFonts w:hint="eastAsia" w:ascii="仿宋_GB2312" w:hAnsi="仿宋" w:eastAsia="仿宋_GB2312"/>
          <w:b w:val="0"/>
          <w:bCs/>
          <w:color w:val="000000"/>
          <w:sz w:val="32"/>
          <w:szCs w:val="32"/>
        </w:rPr>
        <w:t>社会保障和就业（类）行政事业单位离退休（款）机关事业单位基本养老保险缴费支出（项）</w:t>
      </w:r>
      <w:r>
        <w:rPr>
          <w:rStyle w:val="17"/>
          <w:rFonts w:ascii="仿宋_GB2312" w:hAnsi="仿宋" w:eastAsia="仿宋_GB2312"/>
          <w:b w:val="0"/>
          <w:bCs/>
          <w:color w:val="000000"/>
          <w:sz w:val="32"/>
          <w:szCs w:val="32"/>
        </w:rPr>
        <w:t>:</w:t>
      </w:r>
      <w:r>
        <w:rPr>
          <w:rFonts w:hint="eastAsia" w:ascii="仿宋_GB2312" w:hAnsi="仿宋" w:eastAsia="仿宋_GB2312"/>
          <w:sz w:val="32"/>
          <w:szCs w:val="32"/>
        </w:rPr>
        <w:t>反映机关事业单位实施养老保险制度由单位缴纳的基本养老保险费支出。</w:t>
      </w:r>
    </w:p>
    <w:p w14:paraId="1960A98C">
      <w:pPr>
        <w:spacing w:line="600" w:lineRule="exact"/>
        <w:ind w:firstLine="640" w:firstLineChars="200"/>
        <w:rPr>
          <w:rFonts w:ascii="仿宋_GB2312" w:hAnsi="仿宋" w:eastAsia="仿宋_GB2312"/>
          <w:sz w:val="32"/>
          <w:szCs w:val="32"/>
        </w:rPr>
      </w:pPr>
      <w:r>
        <w:rPr>
          <w:rStyle w:val="17"/>
          <w:rFonts w:hint="eastAsia" w:ascii="仿宋_GB2312" w:hAnsi="仿宋" w:eastAsia="仿宋_GB2312"/>
          <w:b w:val="0"/>
          <w:bCs/>
          <w:color w:val="000000"/>
          <w:sz w:val="32"/>
          <w:szCs w:val="32"/>
        </w:rPr>
        <w:t>10</w:t>
      </w:r>
      <w:r>
        <w:rPr>
          <w:rStyle w:val="17"/>
          <w:rFonts w:ascii="仿宋_GB2312" w:hAnsi="仿宋" w:eastAsia="仿宋_GB2312"/>
          <w:b w:val="0"/>
          <w:bCs/>
          <w:color w:val="000000"/>
          <w:sz w:val="32"/>
          <w:szCs w:val="32"/>
        </w:rPr>
        <w:t>.</w:t>
      </w:r>
      <w:r>
        <w:rPr>
          <w:rStyle w:val="17"/>
          <w:rFonts w:hint="eastAsia" w:ascii="仿宋_GB2312" w:hAnsi="仿宋" w:eastAsia="仿宋_GB2312"/>
          <w:b w:val="0"/>
          <w:bCs/>
          <w:color w:val="000000"/>
          <w:sz w:val="32"/>
          <w:szCs w:val="32"/>
        </w:rPr>
        <w:t>社会保障和就业（类）行政事业单位离退休（款）机关事业单位职业年金缴费支出（项）</w:t>
      </w:r>
      <w:r>
        <w:rPr>
          <w:rStyle w:val="17"/>
          <w:rFonts w:ascii="仿宋_GB2312" w:hAnsi="仿宋" w:eastAsia="仿宋_GB2312"/>
          <w:b w:val="0"/>
          <w:bCs/>
          <w:color w:val="000000"/>
          <w:sz w:val="32"/>
          <w:szCs w:val="32"/>
        </w:rPr>
        <w:t xml:space="preserve">: </w:t>
      </w:r>
      <w:r>
        <w:rPr>
          <w:rFonts w:hint="eastAsia" w:ascii="仿宋_GB2312" w:hAnsi="仿宋" w:eastAsia="仿宋_GB2312"/>
          <w:sz w:val="32"/>
          <w:szCs w:val="32"/>
        </w:rPr>
        <w:t>反映机关事业单位实施养老保险制度由单位实际缴纳的职业年金支出。</w:t>
      </w:r>
    </w:p>
    <w:p w14:paraId="0F0BB804">
      <w:pPr>
        <w:pStyle w:val="6"/>
        <w:spacing w:before="93" w:line="600" w:lineRule="exact"/>
        <w:ind w:firstLine="640" w:firstLineChars="200"/>
        <w:rPr>
          <w:sz w:val="32"/>
          <w:szCs w:val="32"/>
        </w:rPr>
      </w:pPr>
      <w:r>
        <w:rPr>
          <w:rFonts w:hint="eastAsia" w:hAnsi="仿宋"/>
          <w:sz w:val="32"/>
          <w:szCs w:val="32"/>
        </w:rPr>
        <w:t>11.</w:t>
      </w:r>
      <w:r>
        <w:rPr>
          <w:rStyle w:val="17"/>
          <w:rFonts w:hint="eastAsia" w:hAnsi="仿宋"/>
          <w:b w:val="0"/>
          <w:bCs/>
          <w:color w:val="000000"/>
          <w:sz w:val="32"/>
          <w:szCs w:val="32"/>
        </w:rPr>
        <w:t>社会保障和就业（类）行政事业单位离退休（款）其他行政事业单位养老支出（项）</w:t>
      </w:r>
      <w:r>
        <w:rPr>
          <w:rStyle w:val="17"/>
          <w:rFonts w:hAnsi="仿宋"/>
          <w:b w:val="0"/>
          <w:bCs/>
          <w:color w:val="000000"/>
          <w:sz w:val="32"/>
          <w:szCs w:val="32"/>
        </w:rPr>
        <w:t>:</w:t>
      </w:r>
      <w:r>
        <w:rPr>
          <w:rStyle w:val="17"/>
          <w:rFonts w:hint="eastAsia" w:hAnsi="仿宋"/>
          <w:b w:val="0"/>
          <w:bCs/>
          <w:color w:val="000000"/>
          <w:sz w:val="32"/>
          <w:szCs w:val="32"/>
        </w:rPr>
        <w:t>反映其他用于行政事业单位养老方面的支出。</w:t>
      </w:r>
      <w:r>
        <w:rPr>
          <w:rStyle w:val="17"/>
          <w:rFonts w:hAnsi="仿宋"/>
          <w:b w:val="0"/>
          <w:bCs/>
          <w:color w:val="000000"/>
          <w:sz w:val="32"/>
          <w:szCs w:val="32"/>
        </w:rPr>
        <w:t xml:space="preserve"> </w:t>
      </w:r>
    </w:p>
    <w:p w14:paraId="0E65CD3D">
      <w:pPr>
        <w:spacing w:line="600" w:lineRule="exact"/>
        <w:ind w:firstLine="640" w:firstLineChars="200"/>
        <w:rPr>
          <w:rStyle w:val="17"/>
          <w:rFonts w:ascii="仿宋_GB2312" w:hAnsi="仿宋" w:eastAsia="仿宋_GB2312"/>
          <w:b w:val="0"/>
          <w:bCs/>
          <w:color w:val="000000"/>
          <w:sz w:val="32"/>
          <w:szCs w:val="32"/>
        </w:rPr>
      </w:pPr>
      <w:r>
        <w:rPr>
          <w:rStyle w:val="17"/>
          <w:rFonts w:ascii="仿宋_GB2312" w:hAnsi="仿宋" w:eastAsia="仿宋_GB2312"/>
          <w:b w:val="0"/>
          <w:bCs/>
          <w:color w:val="000000"/>
          <w:sz w:val="32"/>
          <w:szCs w:val="32"/>
        </w:rPr>
        <w:t>1</w:t>
      </w:r>
      <w:r>
        <w:rPr>
          <w:rStyle w:val="17"/>
          <w:rFonts w:hint="eastAsia" w:ascii="仿宋_GB2312" w:hAnsi="仿宋" w:eastAsia="仿宋_GB2312"/>
          <w:b w:val="0"/>
          <w:bCs/>
          <w:color w:val="000000"/>
          <w:sz w:val="32"/>
          <w:szCs w:val="32"/>
        </w:rPr>
        <w:t>2</w:t>
      </w:r>
      <w:r>
        <w:rPr>
          <w:rStyle w:val="17"/>
          <w:rFonts w:ascii="仿宋_GB2312" w:hAnsi="仿宋" w:eastAsia="仿宋_GB2312"/>
          <w:b w:val="0"/>
          <w:bCs/>
          <w:color w:val="000000"/>
          <w:sz w:val="32"/>
          <w:szCs w:val="32"/>
        </w:rPr>
        <w:t>.</w:t>
      </w:r>
      <w:r>
        <w:rPr>
          <w:rStyle w:val="17"/>
          <w:rFonts w:hint="eastAsia" w:ascii="仿宋_GB2312" w:hAnsi="仿宋" w:eastAsia="仿宋_GB2312"/>
          <w:b w:val="0"/>
          <w:bCs/>
          <w:color w:val="000000"/>
          <w:sz w:val="32"/>
          <w:szCs w:val="32"/>
        </w:rPr>
        <w:t>卫生健康支出（类）行政事业单位医疗（款）行政单位医疗（项）：</w:t>
      </w:r>
      <w:r>
        <w:rPr>
          <w:rFonts w:hint="eastAsia" w:ascii="仿宋_GB2312" w:hAnsi="仿宋" w:eastAsia="仿宋_GB2312"/>
          <w:sz w:val="32"/>
          <w:szCs w:val="32"/>
        </w:rPr>
        <w:t>反映财政部门安排的行政单位（包括实行公务员管理的事业单位）基本医疗保险缴费经费，未参加医疗保险的行政单位的公费医疗经费，按国家规定享受离休人员、红军老战士待遇人员的医疗经费。</w:t>
      </w:r>
    </w:p>
    <w:p w14:paraId="23805B97">
      <w:pPr>
        <w:spacing w:line="600" w:lineRule="exact"/>
        <w:ind w:firstLine="640" w:firstLineChars="200"/>
        <w:rPr>
          <w:rFonts w:ascii="仿宋_GB2312" w:hAnsi="仿宋" w:eastAsia="仿宋_GB2312"/>
          <w:sz w:val="32"/>
          <w:szCs w:val="32"/>
        </w:rPr>
      </w:pPr>
      <w:r>
        <w:rPr>
          <w:rStyle w:val="17"/>
          <w:rFonts w:ascii="仿宋_GB2312" w:hAnsi="仿宋" w:eastAsia="仿宋_GB2312"/>
          <w:b w:val="0"/>
          <w:bCs/>
          <w:color w:val="000000"/>
          <w:sz w:val="32"/>
          <w:szCs w:val="32"/>
        </w:rPr>
        <w:t>1</w:t>
      </w:r>
      <w:r>
        <w:rPr>
          <w:rStyle w:val="17"/>
          <w:rFonts w:hint="eastAsia" w:ascii="仿宋_GB2312" w:hAnsi="仿宋" w:eastAsia="仿宋_GB2312"/>
          <w:b w:val="0"/>
          <w:bCs/>
          <w:color w:val="000000"/>
          <w:sz w:val="32"/>
          <w:szCs w:val="32"/>
        </w:rPr>
        <w:t>3</w:t>
      </w:r>
      <w:r>
        <w:rPr>
          <w:rStyle w:val="17"/>
          <w:rFonts w:ascii="仿宋_GB2312" w:hAnsi="仿宋" w:eastAsia="仿宋_GB2312"/>
          <w:b w:val="0"/>
          <w:bCs/>
          <w:color w:val="000000"/>
          <w:sz w:val="32"/>
          <w:szCs w:val="32"/>
        </w:rPr>
        <w:t>.</w:t>
      </w:r>
      <w:r>
        <w:rPr>
          <w:rStyle w:val="17"/>
          <w:rFonts w:hint="eastAsia" w:ascii="仿宋_GB2312" w:hAnsi="仿宋" w:eastAsia="仿宋_GB2312"/>
          <w:b w:val="0"/>
          <w:bCs/>
          <w:color w:val="000000"/>
          <w:sz w:val="32"/>
          <w:szCs w:val="32"/>
        </w:rPr>
        <w:t>卫生健康支出（类）行政事业单位医疗（款）事业单位医疗（项）：</w:t>
      </w:r>
      <w:r>
        <w:rPr>
          <w:rFonts w:hint="eastAsia" w:ascii="仿宋_GB2312" w:hAnsi="仿宋" w:eastAsia="仿宋_GB2312"/>
          <w:sz w:val="32"/>
          <w:szCs w:val="32"/>
        </w:rPr>
        <w:t>反映财政部门安排的事业单位基本医疗保险缴费经费，未参加医疗保险的事业单位的公费医疗经费，按国家规定享受离休人员待遇人员的医疗经费。</w:t>
      </w:r>
    </w:p>
    <w:p w14:paraId="7FD3B542">
      <w:pPr>
        <w:pStyle w:val="2"/>
        <w:spacing w:line="600" w:lineRule="exact"/>
        <w:ind w:firstLine="640" w:firstLineChars="200"/>
        <w:rPr>
          <w:rFonts w:eastAsia="仿宋_GB2312"/>
          <w:sz w:val="32"/>
          <w:szCs w:val="32"/>
        </w:rPr>
      </w:pPr>
      <w:r>
        <w:rPr>
          <w:rStyle w:val="17"/>
          <w:rFonts w:ascii="仿宋_GB2312" w:hAnsi="仿宋" w:eastAsia="仿宋_GB2312"/>
          <w:b w:val="0"/>
          <w:bCs/>
          <w:color w:val="000000"/>
          <w:sz w:val="32"/>
          <w:szCs w:val="32"/>
        </w:rPr>
        <w:t>1</w:t>
      </w:r>
      <w:r>
        <w:rPr>
          <w:rStyle w:val="17"/>
          <w:rFonts w:hint="eastAsia" w:ascii="仿宋_GB2312" w:hAnsi="仿宋" w:eastAsia="仿宋_GB2312"/>
          <w:b w:val="0"/>
          <w:bCs/>
          <w:color w:val="000000"/>
          <w:sz w:val="32"/>
          <w:szCs w:val="32"/>
        </w:rPr>
        <w:t>4</w:t>
      </w:r>
      <w:r>
        <w:rPr>
          <w:rStyle w:val="17"/>
          <w:rFonts w:ascii="仿宋_GB2312" w:hAnsi="仿宋" w:eastAsia="仿宋_GB2312"/>
          <w:b w:val="0"/>
          <w:bCs/>
          <w:color w:val="000000"/>
          <w:sz w:val="32"/>
          <w:szCs w:val="32"/>
        </w:rPr>
        <w:t>.</w:t>
      </w:r>
      <w:r>
        <w:rPr>
          <w:rStyle w:val="17"/>
          <w:rFonts w:hint="eastAsia" w:ascii="仿宋_GB2312" w:hAnsi="仿宋" w:eastAsia="仿宋_GB2312"/>
          <w:b w:val="0"/>
          <w:bCs/>
          <w:color w:val="000000"/>
          <w:sz w:val="32"/>
          <w:szCs w:val="32"/>
        </w:rPr>
        <w:t>卫生健康支出（类）行政事业单位医疗（款）公务员医疗补助（项）：反映财政部门安排的公务员医疗补助经费。</w:t>
      </w:r>
    </w:p>
    <w:p w14:paraId="161AB0A1">
      <w:pPr>
        <w:spacing w:line="600" w:lineRule="exact"/>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15.</w:t>
      </w:r>
      <w:r>
        <w:rPr>
          <w:rFonts w:hint="eastAsia" w:ascii="仿宋_GB2312" w:hAnsi="仿宋" w:eastAsia="仿宋_GB2312"/>
          <w:sz w:val="32"/>
          <w:szCs w:val="32"/>
        </w:rPr>
        <w:t>住房保障支出（类）住房改革支出（款）住房公积金（项）：反映行政事业单位按人力资源和社会保障部、财政部规定的基本工资和津贴补贴以及规定比例为职工缴纳的住房公积金。</w:t>
      </w:r>
    </w:p>
    <w:p w14:paraId="274923D1">
      <w:pPr>
        <w:pStyle w:val="26"/>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16.</w:t>
      </w:r>
      <w:r>
        <w:rPr>
          <w:rFonts w:hint="eastAsia" w:ascii="仿宋_GB2312" w:eastAsia="仿宋_GB2312"/>
          <w:sz w:val="32"/>
          <w:szCs w:val="32"/>
        </w:rPr>
        <w:t>基本支出：指为保障机构正常运转、完成日常工作任务而发生的人员支出和公用支出。</w:t>
      </w:r>
    </w:p>
    <w:p w14:paraId="116B3324">
      <w:pPr>
        <w:spacing w:line="60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17.项目支出：指在基本支出之外为完成特定行政任务和事业发展目标所发生的支出。</w:t>
      </w:r>
    </w:p>
    <w:p w14:paraId="5B46058C">
      <w:pPr>
        <w:spacing w:line="600" w:lineRule="exact"/>
        <w:ind w:firstLine="640" w:firstLineChars="200"/>
        <w:rPr>
          <w:rFonts w:ascii="仿宋_GB2312" w:eastAsia="仿宋_GB2312"/>
          <w:sz w:val="32"/>
          <w:szCs w:val="32"/>
        </w:rPr>
      </w:pPr>
      <w:r>
        <w:rPr>
          <w:rFonts w:hint="eastAsia" w:ascii="仿宋_GB2312" w:eastAsia="仿宋_GB2312"/>
          <w:color w:val="000000"/>
          <w:sz w:val="32"/>
          <w:szCs w:val="32"/>
        </w:rPr>
        <w:t>18.</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8A2EFAD">
      <w:pPr>
        <w:spacing w:line="60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19.</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3583F41">
      <w:pPr>
        <w:spacing w:line="600" w:lineRule="exact"/>
        <w:jc w:val="center"/>
        <w:outlineLvl w:val="0"/>
        <w:rPr>
          <w:rStyle w:val="28"/>
          <w:rFonts w:ascii="方正小标宋简体" w:hAnsi="方正小标宋简体" w:eastAsia="方正小标宋简体" w:cs="方正小标宋简体"/>
          <w:b w:val="0"/>
        </w:rPr>
      </w:pPr>
      <w:bookmarkStart w:id="53" w:name="_Toc15377226"/>
      <w:r>
        <w:rPr>
          <w:rFonts w:ascii="宋体"/>
          <w:b/>
          <w:sz w:val="44"/>
          <w:szCs w:val="44"/>
        </w:rPr>
        <w:br w:type="page"/>
      </w:r>
      <w:bookmarkStart w:id="54" w:name="_Toc15396614"/>
      <w:r>
        <w:rPr>
          <w:rFonts w:hint="eastAsia" w:ascii="方正小标宋简体" w:hAnsi="方正小标宋简体" w:eastAsia="方正小标宋简体" w:cs="方正小标宋简体"/>
          <w:sz w:val="44"/>
          <w:szCs w:val="44"/>
        </w:rPr>
        <w:t>第</w:t>
      </w:r>
      <w:r>
        <w:rPr>
          <w:rStyle w:val="28"/>
          <w:rFonts w:hint="eastAsia" w:ascii="方正小标宋简体" w:hAnsi="方正小标宋简体" w:eastAsia="方正小标宋简体" w:cs="方正小标宋简体"/>
          <w:b w:val="0"/>
        </w:rPr>
        <w:t>四部分 附件</w:t>
      </w:r>
      <w:bookmarkEnd w:id="54"/>
    </w:p>
    <w:p w14:paraId="3984FB2C">
      <w:pPr>
        <w:pStyle w:val="2"/>
        <w:rPr>
          <w:rStyle w:val="28"/>
          <w:rFonts w:ascii="方正小标宋简体" w:hAnsi="方正小标宋简体" w:eastAsia="方正小标宋简体" w:cs="方正小标宋简体"/>
          <w:b w:val="0"/>
        </w:rPr>
      </w:pPr>
    </w:p>
    <w:p w14:paraId="40B2DCB8">
      <w:pPr>
        <w:pStyle w:val="2"/>
        <w:rPr>
          <w:rStyle w:val="28"/>
          <w:rFonts w:ascii="方正小标宋简体" w:hAnsi="方正小标宋简体" w:eastAsia="方正小标宋简体" w:cs="方正小标宋简体"/>
          <w:b w:val="0"/>
        </w:rPr>
      </w:pPr>
    </w:p>
    <w:p w14:paraId="269A6C43">
      <w:pPr>
        <w:pStyle w:val="2"/>
        <w:rPr>
          <w:rStyle w:val="28"/>
          <w:rFonts w:ascii="方正小标宋简体" w:hAnsi="方正小标宋简体" w:eastAsia="方正小标宋简体" w:cs="方正小标宋简体"/>
          <w:b w:val="0"/>
        </w:rPr>
      </w:pPr>
    </w:p>
    <w:p w14:paraId="08A2E85D">
      <w:pPr>
        <w:pStyle w:val="2"/>
        <w:rPr>
          <w:rStyle w:val="28"/>
          <w:rFonts w:ascii="方正小标宋简体" w:hAnsi="方正小标宋简体" w:eastAsia="方正小标宋简体" w:cs="方正小标宋简体"/>
          <w:b w:val="0"/>
        </w:rPr>
      </w:pPr>
    </w:p>
    <w:p w14:paraId="1ED3A7CF">
      <w:pPr>
        <w:pStyle w:val="2"/>
        <w:rPr>
          <w:rStyle w:val="28"/>
          <w:rFonts w:ascii="方正小标宋简体" w:hAnsi="方正小标宋简体" w:eastAsia="方正小标宋简体" w:cs="方正小标宋简体"/>
          <w:b w:val="0"/>
        </w:rPr>
      </w:pPr>
    </w:p>
    <w:p w14:paraId="590B58E9">
      <w:pPr>
        <w:pStyle w:val="2"/>
        <w:rPr>
          <w:rStyle w:val="28"/>
          <w:rFonts w:ascii="方正小标宋简体" w:hAnsi="方正小标宋简体" w:eastAsia="方正小标宋简体" w:cs="方正小标宋简体"/>
          <w:b w:val="0"/>
        </w:rPr>
      </w:pPr>
    </w:p>
    <w:p w14:paraId="390815BA">
      <w:pPr>
        <w:pStyle w:val="2"/>
        <w:rPr>
          <w:rStyle w:val="28"/>
          <w:rFonts w:ascii="方正小标宋简体" w:hAnsi="方正小标宋简体" w:eastAsia="方正小标宋简体" w:cs="方正小标宋简体"/>
          <w:b w:val="0"/>
        </w:rPr>
      </w:pPr>
    </w:p>
    <w:p w14:paraId="4A3EE05E">
      <w:pPr>
        <w:pStyle w:val="2"/>
        <w:rPr>
          <w:rStyle w:val="28"/>
          <w:rFonts w:ascii="方正小标宋简体" w:hAnsi="方正小标宋简体" w:eastAsia="方正小标宋简体" w:cs="方正小标宋简体"/>
          <w:b w:val="0"/>
        </w:rPr>
      </w:pPr>
    </w:p>
    <w:p w14:paraId="4F82ACB5">
      <w:pPr>
        <w:pStyle w:val="2"/>
        <w:rPr>
          <w:rStyle w:val="28"/>
          <w:rFonts w:ascii="方正小标宋简体" w:hAnsi="方正小标宋简体" w:eastAsia="方正小标宋简体" w:cs="方正小标宋简体"/>
          <w:b w:val="0"/>
        </w:rPr>
      </w:pPr>
    </w:p>
    <w:p w14:paraId="35405E4E">
      <w:pPr>
        <w:pStyle w:val="2"/>
        <w:rPr>
          <w:rStyle w:val="28"/>
          <w:rFonts w:ascii="方正小标宋简体" w:hAnsi="方正小标宋简体" w:eastAsia="方正小标宋简体" w:cs="方正小标宋简体"/>
          <w:b w:val="0"/>
        </w:rPr>
      </w:pPr>
    </w:p>
    <w:p w14:paraId="4645DEC7">
      <w:pPr>
        <w:pStyle w:val="2"/>
        <w:rPr>
          <w:rStyle w:val="28"/>
          <w:rFonts w:ascii="方正小标宋简体" w:hAnsi="方正小标宋简体" w:eastAsia="方正小标宋简体" w:cs="方正小标宋简体"/>
          <w:b w:val="0"/>
        </w:rPr>
      </w:pPr>
    </w:p>
    <w:p w14:paraId="76CD3B09">
      <w:pPr>
        <w:pStyle w:val="2"/>
        <w:rPr>
          <w:rStyle w:val="28"/>
          <w:rFonts w:ascii="方正小标宋简体" w:hAnsi="方正小标宋简体" w:eastAsia="方正小标宋简体" w:cs="方正小标宋简体"/>
          <w:b w:val="0"/>
        </w:rPr>
      </w:pPr>
    </w:p>
    <w:p w14:paraId="7B127EE4">
      <w:pPr>
        <w:pStyle w:val="2"/>
        <w:rPr>
          <w:rStyle w:val="28"/>
          <w:rFonts w:ascii="方正小标宋简体" w:hAnsi="方正小标宋简体" w:eastAsia="方正小标宋简体" w:cs="方正小标宋简体"/>
          <w:b w:val="0"/>
        </w:rPr>
      </w:pPr>
    </w:p>
    <w:p w14:paraId="7699B3F4">
      <w:pPr>
        <w:pStyle w:val="2"/>
        <w:rPr>
          <w:rStyle w:val="28"/>
          <w:rFonts w:ascii="方正小标宋简体" w:hAnsi="方正小标宋简体" w:eastAsia="方正小标宋简体" w:cs="方正小标宋简体"/>
          <w:b w:val="0"/>
        </w:rPr>
      </w:pPr>
    </w:p>
    <w:p w14:paraId="2AB5FBBE">
      <w:pPr>
        <w:spacing w:line="600" w:lineRule="exact"/>
        <w:jc w:val="left"/>
        <w:outlineLvl w:val="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附件1</w:t>
      </w:r>
    </w:p>
    <w:p w14:paraId="6957E6AC">
      <w:pPr>
        <w:kinsoku w:val="0"/>
        <w:overflowPunct w:val="0"/>
        <w:spacing w:line="600" w:lineRule="exact"/>
        <w:ind w:firstLine="884" w:firstLineChars="200"/>
        <w:jc w:val="center"/>
        <w:rPr>
          <w:rFonts w:ascii="方正小标宋简体" w:eastAsia="方正小标宋简体"/>
          <w:spacing w:val="1"/>
          <w:sz w:val="44"/>
          <w:szCs w:val="44"/>
        </w:rPr>
      </w:pPr>
      <w:r>
        <w:rPr>
          <w:rFonts w:hint="eastAsia" w:ascii="方正小标宋简体" w:eastAsia="方正小标宋简体"/>
          <w:spacing w:val="1"/>
          <w:sz w:val="44"/>
          <w:szCs w:val="44"/>
        </w:rPr>
        <w:t>沐川县综合行政执法局</w:t>
      </w:r>
    </w:p>
    <w:p w14:paraId="6024763C">
      <w:pPr>
        <w:kinsoku w:val="0"/>
        <w:overflowPunct w:val="0"/>
        <w:spacing w:line="600" w:lineRule="exact"/>
        <w:ind w:firstLine="884" w:firstLineChars="200"/>
        <w:jc w:val="center"/>
        <w:rPr>
          <w:rFonts w:ascii="方正小标宋简体" w:eastAsia="方正小标宋简体"/>
          <w:spacing w:val="1"/>
          <w:sz w:val="44"/>
          <w:szCs w:val="44"/>
        </w:rPr>
      </w:pPr>
      <w:r>
        <w:rPr>
          <w:rFonts w:hint="eastAsia" w:ascii="方正小标宋简体" w:eastAsia="方正小标宋简体"/>
          <w:spacing w:val="1"/>
          <w:sz w:val="44"/>
          <w:szCs w:val="44"/>
        </w:rPr>
        <w:t>2022年整体支出绩效自评报告</w:t>
      </w:r>
    </w:p>
    <w:p w14:paraId="3711543F">
      <w:pPr>
        <w:kinsoku w:val="0"/>
        <w:overflowPunct w:val="0"/>
        <w:spacing w:line="600" w:lineRule="exact"/>
        <w:ind w:firstLine="644" w:firstLineChars="200"/>
        <w:jc w:val="center"/>
        <w:rPr>
          <w:rFonts w:eastAsia="楷体_GB2312"/>
          <w:spacing w:val="1"/>
          <w:sz w:val="32"/>
          <w:szCs w:val="32"/>
        </w:rPr>
      </w:pPr>
    </w:p>
    <w:p w14:paraId="5736279D">
      <w:pPr>
        <w:spacing w:line="600" w:lineRule="exact"/>
        <w:ind w:firstLine="640" w:firstLineChars="200"/>
        <w:rPr>
          <w:rFonts w:eastAsia="黑体"/>
          <w:sz w:val="32"/>
          <w:szCs w:val="32"/>
        </w:rPr>
      </w:pPr>
      <w:r>
        <w:rPr>
          <w:rFonts w:eastAsia="黑体"/>
          <w:sz w:val="32"/>
          <w:szCs w:val="32"/>
        </w:rPr>
        <w:t>一、部门概况</w:t>
      </w:r>
    </w:p>
    <w:p w14:paraId="7936F1F5">
      <w:pPr>
        <w:spacing w:line="600" w:lineRule="exact"/>
        <w:ind w:firstLine="643" w:firstLineChars="200"/>
        <w:rPr>
          <w:rFonts w:ascii="楷体" w:hAnsi="楷体" w:eastAsia="楷体"/>
          <w:b/>
          <w:sz w:val="32"/>
          <w:szCs w:val="32"/>
        </w:rPr>
      </w:pPr>
      <w:r>
        <w:rPr>
          <w:rFonts w:hint="eastAsia" w:ascii="楷体" w:hAnsi="楷体" w:eastAsia="楷体"/>
          <w:b/>
          <w:sz w:val="32"/>
          <w:szCs w:val="32"/>
        </w:rPr>
        <w:t>(一)机构组成</w:t>
      </w:r>
    </w:p>
    <w:p w14:paraId="4DC64C6F">
      <w:pPr>
        <w:snapToGrid w:val="0"/>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沐川县综合行政执法局机构设置情况如下：</w:t>
      </w:r>
    </w:p>
    <w:p w14:paraId="55E9E67A">
      <w:pPr>
        <w:snapToGrid w:val="0"/>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（1）局机关设局长1名、副局长2名、机关党委书记1名。内设机构3个，分别为：办公室、政策法规股（案审股）、执法监管股（督查股）。</w:t>
      </w:r>
    </w:p>
    <w:p w14:paraId="5D72DF90">
      <w:pPr>
        <w:spacing w:line="600" w:lineRule="exact"/>
        <w:ind w:firstLine="640" w:firstLineChars="200"/>
        <w:rPr>
          <w:rFonts w:ascii="仿宋_GB2312" w:eastAsia="仿宋_GB2312"/>
          <w:sz w:val="32"/>
          <w:szCs w:val="32"/>
        </w:rPr>
      </w:pPr>
      <w:r>
        <w:rPr>
          <w:rFonts w:hint="eastAsia" w:ascii="仿宋_GB2312" w:eastAsia="仿宋_GB2312"/>
          <w:sz w:val="32"/>
          <w:szCs w:val="32"/>
        </w:rPr>
        <w:t>（2）下设5支综合行政执法大队，分别为：一大队（市场监管领域）、二大队（交通运输领域）、三大队（城市管理领域）、四大队（农业、林业领域）、五大队（文化旅游领域）。</w:t>
      </w:r>
    </w:p>
    <w:p w14:paraId="50CF41F9">
      <w:pPr>
        <w:spacing w:line="600" w:lineRule="exact"/>
        <w:ind w:firstLine="640" w:firstLineChars="200"/>
        <w:rPr>
          <w:rFonts w:ascii="仿宋_GB2312" w:eastAsia="仿宋_GB2312"/>
          <w:sz w:val="32"/>
          <w:szCs w:val="32"/>
        </w:rPr>
      </w:pPr>
      <w:r>
        <w:rPr>
          <w:rFonts w:hint="eastAsia" w:ascii="仿宋_GB2312" w:eastAsia="仿宋_GB2312"/>
          <w:sz w:val="32"/>
          <w:szCs w:val="32"/>
        </w:rPr>
        <w:t>（3）进一步加强基层执法力量，依托县市场监管局沐溪、城郊、大楠、黄丹、利店片区市场监管所，成立5个片区综合行政执法中队，与片区市场监管所实行“所队合一”，分别为：沐溪片区综合行政执法中队、城郊片区综合行政执法中队、大楠片区综合行政执法中队、黄丹片区综合行政执法中队、利店片区综合行政执法中队。</w:t>
      </w:r>
    </w:p>
    <w:p w14:paraId="068A4308">
      <w:pPr>
        <w:spacing w:line="600" w:lineRule="exact"/>
        <w:ind w:firstLine="643" w:firstLineChars="200"/>
        <w:rPr>
          <w:rFonts w:ascii="楷体" w:hAnsi="楷体" w:eastAsia="楷体"/>
          <w:b/>
          <w:sz w:val="32"/>
          <w:szCs w:val="32"/>
        </w:rPr>
      </w:pPr>
      <w:r>
        <w:rPr>
          <w:rFonts w:ascii="楷体" w:hAnsi="楷体" w:eastAsia="楷体"/>
          <w:b/>
          <w:sz w:val="32"/>
          <w:szCs w:val="32"/>
        </w:rPr>
        <w:t>(二)机构职能</w:t>
      </w:r>
    </w:p>
    <w:p w14:paraId="3D8D669B">
      <w:pPr>
        <w:widowControl/>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沐川县综合行政执法局（简称县综合执法局）是沐川县人民政府工作部门，负责贯彻落实党中央、省委、市委关于综合行政执法工作的方针政策和县委的决策部署，在履行职责过程中坚持和加强党对综合行政执法工作的集中统一领导。主要职责是：</w:t>
      </w:r>
    </w:p>
    <w:p w14:paraId="1B6257D4">
      <w:pPr>
        <w:widowControl/>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一是贯彻落实中央、省、市、县关于综合行政执法工作的有关规定，依据有关法律、法规和规章，组织起草全县综合行政执法领域有关规范性文件，拟订全县综合行政执法工作规划并组织实施，负责对全县综合行政执法工作的指导、协调、检查和监督。</w:t>
      </w:r>
    </w:p>
    <w:p w14:paraId="6C26F77D">
      <w:pPr>
        <w:widowControl/>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二是依照市场监管、农业、交通运输、文化市场等行业领域的法律、法规、规章的规定，在全县范围内依法行使行政检查权、行政强制权和行政处罚权。</w:t>
      </w:r>
    </w:p>
    <w:p w14:paraId="55A16AD8">
      <w:pPr>
        <w:widowControl/>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三是组织有关行政处罚案件的会审、听证工作，承担行政应诉工作。</w:t>
      </w:r>
    </w:p>
    <w:p w14:paraId="2C9ECEDF">
      <w:pPr>
        <w:widowControl/>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四是</w:t>
      </w:r>
      <w:r>
        <w:rPr>
          <w:rFonts w:hint="eastAsia" w:ascii="仿宋_GB2312" w:hAnsi="仿宋" w:eastAsia="仿宋_GB2312"/>
          <w:sz w:val="32"/>
          <w:szCs w:val="32"/>
        </w:rPr>
        <w:t>受理相关违法违规行为的举报或部门移送案件线索的查处</w:t>
      </w:r>
      <w:r>
        <w:rPr>
          <w:rFonts w:hint="eastAsia" w:ascii="仿宋_GB2312" w:eastAsia="仿宋_GB2312"/>
          <w:kern w:val="0"/>
          <w:sz w:val="32"/>
          <w:szCs w:val="32"/>
        </w:rPr>
        <w:t>。</w:t>
      </w:r>
    </w:p>
    <w:p w14:paraId="3BAE94AD">
      <w:pPr>
        <w:widowControl/>
        <w:spacing w:line="600" w:lineRule="exact"/>
        <w:ind w:firstLine="640" w:firstLineChars="200"/>
        <w:jc w:val="left"/>
        <w:rPr>
          <w:rFonts w:ascii="仿宋_GB2312" w:hAnsi="仿宋" w:eastAsia="仿宋_GB2312"/>
          <w:sz w:val="32"/>
          <w:szCs w:val="32"/>
        </w:rPr>
      </w:pPr>
      <w:r>
        <w:rPr>
          <w:rFonts w:hint="eastAsia" w:ascii="仿宋_GB2312" w:eastAsia="仿宋_GB2312"/>
          <w:kern w:val="0"/>
          <w:sz w:val="32"/>
          <w:szCs w:val="32"/>
        </w:rPr>
        <w:t>五是</w:t>
      </w:r>
      <w:r>
        <w:rPr>
          <w:rFonts w:hint="eastAsia" w:ascii="仿宋_GB2312" w:hAnsi="仿宋" w:eastAsia="仿宋_GB2312"/>
          <w:sz w:val="32"/>
          <w:szCs w:val="32"/>
        </w:rPr>
        <w:t>做好“两法衔接”工作，按相关规定和程序向司法机关移送涉嫌犯罪的案件线索。</w:t>
      </w:r>
    </w:p>
    <w:p w14:paraId="361FE388">
      <w:pPr>
        <w:widowControl/>
        <w:spacing w:line="60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六是负责配合相关行业主管部门的监督检查、行业整治等活动。</w:t>
      </w:r>
    </w:p>
    <w:p w14:paraId="27AC8656">
      <w:pPr>
        <w:widowControl/>
        <w:spacing w:line="60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七是负责职责范围内的安全生产和职业健康、生态环境保护工作。</w:t>
      </w:r>
    </w:p>
    <w:p w14:paraId="5EE2D7DE">
      <w:pPr>
        <w:widowControl/>
        <w:spacing w:line="60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八是完成县委、县政府交办的其他工作。</w:t>
      </w:r>
    </w:p>
    <w:p w14:paraId="7A7E601B">
      <w:pPr>
        <w:widowControl/>
        <w:adjustRightInd w:val="0"/>
        <w:snapToGrid w:val="0"/>
        <w:spacing w:line="600" w:lineRule="exact"/>
        <w:ind w:firstLine="640" w:firstLineChars="200"/>
        <w:contextualSpacing/>
        <w:jc w:val="left"/>
        <w:rPr>
          <w:rFonts w:ascii="楷体_GB2312" w:hAnsi="宋体" w:eastAsia="楷体_GB2312" w:cs="宋体"/>
          <w:b/>
          <w:color w:val="000000"/>
          <w:kern w:val="0"/>
          <w:sz w:val="32"/>
          <w:szCs w:val="32"/>
          <w:shd w:val="clear" w:color="auto" w:fill="FFFFFF"/>
          <w:lang w:val="zh-CN"/>
        </w:rPr>
      </w:pPr>
      <w:r>
        <w:rPr>
          <w:rFonts w:hint="eastAsia" w:ascii="仿宋_GB2312" w:hAnsi="仿宋" w:eastAsia="仿宋_GB2312"/>
          <w:sz w:val="32"/>
          <w:szCs w:val="32"/>
        </w:rPr>
        <w:t>九是与相关业务主管部门职责分工。县综合执法局负责对业务主管部门实施责令改正或停止违法行为等监管程序以后移交的违法案件实施行政处罚及行政强制工作，对做出的行政执法决定及执法过程中发现的问题，及时通报相关业务主管部门。县综合执法局在行使职权过程中需要相关业务主管部门及专业机构提供审批材料、技术鉴定和后续补救措施的，相关业务主管部门及专业机构应积极做好协调配合工作。各相关业务主管部门按照“谁主管、谁监管”的原则，负责各自领域违法行为的巡查监管职责和各自领域群众投诉举报、行业监督热线、“心连心”热线转办件的受理、核实及先期监管工作，对依法需要立案处罚的案件，以一案一函的形式连同相关证据、案源材料一并移交县综合执法局实施行政处罚；各相关业务主管部门要切实落实主体责任，依法履行相关政策，做好审查审批、批后监管、协调指导等工作，加强事中事后监管。对于紧急情况下应立即采取行政强制的案件，各相关业务主管部门应与县综合执法局建立联合执法机制和应急预案，做好源头发现，紧急强制及后续处罚工作。</w:t>
      </w:r>
    </w:p>
    <w:p w14:paraId="659D7785">
      <w:pPr>
        <w:spacing w:line="600" w:lineRule="exact"/>
        <w:ind w:firstLine="643" w:firstLineChars="200"/>
        <w:rPr>
          <w:rFonts w:ascii="楷体" w:hAnsi="楷体" w:eastAsia="楷体"/>
          <w:b/>
          <w:sz w:val="32"/>
          <w:szCs w:val="32"/>
        </w:rPr>
      </w:pPr>
      <w:r>
        <w:rPr>
          <w:rFonts w:ascii="楷体" w:hAnsi="楷体" w:eastAsia="楷体"/>
          <w:b/>
          <w:sz w:val="32"/>
          <w:szCs w:val="32"/>
        </w:rPr>
        <w:t>(三)人员概况</w:t>
      </w:r>
    </w:p>
    <w:p w14:paraId="4A6437BD">
      <w:pPr>
        <w:snapToGrid w:val="0"/>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2022年沐川县综合行政执法局核定编制109</w:t>
      </w:r>
      <w:r>
        <w:rPr>
          <w:rFonts w:ascii="仿宋_GB2312" w:hAnsi="仿宋" w:eastAsia="仿宋_GB2312"/>
          <w:sz w:val="32"/>
          <w:szCs w:val="32"/>
        </w:rPr>
        <w:t>名</w:t>
      </w:r>
      <w:r>
        <w:rPr>
          <w:rFonts w:hint="eastAsia" w:ascii="仿宋_GB2312" w:hAnsi="仿宋" w:eastAsia="仿宋_GB2312"/>
          <w:sz w:val="32"/>
          <w:szCs w:val="32"/>
        </w:rPr>
        <w:t>，</w:t>
      </w:r>
      <w:r>
        <w:rPr>
          <w:rFonts w:ascii="仿宋_GB2312" w:hAnsi="仿宋" w:eastAsia="仿宋_GB2312"/>
          <w:sz w:val="32"/>
          <w:szCs w:val="32"/>
        </w:rPr>
        <w:t>其中</w:t>
      </w:r>
      <w:r>
        <w:rPr>
          <w:rFonts w:hint="eastAsia" w:ascii="仿宋_GB2312" w:hAnsi="仿宋" w:eastAsia="仿宋_GB2312"/>
          <w:sz w:val="32"/>
          <w:szCs w:val="32"/>
        </w:rPr>
        <w:t>：</w:t>
      </w:r>
      <w:r>
        <w:rPr>
          <w:rFonts w:ascii="仿宋_GB2312" w:hAnsi="仿宋" w:eastAsia="仿宋_GB2312"/>
          <w:sz w:val="32"/>
          <w:szCs w:val="32"/>
        </w:rPr>
        <w:t>行政编制</w:t>
      </w:r>
      <w:r>
        <w:rPr>
          <w:rFonts w:hint="eastAsia" w:ascii="仿宋_GB2312" w:hAnsi="仿宋" w:eastAsia="仿宋_GB2312"/>
          <w:sz w:val="32"/>
          <w:szCs w:val="32"/>
        </w:rPr>
        <w:t>1</w:t>
      </w:r>
      <w:r>
        <w:rPr>
          <w:rFonts w:ascii="仿宋_GB2312" w:hAnsi="仿宋" w:eastAsia="仿宋_GB2312"/>
          <w:sz w:val="32"/>
          <w:szCs w:val="32"/>
        </w:rPr>
        <w:t>0名</w:t>
      </w:r>
      <w:r>
        <w:rPr>
          <w:rFonts w:hint="eastAsia" w:ascii="仿宋_GB2312" w:hAnsi="仿宋" w:eastAsia="仿宋_GB2312"/>
          <w:sz w:val="32"/>
          <w:szCs w:val="32"/>
        </w:rPr>
        <w:t>、</w:t>
      </w:r>
      <w:r>
        <w:rPr>
          <w:rFonts w:ascii="仿宋_GB2312" w:hAnsi="仿宋" w:eastAsia="仿宋_GB2312"/>
          <w:sz w:val="32"/>
          <w:szCs w:val="32"/>
        </w:rPr>
        <w:t>参公事业编制</w:t>
      </w:r>
      <w:r>
        <w:rPr>
          <w:rFonts w:hint="eastAsia" w:ascii="仿宋_GB2312" w:hAnsi="仿宋" w:eastAsia="仿宋_GB2312"/>
          <w:sz w:val="32"/>
          <w:szCs w:val="32"/>
        </w:rPr>
        <w:t>99</w:t>
      </w:r>
      <w:r>
        <w:rPr>
          <w:rFonts w:ascii="仿宋_GB2312" w:hAnsi="仿宋" w:eastAsia="仿宋_GB2312"/>
          <w:sz w:val="32"/>
          <w:szCs w:val="32"/>
        </w:rPr>
        <w:t>名</w:t>
      </w:r>
      <w:r>
        <w:rPr>
          <w:rFonts w:hint="eastAsia" w:ascii="仿宋_GB2312" w:hAnsi="仿宋" w:eastAsia="仿宋_GB2312"/>
          <w:sz w:val="32"/>
          <w:szCs w:val="32"/>
        </w:rPr>
        <w:t>，较上年减少5名。主要变动原因是根据《中共沐川县委机构编制委员会关于统筹收回部分行政执法类事业编制的通知》（沐编发﹝2022﹞18号）文件收回县综合执法局下属参公事业单位编制5名。</w:t>
      </w:r>
    </w:p>
    <w:p w14:paraId="2E44D071">
      <w:pPr>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截止2</w:t>
      </w:r>
      <w:r>
        <w:rPr>
          <w:rFonts w:ascii="仿宋_GB2312" w:hAnsi="仿宋" w:eastAsia="仿宋_GB2312"/>
          <w:sz w:val="32"/>
          <w:szCs w:val="32"/>
        </w:rPr>
        <w:t>02</w:t>
      </w:r>
      <w:r>
        <w:rPr>
          <w:rFonts w:hint="eastAsia" w:ascii="仿宋_GB2312" w:hAnsi="仿宋" w:eastAsia="仿宋_GB2312"/>
          <w:sz w:val="32"/>
          <w:szCs w:val="32"/>
        </w:rPr>
        <w:t>2</w:t>
      </w:r>
      <w:r>
        <w:rPr>
          <w:rFonts w:ascii="仿宋_GB2312" w:hAnsi="仿宋" w:eastAsia="仿宋_GB2312"/>
          <w:sz w:val="32"/>
          <w:szCs w:val="32"/>
        </w:rPr>
        <w:t>年底实有在职在编人员</w:t>
      </w:r>
      <w:r>
        <w:rPr>
          <w:rFonts w:hint="eastAsia" w:ascii="仿宋_GB2312" w:hAnsi="仿宋" w:eastAsia="仿宋_GB2312"/>
          <w:sz w:val="32"/>
          <w:szCs w:val="32"/>
        </w:rPr>
        <w:t>77</w:t>
      </w:r>
      <w:r>
        <w:rPr>
          <w:rFonts w:ascii="仿宋_GB2312" w:hAnsi="仿宋" w:eastAsia="仿宋_GB2312"/>
          <w:sz w:val="32"/>
          <w:szCs w:val="32"/>
        </w:rPr>
        <w:t>人</w:t>
      </w:r>
      <w:r>
        <w:rPr>
          <w:rFonts w:hint="eastAsia" w:ascii="仿宋_GB2312" w:hAnsi="仿宋" w:eastAsia="仿宋_GB2312"/>
          <w:sz w:val="32"/>
          <w:szCs w:val="32"/>
        </w:rPr>
        <w:t>，</w:t>
      </w:r>
      <w:r>
        <w:rPr>
          <w:rFonts w:ascii="仿宋_GB2312" w:hAnsi="仿宋" w:eastAsia="仿宋_GB2312"/>
          <w:sz w:val="32"/>
          <w:szCs w:val="32"/>
        </w:rPr>
        <w:t>其中</w:t>
      </w:r>
      <w:r>
        <w:rPr>
          <w:rFonts w:hint="eastAsia" w:ascii="仿宋_GB2312" w:hAnsi="仿宋" w:eastAsia="仿宋_GB2312"/>
          <w:sz w:val="32"/>
          <w:szCs w:val="32"/>
        </w:rPr>
        <w:t>：</w:t>
      </w:r>
      <w:r>
        <w:rPr>
          <w:rFonts w:ascii="仿宋_GB2312" w:hAnsi="仿宋" w:eastAsia="仿宋_GB2312"/>
          <w:sz w:val="32"/>
          <w:szCs w:val="32"/>
        </w:rPr>
        <w:t>行政人员</w:t>
      </w:r>
      <w:r>
        <w:rPr>
          <w:rFonts w:hint="eastAsia" w:ascii="仿宋_GB2312" w:hAnsi="仿宋" w:eastAsia="仿宋_GB2312"/>
          <w:sz w:val="32"/>
          <w:szCs w:val="32"/>
        </w:rPr>
        <w:t>10人、参公事业人员39</w:t>
      </w:r>
      <w:r>
        <w:rPr>
          <w:rFonts w:ascii="仿宋_GB2312" w:hAnsi="仿宋" w:eastAsia="仿宋_GB2312"/>
          <w:sz w:val="32"/>
          <w:szCs w:val="32"/>
        </w:rPr>
        <w:t>人</w:t>
      </w:r>
      <w:r>
        <w:rPr>
          <w:rFonts w:hint="eastAsia" w:ascii="仿宋_GB2312" w:hAnsi="仿宋" w:eastAsia="仿宋_GB2312"/>
          <w:sz w:val="32"/>
          <w:szCs w:val="32"/>
        </w:rPr>
        <w:t>、</w:t>
      </w:r>
      <w:r>
        <w:rPr>
          <w:rFonts w:ascii="仿宋_GB2312" w:hAnsi="仿宋" w:eastAsia="仿宋_GB2312"/>
          <w:sz w:val="32"/>
          <w:szCs w:val="32"/>
        </w:rPr>
        <w:t>机关工勤人员</w:t>
      </w:r>
      <w:r>
        <w:rPr>
          <w:rFonts w:hint="eastAsia" w:ascii="仿宋_GB2312" w:hAnsi="仿宋" w:eastAsia="仿宋_GB2312"/>
          <w:sz w:val="32"/>
          <w:szCs w:val="32"/>
        </w:rPr>
        <w:t>28</w:t>
      </w:r>
      <w:r>
        <w:rPr>
          <w:rFonts w:ascii="仿宋_GB2312" w:hAnsi="仿宋" w:eastAsia="仿宋_GB2312"/>
          <w:sz w:val="32"/>
          <w:szCs w:val="32"/>
        </w:rPr>
        <w:t>人</w:t>
      </w:r>
      <w:r>
        <w:rPr>
          <w:rFonts w:hint="eastAsia" w:ascii="仿宋_GB2312" w:hAnsi="仿宋" w:eastAsia="仿宋_GB2312"/>
          <w:sz w:val="32"/>
          <w:szCs w:val="32"/>
        </w:rPr>
        <w:t>。另：临聘协助执法人员73</w:t>
      </w:r>
      <w:r>
        <w:rPr>
          <w:rFonts w:ascii="仿宋_GB2312" w:hAnsi="仿宋" w:eastAsia="仿宋_GB2312"/>
          <w:sz w:val="32"/>
          <w:szCs w:val="32"/>
        </w:rPr>
        <w:t>人</w:t>
      </w:r>
      <w:r>
        <w:rPr>
          <w:rFonts w:hint="eastAsia" w:ascii="仿宋_GB2312" w:hAnsi="仿宋" w:eastAsia="仿宋_GB2312"/>
          <w:sz w:val="32"/>
          <w:szCs w:val="32"/>
        </w:rPr>
        <w:t>，</w:t>
      </w:r>
      <w:r>
        <w:rPr>
          <w:rFonts w:ascii="仿宋_GB2312" w:hAnsi="仿宋" w:eastAsia="仿宋_GB2312"/>
          <w:sz w:val="32"/>
          <w:szCs w:val="32"/>
        </w:rPr>
        <w:t>遗属</w:t>
      </w:r>
      <w:r>
        <w:rPr>
          <w:rFonts w:hint="eastAsia" w:ascii="仿宋_GB2312" w:hAnsi="仿宋" w:eastAsia="仿宋_GB2312"/>
          <w:sz w:val="32"/>
          <w:szCs w:val="32"/>
        </w:rPr>
        <w:t>1人。</w:t>
      </w:r>
    </w:p>
    <w:p w14:paraId="46D3F661">
      <w:pPr>
        <w:spacing w:line="600" w:lineRule="exact"/>
        <w:ind w:firstLine="640" w:firstLineChars="200"/>
        <w:rPr>
          <w:rFonts w:eastAsia="黑体"/>
          <w:sz w:val="32"/>
          <w:szCs w:val="32"/>
        </w:rPr>
      </w:pPr>
      <w:r>
        <w:rPr>
          <w:rFonts w:eastAsia="黑体"/>
          <w:sz w:val="32"/>
          <w:szCs w:val="32"/>
        </w:rPr>
        <w:t>二、部门财政资金收支情况</w:t>
      </w:r>
    </w:p>
    <w:p w14:paraId="44729272">
      <w:pPr>
        <w:spacing w:line="600" w:lineRule="exact"/>
        <w:ind w:firstLine="643" w:firstLineChars="200"/>
        <w:rPr>
          <w:rFonts w:ascii="楷体" w:hAnsi="楷体" w:eastAsia="楷体"/>
          <w:b/>
          <w:sz w:val="32"/>
          <w:szCs w:val="32"/>
        </w:rPr>
      </w:pPr>
      <w:r>
        <w:rPr>
          <w:rFonts w:ascii="楷体" w:hAnsi="楷体" w:eastAsia="楷体"/>
          <w:b/>
          <w:sz w:val="32"/>
          <w:szCs w:val="32"/>
        </w:rPr>
        <w:t>(一)部门财政资金收入情况</w:t>
      </w:r>
    </w:p>
    <w:p w14:paraId="1836F2E8">
      <w:pPr>
        <w:spacing w:line="600" w:lineRule="exact"/>
        <w:ind w:firstLine="640" w:firstLineChars="200"/>
        <w:rPr>
          <w:rFonts w:ascii="仿宋_GB2312" w:hAnsi="Courier New" w:eastAsia="仿宋_GB2312" w:cs="Courier New"/>
          <w:sz w:val="32"/>
          <w:szCs w:val="32"/>
        </w:rPr>
      </w:pPr>
      <w:r>
        <w:rPr>
          <w:rFonts w:hint="eastAsia" w:ascii="仿宋_GB2312" w:hAnsi="Courier New" w:eastAsia="仿宋_GB2312" w:cs="Courier New"/>
          <w:sz w:val="32"/>
          <w:szCs w:val="32"/>
        </w:rPr>
        <w:t>沐川县综合行政执法局2022年全年预算收入1818.69万元，其中：</w:t>
      </w:r>
    </w:p>
    <w:p w14:paraId="3ACF8FFC">
      <w:pPr>
        <w:widowControl/>
        <w:adjustRightInd w:val="0"/>
        <w:snapToGrid w:val="0"/>
        <w:spacing w:line="600" w:lineRule="exact"/>
        <w:ind w:firstLine="643"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b/>
          <w:color w:val="000000"/>
          <w:kern w:val="0"/>
          <w:sz w:val="32"/>
          <w:szCs w:val="32"/>
          <w:shd w:val="clear" w:color="auto" w:fill="FFFFFF"/>
          <w:lang w:val="zh-CN"/>
        </w:rPr>
        <w:t>1.年初预算收入。</w:t>
      </w:r>
      <w:r>
        <w:rPr>
          <w:rFonts w:hint="eastAsia" w:ascii="仿宋_GB2312" w:hAnsi="宋体" w:eastAsia="仿宋_GB2312" w:cs="宋体"/>
          <w:color w:val="000000"/>
          <w:kern w:val="0"/>
          <w:sz w:val="32"/>
          <w:szCs w:val="32"/>
          <w:shd w:val="clear" w:color="auto" w:fill="FFFFFF"/>
          <w:lang w:val="zh-CN"/>
        </w:rPr>
        <w:t>根据《沐川县财政局关于批复2022年部门预算的通知》（沐财发〔2022〕23号）文件，县财政局下达我单位年初预算收入1599.26万元，主要是一般公共预算财政拨款收入。其中：基本支出1248.46万元，项目支出350.80万元。</w:t>
      </w:r>
    </w:p>
    <w:p w14:paraId="6DCE5771">
      <w:pPr>
        <w:widowControl/>
        <w:adjustRightInd w:val="0"/>
        <w:snapToGrid w:val="0"/>
        <w:spacing w:line="600" w:lineRule="exact"/>
        <w:ind w:firstLine="643"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b/>
          <w:color w:val="000000"/>
          <w:kern w:val="0"/>
          <w:sz w:val="32"/>
          <w:szCs w:val="32"/>
          <w:shd w:val="clear" w:color="auto" w:fill="FFFFFF"/>
          <w:lang w:val="zh-CN"/>
        </w:rPr>
        <w:t>2.调整预算收入。</w:t>
      </w:r>
      <w:r>
        <w:rPr>
          <w:rFonts w:hint="eastAsia" w:ascii="仿宋_GB2312" w:hAnsi="宋体" w:eastAsia="仿宋_GB2312" w:cs="宋体"/>
          <w:color w:val="000000"/>
          <w:kern w:val="0"/>
          <w:sz w:val="32"/>
          <w:szCs w:val="32"/>
          <w:shd w:val="clear" w:color="auto" w:fill="FFFFFF"/>
          <w:lang w:val="zh-CN"/>
        </w:rPr>
        <w:t>2022年执行中在年初预算的基础上调整增加收入219.43万元。具体调整情况如下：</w:t>
      </w:r>
    </w:p>
    <w:p w14:paraId="377B64B5">
      <w:pPr>
        <w:widowControl/>
        <w:adjustRightInd w:val="0"/>
        <w:snapToGrid w:val="0"/>
        <w:spacing w:line="600" w:lineRule="exact"/>
        <w:ind w:firstLine="640" w:firstLineChars="200"/>
        <w:contextualSpacing/>
        <w:jc w:val="left"/>
        <w:rPr>
          <w:rFonts w:ascii="仿宋_GB2312" w:hAnsi="仿宋" w:eastAsia="仿宋_GB2312" w:cs="仿宋"/>
          <w:bCs/>
          <w:sz w:val="32"/>
          <w:szCs w:val="32"/>
        </w:rPr>
      </w:pPr>
      <w:r>
        <w:rPr>
          <w:rFonts w:hint="eastAsia" w:ascii="仿宋_GB2312" w:hAnsi="宋体" w:eastAsia="仿宋_GB2312" w:cs="宋体"/>
          <w:color w:val="000000"/>
          <w:kern w:val="0"/>
          <w:sz w:val="32"/>
          <w:szCs w:val="32"/>
          <w:shd w:val="clear" w:color="auto" w:fill="FFFFFF"/>
          <w:lang w:val="zh-CN"/>
        </w:rPr>
        <w:t>（1）基本支出调整情况。</w:t>
      </w:r>
      <w:r>
        <w:rPr>
          <w:rFonts w:hint="eastAsia" w:ascii="仿宋_GB2312" w:hAnsi="仿宋" w:eastAsia="仿宋_GB2312" w:cs="仿宋"/>
          <w:bCs/>
          <w:sz w:val="32"/>
          <w:szCs w:val="32"/>
        </w:rPr>
        <w:t>基本支出调整增加307.18万元，主要用于计发</w:t>
      </w:r>
      <w:r>
        <w:rPr>
          <w:rFonts w:ascii="仿宋_GB2312" w:hAnsi="仿宋" w:eastAsia="仿宋_GB2312" w:cs="仿宋"/>
          <w:bCs/>
          <w:sz w:val="32"/>
          <w:szCs w:val="32"/>
        </w:rPr>
        <w:t>202</w:t>
      </w:r>
      <w:r>
        <w:rPr>
          <w:rFonts w:hint="eastAsia" w:ascii="仿宋_GB2312" w:hAnsi="仿宋" w:eastAsia="仿宋_GB2312" w:cs="仿宋"/>
          <w:bCs/>
          <w:sz w:val="32"/>
          <w:szCs w:val="32"/>
        </w:rPr>
        <w:t>1年年度考核奖和2022年公务员（参公）基础性绩效、事业和工勤人员基本绩效工资以及正常调资追加等。</w:t>
      </w:r>
    </w:p>
    <w:p w14:paraId="4B706EE4">
      <w:pPr>
        <w:spacing w:line="600" w:lineRule="exact"/>
        <w:ind w:firstLine="640" w:firstLineChars="200"/>
        <w:rPr>
          <w:rFonts w:ascii="仿宋_GB2312" w:hAnsi="Courier New" w:eastAsia="仿宋_GB2312" w:cs="Courier New"/>
          <w:sz w:val="32"/>
          <w:szCs w:val="32"/>
        </w:rPr>
      </w:pPr>
      <w:r>
        <w:rPr>
          <w:rFonts w:hint="eastAsia" w:ascii="仿宋_GB2312" w:hAnsi="Courier New" w:eastAsia="仿宋_GB2312" w:cs="Courier New"/>
          <w:sz w:val="32"/>
          <w:szCs w:val="32"/>
        </w:rPr>
        <w:t>（2）项目支出调整情况。</w:t>
      </w:r>
      <w:r>
        <w:rPr>
          <w:rFonts w:hint="eastAsia" w:ascii="仿宋_GB2312" w:hAnsi="仿宋" w:eastAsia="仿宋_GB2312" w:cs="仿宋"/>
          <w:bCs/>
          <w:sz w:val="32"/>
          <w:szCs w:val="32"/>
        </w:rPr>
        <w:t>执行中调整减少项目支出87.75万元，其中：21名安置人员工资及保险费用项目减少1.46万元、船舶运维费项目减少8.68万元、政务运转工作经费项目减少9.69万元、综合执法能力建设经费项目减少67.21万元、执法执勤用车购置经费项目减少0.71万元。</w:t>
      </w:r>
    </w:p>
    <w:p w14:paraId="204BE767">
      <w:pPr>
        <w:spacing w:line="600" w:lineRule="exact"/>
        <w:ind w:firstLine="643" w:firstLineChars="200"/>
        <w:rPr>
          <w:rFonts w:ascii="楷体" w:hAnsi="楷体" w:eastAsia="楷体"/>
          <w:b/>
          <w:sz w:val="32"/>
          <w:szCs w:val="32"/>
        </w:rPr>
      </w:pPr>
      <w:r>
        <w:rPr>
          <w:rFonts w:ascii="楷体" w:hAnsi="楷体" w:eastAsia="楷体"/>
          <w:b/>
          <w:sz w:val="32"/>
          <w:szCs w:val="32"/>
        </w:rPr>
        <w:t xml:space="preserve"> (二)部门财政资金支出情况</w:t>
      </w:r>
    </w:p>
    <w:p w14:paraId="59ECD2E0">
      <w:pPr>
        <w:widowControl/>
        <w:adjustRightInd w:val="0"/>
        <w:snapToGrid w:val="0"/>
        <w:spacing w:line="600" w:lineRule="exact"/>
        <w:ind w:firstLine="640" w:firstLineChars="200"/>
        <w:contextualSpacing/>
        <w:jc w:val="left"/>
        <w:rPr>
          <w:rFonts w:ascii="楷体_GB2312" w:hAnsi="宋体" w:eastAsia="楷体_GB2312" w:cs="宋体"/>
          <w:color w:val="000000"/>
          <w:kern w:val="0"/>
          <w:sz w:val="32"/>
          <w:szCs w:val="32"/>
          <w:shd w:val="clear" w:color="auto" w:fill="FFFFFF"/>
          <w:lang w:val="zh-CN"/>
        </w:rPr>
      </w:pPr>
      <w:r>
        <w:rPr>
          <w:rFonts w:hint="eastAsia" w:ascii="仿宋_GB2312" w:hAnsi="仿宋" w:eastAsia="仿宋_GB2312"/>
          <w:sz w:val="32"/>
          <w:szCs w:val="32"/>
        </w:rPr>
        <w:t>2</w:t>
      </w:r>
      <w:r>
        <w:rPr>
          <w:rFonts w:ascii="仿宋_GB2312" w:hAnsi="仿宋" w:eastAsia="仿宋_GB2312"/>
          <w:sz w:val="32"/>
          <w:szCs w:val="32"/>
        </w:rPr>
        <w:t>02</w:t>
      </w:r>
      <w:r>
        <w:rPr>
          <w:rFonts w:hint="eastAsia" w:ascii="仿宋_GB2312" w:hAnsi="仿宋" w:eastAsia="仿宋_GB2312"/>
          <w:sz w:val="32"/>
          <w:szCs w:val="32"/>
        </w:rPr>
        <w:t>2</w:t>
      </w:r>
      <w:r>
        <w:rPr>
          <w:rFonts w:ascii="仿宋_GB2312" w:hAnsi="仿宋" w:eastAsia="仿宋_GB2312"/>
          <w:sz w:val="32"/>
          <w:szCs w:val="32"/>
        </w:rPr>
        <w:t>年财政拨款支出</w:t>
      </w:r>
      <w:r>
        <w:rPr>
          <w:rFonts w:hint="eastAsia" w:ascii="仿宋_GB2312" w:hAnsi="仿宋" w:eastAsia="仿宋_GB2312"/>
          <w:sz w:val="32"/>
          <w:szCs w:val="32"/>
        </w:rPr>
        <w:t>1818.69</w:t>
      </w:r>
      <w:r>
        <w:rPr>
          <w:rFonts w:ascii="仿宋_GB2312" w:hAnsi="仿宋" w:eastAsia="仿宋_GB2312"/>
          <w:sz w:val="32"/>
          <w:szCs w:val="32"/>
        </w:rPr>
        <w:t>万元</w:t>
      </w:r>
      <w:r>
        <w:rPr>
          <w:rFonts w:hint="eastAsia" w:ascii="仿宋_GB2312" w:hAnsi="仿宋" w:eastAsia="仿宋_GB2312"/>
          <w:sz w:val="32"/>
          <w:szCs w:val="32"/>
        </w:rPr>
        <w:t>，</w:t>
      </w:r>
      <w:r>
        <w:rPr>
          <w:rFonts w:hint="eastAsia" w:ascii="仿宋_GB2312" w:eastAsia="仿宋_GB2312"/>
          <w:sz w:val="32"/>
          <w:szCs w:val="32"/>
        </w:rPr>
        <w:t>按支出性质分类，其中：基本支出1555.64万元、项目支出263.05万元。按支出经济分类，其中：工资福利支出1500.20</w:t>
      </w:r>
      <w:r>
        <w:rPr>
          <w:rFonts w:ascii="仿宋_GB2312" w:eastAsia="仿宋_GB2312"/>
          <w:sz w:val="32"/>
          <w:szCs w:val="32"/>
        </w:rPr>
        <w:t>万元</w:t>
      </w:r>
      <w:r>
        <w:rPr>
          <w:rFonts w:hint="eastAsia" w:ascii="仿宋_GB2312" w:eastAsia="仿宋_GB2312"/>
          <w:sz w:val="32"/>
          <w:szCs w:val="32"/>
        </w:rPr>
        <w:t>、商品和服务支出259.79万元、对个人和家庭的补助支出8.63万元、资本性支出50.07万元。</w:t>
      </w:r>
    </w:p>
    <w:p w14:paraId="71548C52">
      <w:pPr>
        <w:spacing w:line="600" w:lineRule="exact"/>
        <w:ind w:firstLine="640" w:firstLineChars="200"/>
        <w:rPr>
          <w:rFonts w:eastAsia="黑体"/>
          <w:sz w:val="32"/>
          <w:szCs w:val="32"/>
        </w:rPr>
      </w:pPr>
      <w:r>
        <w:rPr>
          <w:rFonts w:eastAsia="黑体"/>
          <w:sz w:val="32"/>
          <w:szCs w:val="32"/>
        </w:rPr>
        <w:t>三、部门预算管理情况</w:t>
      </w:r>
    </w:p>
    <w:p w14:paraId="607282DA">
      <w:pPr>
        <w:spacing w:line="600" w:lineRule="exact"/>
        <w:ind w:firstLine="643" w:firstLineChars="200"/>
        <w:rPr>
          <w:rFonts w:eastAsia="仿宋_GB2312"/>
          <w:sz w:val="32"/>
          <w:szCs w:val="32"/>
        </w:rPr>
      </w:pPr>
      <w:r>
        <w:rPr>
          <w:rFonts w:ascii="楷体" w:hAnsi="楷体" w:eastAsia="楷体"/>
          <w:b/>
          <w:sz w:val="32"/>
          <w:szCs w:val="32"/>
        </w:rPr>
        <w:t>(一)预算编制情况。</w:t>
      </w:r>
    </w:p>
    <w:p w14:paraId="04EBE6D1">
      <w:pPr>
        <w:spacing w:line="600" w:lineRule="exact"/>
        <w:ind w:firstLine="640" w:firstLineChars="200"/>
        <w:rPr>
          <w:rFonts w:eastAsia="仿宋_GB2312"/>
          <w:sz w:val="32"/>
          <w:szCs w:val="32"/>
        </w:rPr>
      </w:pPr>
      <w:r>
        <w:rPr>
          <w:rFonts w:hint="eastAsia" w:eastAsia="仿宋_GB2312"/>
          <w:sz w:val="32"/>
          <w:szCs w:val="32"/>
        </w:rPr>
        <w:t>我单位严格按照</w:t>
      </w:r>
      <w:r>
        <w:rPr>
          <w:rFonts w:hint="eastAsia" w:ascii="仿宋_GB2312" w:eastAsia="仿宋_GB2312"/>
          <w:sz w:val="32"/>
          <w:szCs w:val="32"/>
        </w:rPr>
        <w:t>《沐川县财政局关于编制2022年部门预算的通知》（沐财发〔</w:t>
      </w:r>
      <w:r>
        <w:rPr>
          <w:rFonts w:eastAsia="仿宋_GB2312"/>
          <w:sz w:val="32"/>
          <w:szCs w:val="32"/>
        </w:rPr>
        <w:t>20</w:t>
      </w:r>
      <w:r>
        <w:rPr>
          <w:rFonts w:hint="eastAsia" w:eastAsia="仿宋_GB2312"/>
          <w:sz w:val="32"/>
          <w:szCs w:val="32"/>
        </w:rPr>
        <w:t>21</w:t>
      </w:r>
      <w:r>
        <w:rPr>
          <w:rFonts w:hint="eastAsia" w:ascii="仿宋_GB2312" w:eastAsia="仿宋_GB2312"/>
          <w:sz w:val="32"/>
          <w:szCs w:val="32"/>
        </w:rPr>
        <w:t>〕</w:t>
      </w:r>
      <w:r>
        <w:rPr>
          <w:rFonts w:hint="eastAsia" w:eastAsia="仿宋_GB2312"/>
          <w:sz w:val="32"/>
          <w:szCs w:val="32"/>
        </w:rPr>
        <w:t>80</w:t>
      </w:r>
      <w:r>
        <w:rPr>
          <w:rFonts w:hint="eastAsia" w:ascii="仿宋_GB2312" w:eastAsia="仿宋_GB2312"/>
          <w:sz w:val="32"/>
          <w:szCs w:val="32"/>
        </w:rPr>
        <w:t>号）文件要求围绕部门职能职责，以预算资金管理为主线，</w:t>
      </w:r>
      <w:r>
        <w:rPr>
          <w:rFonts w:hint="eastAsia" w:ascii="仿宋_GB2312" w:hAnsi="仿宋" w:eastAsia="仿宋_GB2312" w:cs="仿宋"/>
          <w:bCs/>
          <w:color w:val="000000"/>
          <w:sz w:val="32"/>
          <w:szCs w:val="32"/>
        </w:rPr>
        <w:t>结合单位中长期发展战略目标和当年工作规划以及重点工作安排</w:t>
      </w:r>
      <w:r>
        <w:rPr>
          <w:rFonts w:hint="eastAsia" w:eastAsia="仿宋_GB2312"/>
          <w:color w:val="000000"/>
          <w:kern w:val="0"/>
          <w:sz w:val="32"/>
          <w:szCs w:val="32"/>
        </w:rPr>
        <w:t>完成部门年初预算编制工作。</w:t>
      </w:r>
      <w:r>
        <w:rPr>
          <w:rFonts w:hint="eastAsia" w:ascii="仿宋_GB2312" w:hAnsi="仿宋" w:eastAsia="仿宋_GB2312" w:cs="仿宋"/>
          <w:bCs/>
          <w:color w:val="000000"/>
          <w:sz w:val="32"/>
          <w:szCs w:val="32"/>
        </w:rPr>
        <w:t>在编制过程中认真核实本部门实际财政供养人数和单位实有编制情况，正确梳理单位人员经费、公用经费和项目经费，准确编制项目绩效目标，确保预算质量和精细化程度。</w:t>
      </w:r>
      <w:r>
        <w:rPr>
          <w:rFonts w:eastAsia="仿宋_GB2312"/>
          <w:sz w:val="32"/>
          <w:szCs w:val="32"/>
        </w:rPr>
        <w:t>县综合执法局部门预算主要是一般公共预算</w:t>
      </w:r>
      <w:r>
        <w:rPr>
          <w:rFonts w:hint="eastAsia" w:eastAsia="仿宋_GB2312"/>
          <w:sz w:val="32"/>
          <w:szCs w:val="32"/>
        </w:rPr>
        <w:t>财政</w:t>
      </w:r>
      <w:r>
        <w:rPr>
          <w:rFonts w:eastAsia="仿宋_GB2312"/>
          <w:sz w:val="32"/>
          <w:szCs w:val="32"/>
        </w:rPr>
        <w:t>拨款收入</w:t>
      </w:r>
      <w:r>
        <w:rPr>
          <w:rFonts w:hint="eastAsia" w:eastAsia="仿宋_GB2312"/>
          <w:sz w:val="32"/>
          <w:szCs w:val="32"/>
        </w:rPr>
        <w:t>，</w:t>
      </w:r>
      <w:r>
        <w:rPr>
          <w:rFonts w:eastAsia="仿宋_GB2312"/>
          <w:sz w:val="32"/>
          <w:szCs w:val="32"/>
        </w:rPr>
        <w:t>用于保障单位正常运转</w:t>
      </w:r>
      <w:r>
        <w:rPr>
          <w:rFonts w:hint="eastAsia" w:eastAsia="仿宋_GB2312"/>
          <w:sz w:val="32"/>
          <w:szCs w:val="32"/>
        </w:rPr>
        <w:t>、</w:t>
      </w:r>
      <w:r>
        <w:rPr>
          <w:rFonts w:eastAsia="仿宋_GB2312"/>
          <w:sz w:val="32"/>
          <w:szCs w:val="32"/>
        </w:rPr>
        <w:t>完成日常工作任务以及承担的综合行政执法事业发展相关工作</w:t>
      </w:r>
      <w:r>
        <w:rPr>
          <w:rFonts w:hint="eastAsia" w:eastAsia="仿宋_GB2312"/>
          <w:sz w:val="32"/>
          <w:szCs w:val="32"/>
        </w:rPr>
        <w:t>。</w:t>
      </w:r>
      <w:r>
        <w:rPr>
          <w:rFonts w:hint="eastAsia" w:ascii="仿宋_GB2312" w:hAnsi="仿宋" w:eastAsia="仿宋_GB2312" w:cs="仿宋"/>
          <w:bCs/>
          <w:color w:val="000000"/>
          <w:sz w:val="32"/>
          <w:szCs w:val="32"/>
        </w:rPr>
        <w:t>预算编制准确，与资金使用内容、范围、方向紧密相关。</w:t>
      </w:r>
    </w:p>
    <w:p w14:paraId="26AF7598">
      <w:pPr>
        <w:spacing w:line="600" w:lineRule="exact"/>
        <w:ind w:firstLine="643" w:firstLineChars="200"/>
        <w:rPr>
          <w:rFonts w:ascii="楷体" w:hAnsi="楷体" w:eastAsia="楷体"/>
          <w:b/>
          <w:sz w:val="32"/>
          <w:szCs w:val="32"/>
        </w:rPr>
      </w:pPr>
      <w:r>
        <w:rPr>
          <w:rFonts w:ascii="楷体" w:hAnsi="楷体" w:eastAsia="楷体"/>
          <w:b/>
          <w:sz w:val="32"/>
          <w:szCs w:val="32"/>
        </w:rPr>
        <w:t>(二)预算执行情况。</w:t>
      </w:r>
    </w:p>
    <w:p w14:paraId="71CA1A6E">
      <w:pPr>
        <w:widowControl/>
        <w:adjustRightInd w:val="0"/>
        <w:snapToGrid w:val="0"/>
        <w:spacing w:line="600" w:lineRule="exact"/>
        <w:ind w:firstLine="640" w:firstLineChars="200"/>
        <w:contextualSpacing/>
        <w:jc w:val="left"/>
        <w:rPr>
          <w:rFonts w:ascii="仿宋_GB2312" w:hAnsi="仿宋" w:eastAsia="仿宋_GB2312" w:cs="仿宋"/>
          <w:bCs/>
          <w:color w:val="000000"/>
          <w:sz w:val="32"/>
          <w:szCs w:val="32"/>
        </w:rPr>
      </w:pPr>
      <w:r>
        <w:rPr>
          <w:rFonts w:hint="eastAsia" w:ascii="仿宋_GB2312" w:hAnsi="仿宋" w:eastAsia="仿宋_GB2312" w:cs="仿宋"/>
          <w:bCs/>
          <w:color w:val="000000"/>
          <w:sz w:val="32"/>
          <w:szCs w:val="32"/>
        </w:rPr>
        <w:t>我单位在预算执行过程中严格按照《沐川县财政局关于印发</w:t>
      </w:r>
      <w:r>
        <w:rPr>
          <w:rFonts w:ascii="仿宋_GB2312" w:hAnsi="仿宋" w:eastAsia="仿宋_GB2312" w:cs="仿宋"/>
          <w:bCs/>
          <w:color w:val="000000"/>
          <w:sz w:val="32"/>
          <w:szCs w:val="32"/>
        </w:rPr>
        <w:t>&lt;2019</w:t>
      </w:r>
      <w:r>
        <w:rPr>
          <w:rFonts w:hint="eastAsia" w:ascii="仿宋_GB2312" w:hAnsi="仿宋" w:eastAsia="仿宋_GB2312" w:cs="仿宋"/>
          <w:bCs/>
          <w:color w:val="000000"/>
          <w:sz w:val="32"/>
          <w:szCs w:val="32"/>
        </w:rPr>
        <w:t>年县级部门预算执行规则（试行）</w:t>
      </w:r>
      <w:r>
        <w:rPr>
          <w:rFonts w:ascii="仿宋_GB2312" w:hAnsi="仿宋" w:eastAsia="仿宋_GB2312" w:cs="仿宋"/>
          <w:bCs/>
          <w:color w:val="000000"/>
          <w:sz w:val="32"/>
          <w:szCs w:val="32"/>
        </w:rPr>
        <w:t>&gt;</w:t>
      </w:r>
      <w:r>
        <w:rPr>
          <w:rFonts w:hint="eastAsia" w:ascii="仿宋_GB2312" w:hAnsi="仿宋" w:eastAsia="仿宋_GB2312" w:cs="仿宋"/>
          <w:bCs/>
          <w:color w:val="000000"/>
          <w:sz w:val="32"/>
          <w:szCs w:val="32"/>
        </w:rPr>
        <w:t>的通知》（沐财发</w:t>
      </w:r>
      <w:r>
        <w:rPr>
          <w:rFonts w:hint="eastAsia" w:ascii="微软雅黑" w:hAnsi="微软雅黑" w:eastAsia="微软雅黑" w:cs="微软雅黑"/>
          <w:bCs/>
          <w:color w:val="000000"/>
          <w:sz w:val="32"/>
          <w:szCs w:val="32"/>
        </w:rPr>
        <w:t>﹝</w:t>
      </w:r>
      <w:r>
        <w:rPr>
          <w:rFonts w:ascii="仿宋_GB2312" w:hAnsi="仿宋" w:eastAsia="仿宋_GB2312" w:cs="仿宋"/>
          <w:bCs/>
          <w:color w:val="000000"/>
          <w:sz w:val="32"/>
          <w:szCs w:val="32"/>
        </w:rPr>
        <w:t>2019</w:t>
      </w:r>
      <w:r>
        <w:rPr>
          <w:rFonts w:hint="eastAsia" w:ascii="微软雅黑" w:hAnsi="微软雅黑" w:eastAsia="微软雅黑" w:cs="微软雅黑"/>
          <w:bCs/>
          <w:color w:val="000000"/>
          <w:sz w:val="32"/>
          <w:szCs w:val="32"/>
        </w:rPr>
        <w:t>﹞</w:t>
      </w:r>
      <w:r>
        <w:rPr>
          <w:rFonts w:ascii="仿宋_GB2312" w:hAnsi="仿宋" w:eastAsia="仿宋_GB2312" w:cs="仿宋"/>
          <w:bCs/>
          <w:color w:val="000000"/>
          <w:sz w:val="32"/>
          <w:szCs w:val="32"/>
        </w:rPr>
        <w:t>26</w:t>
      </w:r>
      <w:r>
        <w:rPr>
          <w:rFonts w:hint="eastAsia" w:ascii="仿宋_GB2312" w:hAnsi="仿宋" w:eastAsia="仿宋_GB2312" w:cs="仿宋"/>
          <w:bCs/>
          <w:color w:val="000000"/>
          <w:sz w:val="32"/>
          <w:szCs w:val="32"/>
        </w:rPr>
        <w:t>号）通知要求执行，无无预算、无用款计划、超预算和超计划拨付资金的情况。做好项目前期准备工作，认真编制分月用款计划，及时提供相关资料，加强支出进度。完善预算动态监控，在完成一般性支出压减任务的情况下，确保了机关运行和项目的实施。</w:t>
      </w:r>
    </w:p>
    <w:p w14:paraId="46776E3B">
      <w:pPr>
        <w:spacing w:line="600" w:lineRule="exact"/>
        <w:ind w:firstLine="643" w:firstLineChars="200"/>
        <w:rPr>
          <w:rFonts w:ascii="仿宋_GB2312" w:hAnsi="Courier New" w:eastAsia="仿宋_GB2312" w:cs="Courier New"/>
          <w:b/>
          <w:sz w:val="32"/>
          <w:szCs w:val="32"/>
        </w:rPr>
      </w:pPr>
      <w:r>
        <w:rPr>
          <w:rFonts w:hint="eastAsia" w:ascii="仿宋_GB2312" w:hAnsi="Courier New" w:eastAsia="仿宋_GB2312" w:cs="Courier New"/>
          <w:b/>
          <w:sz w:val="32"/>
          <w:szCs w:val="32"/>
        </w:rPr>
        <w:t>1.支出完成率。</w:t>
      </w:r>
    </w:p>
    <w:p w14:paraId="44FA8295">
      <w:pPr>
        <w:spacing w:line="600" w:lineRule="exact"/>
        <w:ind w:firstLine="640" w:firstLineChars="200"/>
        <w:rPr>
          <w:rFonts w:ascii="仿宋_GB2312" w:hAnsi="Courier New" w:eastAsia="仿宋_GB2312" w:cs="Courier New"/>
          <w:sz w:val="32"/>
          <w:szCs w:val="32"/>
        </w:rPr>
      </w:pPr>
      <w:r>
        <w:rPr>
          <w:rFonts w:hint="eastAsia" w:ascii="仿宋_GB2312" w:hAnsi="仿宋" w:eastAsia="仿宋_GB2312" w:cs="仿宋"/>
          <w:bCs/>
          <w:color w:val="000000"/>
          <w:sz w:val="32"/>
          <w:szCs w:val="32"/>
        </w:rPr>
        <w:t>2022年沐川县综合行政执法局年初预算收入</w:t>
      </w:r>
      <w:r>
        <w:rPr>
          <w:rFonts w:hint="eastAsia" w:ascii="仿宋_GB2312" w:hAnsi="宋体" w:eastAsia="仿宋_GB2312" w:cs="宋体"/>
          <w:color w:val="000000"/>
          <w:kern w:val="0"/>
          <w:sz w:val="32"/>
          <w:szCs w:val="32"/>
          <w:shd w:val="clear" w:color="auto" w:fill="FFFFFF"/>
          <w:lang w:val="zh-CN"/>
        </w:rPr>
        <w:t>1599.26万元，执行中调整增加收入219.43万元。</w:t>
      </w:r>
      <w:r>
        <w:rPr>
          <w:rFonts w:hint="eastAsia" w:ascii="仿宋_GB2312" w:hAnsi="仿宋" w:eastAsia="仿宋_GB2312" w:cs="仿宋"/>
          <w:bCs/>
          <w:color w:val="000000"/>
          <w:sz w:val="32"/>
          <w:szCs w:val="32"/>
        </w:rPr>
        <w:t>支出决算数</w:t>
      </w:r>
      <w:r>
        <w:rPr>
          <w:rFonts w:hint="eastAsia" w:ascii="仿宋_GB2312" w:hAnsi="Courier New" w:eastAsia="仿宋_GB2312" w:cs="Courier New"/>
          <w:sz w:val="32"/>
          <w:szCs w:val="32"/>
        </w:rPr>
        <w:t>1818.69万元。完成预算113.72%（1818.69/1599.26）。</w:t>
      </w:r>
    </w:p>
    <w:p w14:paraId="22AF312F">
      <w:pPr>
        <w:spacing w:line="600" w:lineRule="exact"/>
        <w:ind w:firstLine="643" w:firstLineChars="200"/>
        <w:rPr>
          <w:rFonts w:ascii="仿宋_GB2312" w:hAnsi="Courier New" w:eastAsia="仿宋_GB2312" w:cs="Courier New"/>
          <w:b/>
          <w:sz w:val="32"/>
          <w:szCs w:val="32"/>
        </w:rPr>
      </w:pPr>
      <w:r>
        <w:rPr>
          <w:rFonts w:hint="eastAsia" w:ascii="仿宋_GB2312" w:hAnsi="Courier New" w:eastAsia="仿宋_GB2312" w:cs="Courier New"/>
          <w:b/>
          <w:sz w:val="32"/>
          <w:szCs w:val="32"/>
        </w:rPr>
        <w:t>2.结转结余率。</w:t>
      </w:r>
    </w:p>
    <w:p w14:paraId="54307F65">
      <w:pPr>
        <w:spacing w:line="600" w:lineRule="exact"/>
        <w:ind w:firstLine="640" w:firstLineChars="200"/>
        <w:rPr>
          <w:rFonts w:ascii="仿宋_GB2312" w:hAnsi="Courier New" w:eastAsia="仿宋_GB2312" w:cs="Courier New"/>
          <w:sz w:val="32"/>
          <w:szCs w:val="32"/>
        </w:rPr>
      </w:pPr>
      <w:r>
        <w:rPr>
          <w:rFonts w:hint="eastAsia" w:ascii="仿宋_GB2312" w:hAnsi="Courier New" w:eastAsia="仿宋_GB2312" w:cs="Courier New"/>
          <w:sz w:val="32"/>
          <w:szCs w:val="32"/>
        </w:rPr>
        <w:t>2022年沐川县综合行政执法局年末无结转结余。</w:t>
      </w:r>
    </w:p>
    <w:p w14:paraId="6383F910">
      <w:pPr>
        <w:spacing w:line="600" w:lineRule="exact"/>
        <w:ind w:firstLine="643" w:firstLineChars="200"/>
        <w:rPr>
          <w:rFonts w:ascii="仿宋_GB2312" w:hAnsi="Courier New" w:eastAsia="仿宋_GB2312" w:cs="Courier New"/>
          <w:b/>
          <w:sz w:val="32"/>
          <w:szCs w:val="32"/>
        </w:rPr>
      </w:pPr>
      <w:r>
        <w:rPr>
          <w:rFonts w:hint="eastAsia" w:ascii="仿宋_GB2312" w:hAnsi="Courier New" w:eastAsia="仿宋_GB2312" w:cs="Courier New"/>
          <w:b/>
          <w:sz w:val="32"/>
          <w:szCs w:val="32"/>
        </w:rPr>
        <w:t>3.政府采购执行率</w:t>
      </w:r>
    </w:p>
    <w:p w14:paraId="45A154AC">
      <w:pPr>
        <w:spacing w:line="600" w:lineRule="exact"/>
        <w:ind w:firstLine="640" w:firstLineChars="200"/>
        <w:rPr>
          <w:rFonts w:ascii="仿宋_GB2312" w:hAnsi="Courier New" w:eastAsia="仿宋_GB2312" w:cs="Courier New"/>
          <w:sz w:val="32"/>
          <w:szCs w:val="32"/>
        </w:rPr>
      </w:pPr>
      <w:r>
        <w:rPr>
          <w:rFonts w:hint="eastAsia" w:ascii="仿宋_GB2312" w:hAnsi="Courier New" w:eastAsia="仿宋_GB2312" w:cs="Courier New"/>
          <w:sz w:val="32"/>
          <w:szCs w:val="32"/>
        </w:rPr>
        <w:t>2022年县综合执法局政府采购预算数94.98万元，实际采购数31.66万元，政府采购执行率33.33%（31.66/94.98）。</w:t>
      </w:r>
    </w:p>
    <w:p w14:paraId="53AF028D">
      <w:pPr>
        <w:spacing w:line="600" w:lineRule="exact"/>
        <w:ind w:firstLine="643" w:firstLineChars="200"/>
        <w:rPr>
          <w:rFonts w:ascii="仿宋_GB2312" w:hAnsi="Courier New" w:eastAsia="仿宋_GB2312" w:cs="Courier New"/>
          <w:b/>
          <w:sz w:val="32"/>
          <w:szCs w:val="32"/>
        </w:rPr>
      </w:pPr>
      <w:r>
        <w:rPr>
          <w:rFonts w:hint="eastAsia" w:ascii="仿宋_GB2312" w:hAnsi="Courier New" w:eastAsia="仿宋_GB2312" w:cs="Courier New"/>
          <w:b/>
          <w:sz w:val="32"/>
          <w:szCs w:val="32"/>
        </w:rPr>
        <w:t>4.项目预算管理</w:t>
      </w:r>
    </w:p>
    <w:p w14:paraId="374F60E9">
      <w:pPr>
        <w:spacing w:line="600" w:lineRule="exact"/>
        <w:ind w:firstLine="640" w:firstLineChars="200"/>
        <w:rPr>
          <w:rFonts w:ascii="仿宋_GB2312" w:hAnsi="Courier New" w:eastAsia="仿宋_GB2312" w:cs="Courier New"/>
          <w:sz w:val="32"/>
          <w:szCs w:val="32"/>
        </w:rPr>
      </w:pPr>
      <w:r>
        <w:rPr>
          <w:rFonts w:hint="eastAsia" w:ascii="仿宋_GB2312" w:hAnsi="Courier New" w:eastAsia="仿宋_GB2312" w:cs="Courier New"/>
          <w:sz w:val="32"/>
          <w:szCs w:val="32"/>
        </w:rPr>
        <w:t>沐川县综合行政执法局2022年年初预算项目5个，根据预算绩效管理要求，在年初预算编制阶段，组织对“21名安置人员工资及保险费用”、“政务运转工作经费”、“综合执法能力建设经费”、“船舶及特种设备车辆运维费”、“执法执勤用车购置经费”等5个项目开展了预算事前绩效评估，编制了绩效目标。执行过程中对所有项目开展绩效监控，年度执行完毕后，对所有项目开展了绩效目标完成情况自评。</w:t>
      </w:r>
    </w:p>
    <w:p w14:paraId="06FCB090">
      <w:pPr>
        <w:spacing w:line="600" w:lineRule="exact"/>
        <w:ind w:firstLine="640" w:firstLineChars="200"/>
        <w:rPr>
          <w:rFonts w:ascii="仿宋_GB2312" w:hAnsi="Courier New" w:eastAsia="仿宋_GB2312" w:cs="Courier New"/>
          <w:sz w:val="32"/>
          <w:szCs w:val="32"/>
        </w:rPr>
      </w:pPr>
      <w:r>
        <w:rPr>
          <w:rFonts w:hint="eastAsia" w:ascii="仿宋_GB2312" w:hAnsi="宋体" w:eastAsia="仿宋_GB2312" w:cs="宋体"/>
          <w:color w:val="000000"/>
          <w:kern w:val="0"/>
          <w:sz w:val="32"/>
          <w:szCs w:val="32"/>
          <w:shd w:val="clear" w:color="auto" w:fill="FFFFFF"/>
          <w:lang w:val="zh-CN"/>
        </w:rPr>
        <w:t>我局严格按照预算安排，全面落实省委“三保一优一防”（保运转、保民生、保重点、优结构、防风险）重要要求，</w:t>
      </w:r>
      <w:r>
        <w:rPr>
          <w:rFonts w:hint="eastAsia" w:ascii="仿宋_GB2312" w:hAnsi="宋体" w:eastAsia="仿宋_GB2312" w:cs="宋体"/>
          <w:color w:val="000000"/>
          <w:kern w:val="0"/>
          <w:sz w:val="32"/>
          <w:szCs w:val="32"/>
          <w:shd w:val="clear" w:color="auto" w:fill="FFFFFF"/>
        </w:rPr>
        <w:t>将政府过紧日子作为长期坚持的基本方针，</w:t>
      </w:r>
      <w:r>
        <w:rPr>
          <w:rFonts w:hint="eastAsia" w:ascii="仿宋_GB2312" w:hAnsi="宋体" w:eastAsia="仿宋_GB2312" w:cs="宋体"/>
          <w:color w:val="000000"/>
          <w:kern w:val="0"/>
          <w:sz w:val="32"/>
          <w:szCs w:val="32"/>
          <w:shd w:val="clear" w:color="auto" w:fill="FFFFFF"/>
          <w:lang w:val="zh-CN"/>
        </w:rPr>
        <w:t>厉行节约规范使用预算资金。收入上，严格执行“收支两条线”管理制度，按规定使用非税票据并直接缴入国库，无隐瞒收入和其他违反国家收费管理规定的行为。在支出管理中，认真执行国库集中支付、政府采购、公务卡报销、重点工作和大额支付上会集体决策等相关财务管理制度。认真做好每月与银行的对账工作，加强动态监控，保障机关各项工作顺利开展。</w:t>
      </w:r>
      <w:r>
        <w:rPr>
          <w:rFonts w:hint="eastAsia" w:ascii="仿宋_GB2312" w:hAnsi="仿宋" w:eastAsia="仿宋_GB2312" w:cs="仿宋"/>
          <w:bCs/>
          <w:color w:val="000000"/>
          <w:sz w:val="32"/>
          <w:szCs w:val="32"/>
        </w:rPr>
        <w:t>财政支出绩效良好，无违规记录。</w:t>
      </w:r>
    </w:p>
    <w:p w14:paraId="038AE507">
      <w:pPr>
        <w:spacing w:line="600" w:lineRule="exact"/>
        <w:ind w:firstLine="643" w:firstLineChars="200"/>
        <w:rPr>
          <w:rFonts w:ascii="仿宋_GB2312" w:eastAsia="仿宋_GB2312"/>
          <w:sz w:val="32"/>
          <w:szCs w:val="32"/>
        </w:rPr>
      </w:pPr>
      <w:r>
        <w:rPr>
          <w:rFonts w:hint="eastAsia" w:ascii="仿宋_GB2312" w:eastAsia="仿宋_GB2312"/>
          <w:b/>
          <w:sz w:val="32"/>
          <w:szCs w:val="32"/>
        </w:rPr>
        <w:t>(三)整体绩效情况。</w:t>
      </w:r>
    </w:p>
    <w:p w14:paraId="69E8161C">
      <w:pPr>
        <w:snapToGrid w:val="0"/>
        <w:spacing w:line="600" w:lineRule="exact"/>
        <w:ind w:firstLine="640" w:firstLineChars="200"/>
        <w:rPr>
          <w:rFonts w:ascii="仿宋_GB2312" w:hAnsi="仿宋" w:eastAsia="仿宋_GB2312" w:cs="仿宋_GB2312"/>
          <w:color w:val="000000"/>
          <w:sz w:val="32"/>
          <w:szCs w:val="32"/>
        </w:rPr>
      </w:pPr>
      <w:r>
        <w:rPr>
          <w:rFonts w:hint="eastAsia" w:ascii="仿宋_GB2312" w:hAnsi="仿宋_GB2312" w:eastAsia="仿宋_GB2312" w:cs="仿宋_GB2312"/>
          <w:color w:val="000000"/>
          <w:sz w:val="32"/>
          <w:szCs w:val="32"/>
          <w:shd w:val="clear" w:color="auto" w:fill="FFFFFF"/>
        </w:rPr>
        <w:t>20</w:t>
      </w:r>
      <w:r>
        <w:rPr>
          <w:rFonts w:ascii="仿宋_GB2312" w:hAnsi="仿宋_GB2312" w:eastAsia="仿宋_GB2312" w:cs="仿宋_GB2312"/>
          <w:color w:val="000000"/>
          <w:sz w:val="32"/>
          <w:szCs w:val="32"/>
          <w:shd w:val="clear" w:color="auto" w:fill="FFFFFF"/>
        </w:rPr>
        <w:t>2</w:t>
      </w:r>
      <w:r>
        <w:rPr>
          <w:rFonts w:hint="eastAsia" w:ascii="仿宋_GB2312" w:hAnsi="仿宋_GB2312" w:eastAsia="仿宋_GB2312" w:cs="仿宋_GB2312"/>
          <w:color w:val="000000"/>
          <w:sz w:val="32"/>
          <w:szCs w:val="32"/>
          <w:shd w:val="clear" w:color="auto" w:fill="FFFFFF"/>
        </w:rPr>
        <w:t>2年，我局</w:t>
      </w:r>
      <w:r>
        <w:rPr>
          <w:rFonts w:hint="eastAsia" w:ascii="仿宋_GB2312" w:hAnsi="仿宋_GB2312" w:eastAsia="仿宋_GB2312" w:cs="仿宋_GB2312"/>
          <w:color w:val="000000"/>
          <w:sz w:val="32"/>
          <w:szCs w:val="32"/>
        </w:rPr>
        <w:t>在县委、县政府的坚强领导和全体干部职工不懈奋斗下，</w:t>
      </w:r>
      <w:r>
        <w:rPr>
          <w:rFonts w:hint="eastAsia" w:eastAsia="仿宋_GB2312"/>
          <w:sz w:val="32"/>
          <w:szCs w:val="32"/>
        </w:rPr>
        <w:t>以习近平新时代中国特色社会主义思想为指导，坚持依法行政、执法为民、积极作为，</w:t>
      </w:r>
      <w:r>
        <w:rPr>
          <w:rFonts w:hint="eastAsia" w:ascii="仿宋_GB2312" w:hAnsi="仿宋_GB2312" w:eastAsia="仿宋_GB2312" w:cs="仿宋_GB2312"/>
          <w:color w:val="000000"/>
          <w:sz w:val="32"/>
          <w:szCs w:val="32"/>
        </w:rPr>
        <w:t>综合行政执法改革取得了历史性的成就、实现了跨越式的发展。一年来克服机构改革困难，行业不稳的问题，凝心聚力、攻坚克难、真抓实干，圆满完成县委、县政府下达的各项目标任务</w:t>
      </w:r>
      <w:r>
        <w:rPr>
          <w:rFonts w:hint="eastAsia" w:ascii="仿宋_GB2312" w:hAnsi="宋体" w:eastAsia="仿宋_GB2312"/>
          <w:sz w:val="32"/>
          <w:szCs w:val="32"/>
        </w:rPr>
        <w:t>，取得了显著成效。</w:t>
      </w:r>
      <w:r>
        <w:rPr>
          <w:rFonts w:hint="eastAsia" w:ascii="仿宋_GB2312" w:hAnsi="仿宋" w:eastAsia="仿宋_GB2312" w:cs="仿宋_GB2312"/>
          <w:color w:val="000000"/>
          <w:sz w:val="32"/>
          <w:szCs w:val="32"/>
        </w:rPr>
        <w:t>且单位预、决算编制合理，支出规范，既保障了机关正常运转，又保证了项目运行开支，财政支出绩效良好。部门整体支出绩效目标自评情况如下：</w:t>
      </w:r>
    </w:p>
    <w:p w14:paraId="625F737F">
      <w:pPr>
        <w:pStyle w:val="2"/>
        <w:rPr>
          <w:rFonts w:ascii="仿宋_GB2312" w:hAnsi="仿宋" w:eastAsia="仿宋_GB2312" w:cs="仿宋_GB2312"/>
          <w:color w:val="000000"/>
          <w:sz w:val="32"/>
          <w:szCs w:val="32"/>
        </w:rPr>
      </w:pPr>
    </w:p>
    <w:p w14:paraId="1FDDB3D5">
      <w:pPr>
        <w:pStyle w:val="2"/>
        <w:rPr>
          <w:rFonts w:ascii="仿宋_GB2312" w:hAnsi="仿宋" w:eastAsia="仿宋_GB2312" w:cs="仿宋_GB2312"/>
          <w:color w:val="000000"/>
          <w:sz w:val="32"/>
          <w:szCs w:val="32"/>
        </w:rPr>
      </w:pPr>
    </w:p>
    <w:p w14:paraId="1D67F600">
      <w:pPr>
        <w:pStyle w:val="2"/>
        <w:rPr>
          <w:rFonts w:ascii="仿宋_GB2312" w:hAnsi="仿宋" w:eastAsia="仿宋_GB2312" w:cs="仿宋_GB2312"/>
          <w:color w:val="000000"/>
          <w:sz w:val="32"/>
          <w:szCs w:val="32"/>
        </w:rPr>
      </w:pPr>
    </w:p>
    <w:p w14:paraId="0CF8DB06">
      <w:pPr>
        <w:pStyle w:val="2"/>
        <w:rPr>
          <w:rFonts w:ascii="仿宋_GB2312" w:hAnsi="仿宋" w:eastAsia="仿宋_GB2312" w:cs="仿宋_GB2312"/>
          <w:color w:val="000000"/>
          <w:sz w:val="32"/>
          <w:szCs w:val="32"/>
        </w:rPr>
      </w:pPr>
    </w:p>
    <w:p w14:paraId="65607191">
      <w:pPr>
        <w:pStyle w:val="2"/>
        <w:rPr>
          <w:rFonts w:ascii="仿宋_GB2312" w:hAnsi="仿宋" w:eastAsia="仿宋_GB2312" w:cs="仿宋_GB2312"/>
          <w:color w:val="000000"/>
          <w:sz w:val="32"/>
          <w:szCs w:val="32"/>
        </w:rPr>
      </w:pPr>
    </w:p>
    <w:p w14:paraId="7759585D">
      <w:pPr>
        <w:pStyle w:val="2"/>
        <w:rPr>
          <w:rFonts w:ascii="仿宋_GB2312" w:hAnsi="仿宋" w:eastAsia="仿宋_GB2312" w:cs="仿宋_GB2312"/>
          <w:color w:val="000000"/>
          <w:sz w:val="32"/>
          <w:szCs w:val="32"/>
        </w:rPr>
      </w:pP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1"/>
        <w:gridCol w:w="758"/>
        <w:gridCol w:w="196"/>
        <w:gridCol w:w="1099"/>
        <w:gridCol w:w="1028"/>
        <w:gridCol w:w="943"/>
        <w:gridCol w:w="51"/>
        <w:gridCol w:w="992"/>
        <w:gridCol w:w="571"/>
        <w:gridCol w:w="285"/>
        <w:gridCol w:w="709"/>
        <w:gridCol w:w="987"/>
        <w:gridCol w:w="472"/>
      </w:tblGrid>
      <w:tr w14:paraId="266BF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3"/>
            <w:tcBorders>
              <w:top w:val="nil"/>
              <w:left w:val="nil"/>
              <w:bottom w:val="nil"/>
              <w:right w:val="nil"/>
            </w:tcBorders>
            <w:vAlign w:val="center"/>
          </w:tcPr>
          <w:p w14:paraId="58D83838">
            <w:pPr>
              <w:widowControl/>
              <w:spacing w:line="400" w:lineRule="exact"/>
              <w:jc w:val="center"/>
              <w:textAlignment w:val="center"/>
              <w:rPr>
                <w:rFonts w:ascii="方正小标宋简体" w:eastAsia="方正小标宋简体"/>
                <w:color w:val="000000"/>
                <w:kern w:val="0"/>
                <w:sz w:val="28"/>
                <w:szCs w:val="28"/>
              </w:rPr>
            </w:pPr>
            <w:r>
              <w:rPr>
                <w:rFonts w:hint="eastAsia" w:ascii="方正小标宋简体" w:eastAsia="方正小标宋简体"/>
                <w:color w:val="000000"/>
                <w:kern w:val="0"/>
                <w:sz w:val="28"/>
                <w:szCs w:val="28"/>
              </w:rPr>
              <w:t>沐川县综合行政执法局部门整体支出绩效目标自评表</w:t>
            </w:r>
          </w:p>
          <w:p w14:paraId="242795E4">
            <w:pPr>
              <w:pStyle w:val="2"/>
            </w:pPr>
          </w:p>
        </w:tc>
      </w:tr>
      <w:tr w14:paraId="66C75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13"/>
            <w:tcBorders>
              <w:top w:val="nil"/>
              <w:left w:val="nil"/>
              <w:bottom w:val="single" w:color="auto" w:sz="4" w:space="0"/>
              <w:right w:val="nil"/>
            </w:tcBorders>
            <w:vAlign w:val="center"/>
          </w:tcPr>
          <w:p w14:paraId="7FD3E356">
            <w:pPr>
              <w:widowControl/>
              <w:spacing w:line="260" w:lineRule="exact"/>
              <w:jc w:val="center"/>
              <w:rPr>
                <w:rFonts w:ascii="仿宋_GB2312"/>
                <w:color w:val="000000"/>
                <w:kern w:val="0"/>
                <w:sz w:val="24"/>
              </w:rPr>
            </w:pPr>
            <w:r>
              <w:rPr>
                <w:rFonts w:hint="eastAsia" w:ascii="仿宋_GB2312"/>
                <w:color w:val="000000"/>
                <w:kern w:val="0"/>
                <w:sz w:val="24"/>
              </w:rPr>
              <w:t>（2022年度）</w:t>
            </w:r>
          </w:p>
        </w:tc>
      </w:tr>
      <w:tr w14:paraId="18243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13" w:type="pct"/>
            <w:gridSpan w:val="3"/>
            <w:tcBorders>
              <w:top w:val="single" w:color="auto" w:sz="4" w:space="0"/>
            </w:tcBorders>
            <w:vAlign w:val="center"/>
          </w:tcPr>
          <w:p w14:paraId="14F64C1A">
            <w:pPr>
              <w:widowControl/>
              <w:spacing w:line="260" w:lineRule="exact"/>
              <w:jc w:val="center"/>
              <w:rPr>
                <w:rFonts w:ascii="仿宋_GB2312"/>
                <w:kern w:val="0"/>
                <w:szCs w:val="21"/>
              </w:rPr>
            </w:pPr>
            <w:r>
              <w:rPr>
                <w:rFonts w:hint="eastAsia" w:ascii="仿宋_GB2312"/>
                <w:kern w:val="0"/>
                <w:szCs w:val="21"/>
              </w:rPr>
              <w:t>部门名称</w:t>
            </w:r>
          </w:p>
        </w:tc>
        <w:tc>
          <w:tcPr>
            <w:tcW w:w="4187" w:type="pct"/>
            <w:gridSpan w:val="10"/>
            <w:tcBorders>
              <w:top w:val="single" w:color="auto" w:sz="4" w:space="0"/>
            </w:tcBorders>
            <w:vAlign w:val="center"/>
          </w:tcPr>
          <w:p w14:paraId="4C624048">
            <w:pPr>
              <w:widowControl/>
              <w:spacing w:line="260" w:lineRule="exact"/>
              <w:jc w:val="center"/>
              <w:rPr>
                <w:rFonts w:ascii="仿宋_GB2312"/>
                <w:kern w:val="0"/>
                <w:szCs w:val="21"/>
              </w:rPr>
            </w:pPr>
            <w:r>
              <w:rPr>
                <w:rFonts w:hint="eastAsia" w:ascii="仿宋_GB2312"/>
                <w:kern w:val="0"/>
                <w:szCs w:val="21"/>
              </w:rPr>
              <w:t>沐川县综合行政执法局</w:t>
            </w:r>
          </w:p>
        </w:tc>
      </w:tr>
      <w:tr w14:paraId="2E1A4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253" w:type="pct"/>
            <w:vMerge w:val="restart"/>
            <w:vAlign w:val="center"/>
          </w:tcPr>
          <w:p w14:paraId="17BFC0CF">
            <w:pPr>
              <w:widowControl/>
              <w:spacing w:line="260" w:lineRule="exact"/>
              <w:jc w:val="center"/>
              <w:rPr>
                <w:rFonts w:ascii="仿宋_GB2312"/>
                <w:kern w:val="0"/>
                <w:szCs w:val="21"/>
              </w:rPr>
            </w:pPr>
            <w:r>
              <w:rPr>
                <w:rFonts w:hint="eastAsia" w:ascii="仿宋_GB2312"/>
                <w:kern w:val="0"/>
                <w:szCs w:val="21"/>
              </w:rPr>
              <w:t>年度主要任务</w:t>
            </w:r>
          </w:p>
        </w:tc>
        <w:tc>
          <w:tcPr>
            <w:tcW w:w="560" w:type="pct"/>
            <w:gridSpan w:val="2"/>
            <w:vMerge w:val="restart"/>
            <w:vAlign w:val="center"/>
          </w:tcPr>
          <w:p w14:paraId="1D35EE84">
            <w:pPr>
              <w:widowControl/>
              <w:spacing w:line="260" w:lineRule="exact"/>
              <w:jc w:val="center"/>
              <w:rPr>
                <w:rFonts w:ascii="仿宋_GB2312"/>
                <w:kern w:val="0"/>
                <w:szCs w:val="21"/>
              </w:rPr>
            </w:pPr>
            <w:r>
              <w:rPr>
                <w:rFonts w:hint="eastAsia" w:ascii="仿宋_GB2312"/>
                <w:kern w:val="0"/>
                <w:szCs w:val="21"/>
              </w:rPr>
              <w:t>任务</w:t>
            </w:r>
          </w:p>
          <w:p w14:paraId="33DB6457">
            <w:pPr>
              <w:widowControl/>
              <w:spacing w:line="260" w:lineRule="exact"/>
              <w:jc w:val="center"/>
              <w:rPr>
                <w:rFonts w:ascii="仿宋_GB2312"/>
                <w:kern w:val="0"/>
                <w:szCs w:val="21"/>
              </w:rPr>
            </w:pPr>
            <w:r>
              <w:rPr>
                <w:rFonts w:hint="eastAsia" w:ascii="仿宋_GB2312"/>
                <w:kern w:val="0"/>
                <w:szCs w:val="21"/>
              </w:rPr>
              <w:t>名称</w:t>
            </w:r>
          </w:p>
        </w:tc>
        <w:tc>
          <w:tcPr>
            <w:tcW w:w="1248" w:type="pct"/>
            <w:gridSpan w:val="2"/>
            <w:vMerge w:val="restart"/>
            <w:vAlign w:val="center"/>
          </w:tcPr>
          <w:p w14:paraId="46718C33">
            <w:pPr>
              <w:widowControl/>
              <w:spacing w:line="260" w:lineRule="exact"/>
              <w:jc w:val="center"/>
              <w:rPr>
                <w:rFonts w:ascii="仿宋_GB2312"/>
                <w:kern w:val="0"/>
                <w:szCs w:val="21"/>
              </w:rPr>
            </w:pPr>
            <w:r>
              <w:rPr>
                <w:rFonts w:hint="eastAsia" w:ascii="仿宋_GB2312"/>
                <w:kern w:val="0"/>
                <w:szCs w:val="21"/>
              </w:rPr>
              <w:t>主要</w:t>
            </w:r>
          </w:p>
          <w:p w14:paraId="279684F7">
            <w:pPr>
              <w:widowControl/>
              <w:spacing w:line="260" w:lineRule="exact"/>
              <w:jc w:val="center"/>
              <w:rPr>
                <w:rFonts w:ascii="仿宋_GB2312"/>
                <w:kern w:val="0"/>
                <w:szCs w:val="21"/>
              </w:rPr>
            </w:pPr>
            <w:r>
              <w:rPr>
                <w:rFonts w:hint="eastAsia" w:ascii="仿宋_GB2312"/>
                <w:kern w:val="0"/>
                <w:szCs w:val="21"/>
              </w:rPr>
              <w:t>内容</w:t>
            </w:r>
          </w:p>
        </w:tc>
        <w:tc>
          <w:tcPr>
            <w:tcW w:w="1500" w:type="pct"/>
            <w:gridSpan w:val="4"/>
            <w:vAlign w:val="center"/>
          </w:tcPr>
          <w:p w14:paraId="78649078">
            <w:pPr>
              <w:widowControl/>
              <w:spacing w:line="260" w:lineRule="exact"/>
              <w:jc w:val="center"/>
              <w:rPr>
                <w:rFonts w:ascii="仿宋_GB2312"/>
                <w:kern w:val="0"/>
                <w:szCs w:val="21"/>
              </w:rPr>
            </w:pPr>
            <w:r>
              <w:rPr>
                <w:rFonts w:hint="eastAsia" w:ascii="仿宋_GB2312"/>
                <w:kern w:val="0"/>
                <w:szCs w:val="21"/>
              </w:rPr>
              <w:t>预算金额（万元）</w:t>
            </w:r>
          </w:p>
        </w:tc>
        <w:tc>
          <w:tcPr>
            <w:tcW w:w="1439" w:type="pct"/>
            <w:gridSpan w:val="4"/>
            <w:noWrap/>
            <w:vAlign w:val="center"/>
          </w:tcPr>
          <w:p w14:paraId="60A83C72">
            <w:pPr>
              <w:widowControl/>
              <w:spacing w:line="260" w:lineRule="exact"/>
              <w:jc w:val="center"/>
              <w:rPr>
                <w:rFonts w:ascii="仿宋_GB2312"/>
                <w:color w:val="000000"/>
                <w:kern w:val="0"/>
                <w:szCs w:val="21"/>
              </w:rPr>
            </w:pPr>
            <w:r>
              <w:rPr>
                <w:rFonts w:hint="eastAsia" w:ascii="仿宋_GB2312"/>
                <w:color w:val="000000"/>
                <w:kern w:val="0"/>
                <w:szCs w:val="21"/>
              </w:rPr>
              <w:t>实际执行（万元）</w:t>
            </w:r>
          </w:p>
        </w:tc>
      </w:tr>
      <w:tr w14:paraId="0C31E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253" w:type="pct"/>
            <w:vMerge w:val="continue"/>
            <w:vAlign w:val="center"/>
          </w:tcPr>
          <w:p w14:paraId="0ABFB69B">
            <w:pPr>
              <w:widowControl/>
              <w:spacing w:line="260" w:lineRule="exact"/>
              <w:jc w:val="center"/>
              <w:rPr>
                <w:rFonts w:ascii="仿宋_GB2312"/>
                <w:kern w:val="0"/>
                <w:szCs w:val="21"/>
              </w:rPr>
            </w:pPr>
          </w:p>
        </w:tc>
        <w:tc>
          <w:tcPr>
            <w:tcW w:w="560" w:type="pct"/>
            <w:gridSpan w:val="2"/>
            <w:vMerge w:val="continue"/>
            <w:vAlign w:val="center"/>
          </w:tcPr>
          <w:p w14:paraId="4B20D9A1">
            <w:pPr>
              <w:widowControl/>
              <w:spacing w:line="260" w:lineRule="exact"/>
              <w:jc w:val="center"/>
              <w:rPr>
                <w:rFonts w:ascii="仿宋_GB2312"/>
                <w:kern w:val="0"/>
                <w:szCs w:val="21"/>
              </w:rPr>
            </w:pPr>
          </w:p>
        </w:tc>
        <w:tc>
          <w:tcPr>
            <w:tcW w:w="1248" w:type="pct"/>
            <w:gridSpan w:val="2"/>
            <w:vMerge w:val="continue"/>
            <w:vAlign w:val="center"/>
          </w:tcPr>
          <w:p w14:paraId="57B1FC92">
            <w:pPr>
              <w:widowControl/>
              <w:spacing w:line="260" w:lineRule="exact"/>
              <w:jc w:val="center"/>
              <w:rPr>
                <w:rFonts w:ascii="仿宋_GB2312"/>
                <w:kern w:val="0"/>
                <w:szCs w:val="21"/>
              </w:rPr>
            </w:pPr>
          </w:p>
        </w:tc>
        <w:tc>
          <w:tcPr>
            <w:tcW w:w="583" w:type="pct"/>
            <w:gridSpan w:val="2"/>
            <w:vAlign w:val="center"/>
          </w:tcPr>
          <w:p w14:paraId="0A901A02">
            <w:pPr>
              <w:widowControl/>
              <w:spacing w:line="260" w:lineRule="exact"/>
              <w:jc w:val="center"/>
              <w:rPr>
                <w:rFonts w:ascii="仿宋_GB2312"/>
                <w:kern w:val="0"/>
                <w:szCs w:val="21"/>
              </w:rPr>
            </w:pPr>
            <w:r>
              <w:rPr>
                <w:rFonts w:hint="eastAsia" w:ascii="仿宋_GB2312"/>
                <w:kern w:val="0"/>
                <w:szCs w:val="21"/>
              </w:rPr>
              <w:t>总额</w:t>
            </w:r>
          </w:p>
        </w:tc>
        <w:tc>
          <w:tcPr>
            <w:tcW w:w="582" w:type="pct"/>
            <w:vAlign w:val="center"/>
          </w:tcPr>
          <w:p w14:paraId="6AC5C025">
            <w:pPr>
              <w:widowControl/>
              <w:spacing w:line="260" w:lineRule="exact"/>
              <w:jc w:val="center"/>
              <w:rPr>
                <w:rFonts w:ascii="仿宋_GB2312"/>
                <w:kern w:val="0"/>
                <w:szCs w:val="21"/>
              </w:rPr>
            </w:pPr>
            <w:r>
              <w:rPr>
                <w:rFonts w:hint="eastAsia" w:ascii="仿宋_GB2312"/>
                <w:kern w:val="0"/>
                <w:szCs w:val="21"/>
              </w:rPr>
              <w:t>财政</w:t>
            </w:r>
          </w:p>
          <w:p w14:paraId="191D72DE">
            <w:pPr>
              <w:widowControl/>
              <w:spacing w:line="260" w:lineRule="exact"/>
              <w:jc w:val="center"/>
              <w:rPr>
                <w:rFonts w:ascii="仿宋_GB2312"/>
                <w:kern w:val="0"/>
                <w:szCs w:val="21"/>
              </w:rPr>
            </w:pPr>
            <w:r>
              <w:rPr>
                <w:rFonts w:hint="eastAsia" w:ascii="仿宋_GB2312"/>
                <w:kern w:val="0"/>
                <w:szCs w:val="21"/>
              </w:rPr>
              <w:t>拨款</w:t>
            </w:r>
          </w:p>
        </w:tc>
        <w:tc>
          <w:tcPr>
            <w:tcW w:w="335" w:type="pct"/>
            <w:vAlign w:val="center"/>
          </w:tcPr>
          <w:p w14:paraId="3AADEAFB">
            <w:pPr>
              <w:widowControl/>
              <w:spacing w:line="260" w:lineRule="exact"/>
              <w:jc w:val="center"/>
              <w:rPr>
                <w:rFonts w:ascii="仿宋_GB2312"/>
                <w:kern w:val="0"/>
                <w:szCs w:val="21"/>
              </w:rPr>
            </w:pPr>
            <w:r>
              <w:rPr>
                <w:rFonts w:hint="eastAsia" w:ascii="仿宋_GB2312"/>
                <w:kern w:val="0"/>
                <w:szCs w:val="21"/>
              </w:rPr>
              <w:t>其他</w:t>
            </w:r>
          </w:p>
          <w:p w14:paraId="5067A41A">
            <w:pPr>
              <w:widowControl/>
              <w:spacing w:line="260" w:lineRule="exact"/>
              <w:jc w:val="center"/>
              <w:rPr>
                <w:rFonts w:ascii="仿宋_GB2312"/>
                <w:kern w:val="0"/>
                <w:szCs w:val="21"/>
              </w:rPr>
            </w:pPr>
            <w:r>
              <w:rPr>
                <w:rFonts w:hint="eastAsia" w:ascii="仿宋_GB2312"/>
                <w:kern w:val="0"/>
                <w:szCs w:val="21"/>
              </w:rPr>
              <w:t>资金</w:t>
            </w:r>
          </w:p>
        </w:tc>
        <w:tc>
          <w:tcPr>
            <w:tcW w:w="583" w:type="pct"/>
            <w:gridSpan w:val="2"/>
            <w:vAlign w:val="center"/>
          </w:tcPr>
          <w:p w14:paraId="72D5AC5B">
            <w:pPr>
              <w:widowControl/>
              <w:spacing w:line="260" w:lineRule="exact"/>
              <w:jc w:val="center"/>
              <w:rPr>
                <w:rFonts w:ascii="仿宋_GB2312"/>
                <w:kern w:val="0"/>
                <w:szCs w:val="21"/>
              </w:rPr>
            </w:pPr>
            <w:r>
              <w:rPr>
                <w:rFonts w:hint="eastAsia" w:ascii="仿宋_GB2312"/>
                <w:kern w:val="0"/>
                <w:szCs w:val="21"/>
              </w:rPr>
              <w:t>总额</w:t>
            </w:r>
          </w:p>
        </w:tc>
        <w:tc>
          <w:tcPr>
            <w:tcW w:w="579" w:type="pct"/>
            <w:vAlign w:val="center"/>
          </w:tcPr>
          <w:p w14:paraId="4C16FABC">
            <w:pPr>
              <w:widowControl/>
              <w:spacing w:line="260" w:lineRule="exact"/>
              <w:jc w:val="center"/>
              <w:rPr>
                <w:rFonts w:ascii="仿宋_GB2312"/>
                <w:kern w:val="0"/>
                <w:szCs w:val="21"/>
              </w:rPr>
            </w:pPr>
            <w:r>
              <w:rPr>
                <w:rFonts w:hint="eastAsia" w:ascii="仿宋_GB2312"/>
                <w:kern w:val="0"/>
                <w:szCs w:val="21"/>
              </w:rPr>
              <w:t>财政</w:t>
            </w:r>
          </w:p>
          <w:p w14:paraId="0E535891">
            <w:pPr>
              <w:widowControl/>
              <w:spacing w:line="260" w:lineRule="exact"/>
              <w:jc w:val="center"/>
              <w:rPr>
                <w:rFonts w:ascii="仿宋_GB2312"/>
                <w:kern w:val="0"/>
                <w:szCs w:val="21"/>
              </w:rPr>
            </w:pPr>
            <w:r>
              <w:rPr>
                <w:rFonts w:hint="eastAsia" w:ascii="仿宋_GB2312"/>
                <w:kern w:val="0"/>
                <w:szCs w:val="21"/>
              </w:rPr>
              <w:t>拨款</w:t>
            </w:r>
          </w:p>
        </w:tc>
        <w:tc>
          <w:tcPr>
            <w:tcW w:w="277" w:type="pct"/>
            <w:vAlign w:val="center"/>
          </w:tcPr>
          <w:p w14:paraId="2CD5AC96">
            <w:pPr>
              <w:widowControl/>
              <w:spacing w:line="260" w:lineRule="exact"/>
              <w:jc w:val="center"/>
              <w:rPr>
                <w:rFonts w:ascii="仿宋_GB2312"/>
                <w:kern w:val="0"/>
                <w:szCs w:val="21"/>
              </w:rPr>
            </w:pPr>
            <w:r>
              <w:rPr>
                <w:rFonts w:hint="eastAsia" w:ascii="仿宋_GB2312"/>
                <w:kern w:val="0"/>
                <w:szCs w:val="21"/>
              </w:rPr>
              <w:t>其他资金</w:t>
            </w:r>
          </w:p>
        </w:tc>
      </w:tr>
      <w:tr w14:paraId="5EB6C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7" w:hRule="atLeast"/>
          <w:jc w:val="center"/>
        </w:trPr>
        <w:tc>
          <w:tcPr>
            <w:tcW w:w="253" w:type="pct"/>
            <w:vMerge w:val="continue"/>
            <w:vAlign w:val="center"/>
          </w:tcPr>
          <w:p w14:paraId="592A3CBB">
            <w:pPr>
              <w:widowControl/>
              <w:spacing w:line="260" w:lineRule="exact"/>
              <w:jc w:val="center"/>
              <w:rPr>
                <w:rFonts w:ascii="仿宋_GB2312"/>
                <w:kern w:val="0"/>
                <w:szCs w:val="21"/>
              </w:rPr>
            </w:pPr>
          </w:p>
        </w:tc>
        <w:tc>
          <w:tcPr>
            <w:tcW w:w="560" w:type="pct"/>
            <w:gridSpan w:val="2"/>
            <w:vAlign w:val="center"/>
          </w:tcPr>
          <w:p w14:paraId="230722C1">
            <w:pPr>
              <w:widowControl/>
              <w:spacing w:line="260" w:lineRule="exact"/>
              <w:jc w:val="center"/>
              <w:rPr>
                <w:rFonts w:ascii="仿宋_GB2312"/>
                <w:kern w:val="0"/>
                <w:szCs w:val="21"/>
              </w:rPr>
            </w:pPr>
            <w:r>
              <w:rPr>
                <w:rFonts w:hint="eastAsia" w:ascii="仿宋_GB2312"/>
                <w:kern w:val="0"/>
                <w:szCs w:val="21"/>
              </w:rPr>
              <w:t>稳步推进综合执法改革</w:t>
            </w:r>
          </w:p>
        </w:tc>
        <w:tc>
          <w:tcPr>
            <w:tcW w:w="1248" w:type="pct"/>
            <w:gridSpan w:val="2"/>
            <w:vAlign w:val="center"/>
          </w:tcPr>
          <w:p w14:paraId="37107CEC">
            <w:pPr>
              <w:widowControl/>
              <w:spacing w:line="260" w:lineRule="exact"/>
              <w:jc w:val="left"/>
              <w:rPr>
                <w:rFonts w:ascii="仿宋_GB2312"/>
                <w:kern w:val="0"/>
                <w:szCs w:val="21"/>
              </w:rPr>
            </w:pPr>
            <w:r>
              <w:rPr>
                <w:rFonts w:hint="eastAsia" w:ascii="仿宋_GB2312"/>
                <w:kern w:val="0"/>
                <w:szCs w:val="21"/>
              </w:rPr>
              <w:t>强化</w:t>
            </w:r>
            <w:r>
              <w:rPr>
                <w:rFonts w:ascii="仿宋_GB2312"/>
                <w:kern w:val="0"/>
                <w:szCs w:val="21"/>
              </w:rPr>
              <w:t>理论学习</w:t>
            </w:r>
            <w:r>
              <w:rPr>
                <w:rFonts w:hint="eastAsia" w:ascii="仿宋_GB2312"/>
                <w:kern w:val="0"/>
                <w:szCs w:val="21"/>
              </w:rPr>
              <w:t>，落实岗位责任，积极有序推进综合执法改革。</w:t>
            </w:r>
          </w:p>
        </w:tc>
        <w:tc>
          <w:tcPr>
            <w:tcW w:w="583" w:type="pct"/>
            <w:gridSpan w:val="2"/>
            <w:vAlign w:val="center"/>
          </w:tcPr>
          <w:p w14:paraId="5F0E5867">
            <w:pPr>
              <w:widowControl/>
              <w:spacing w:line="260" w:lineRule="exact"/>
              <w:jc w:val="center"/>
              <w:rPr>
                <w:rFonts w:ascii="仿宋_GB2312"/>
                <w:kern w:val="0"/>
                <w:szCs w:val="21"/>
              </w:rPr>
            </w:pPr>
            <w:r>
              <w:rPr>
                <w:rFonts w:hint="eastAsia" w:ascii="仿宋_GB2312"/>
                <w:kern w:val="0"/>
                <w:szCs w:val="21"/>
              </w:rPr>
              <w:t>20</w:t>
            </w:r>
          </w:p>
        </w:tc>
        <w:tc>
          <w:tcPr>
            <w:tcW w:w="582" w:type="pct"/>
            <w:vAlign w:val="center"/>
          </w:tcPr>
          <w:p w14:paraId="7ECF009E">
            <w:pPr>
              <w:widowControl/>
              <w:spacing w:line="260" w:lineRule="exact"/>
              <w:jc w:val="center"/>
              <w:rPr>
                <w:rFonts w:ascii="仿宋_GB2312"/>
                <w:kern w:val="0"/>
                <w:szCs w:val="21"/>
              </w:rPr>
            </w:pPr>
            <w:r>
              <w:rPr>
                <w:rFonts w:hint="eastAsia" w:ascii="仿宋_GB2312"/>
                <w:kern w:val="0"/>
                <w:szCs w:val="21"/>
              </w:rPr>
              <w:t>20</w:t>
            </w:r>
          </w:p>
        </w:tc>
        <w:tc>
          <w:tcPr>
            <w:tcW w:w="335" w:type="pct"/>
            <w:vAlign w:val="center"/>
          </w:tcPr>
          <w:p w14:paraId="14B64A29">
            <w:pPr>
              <w:widowControl/>
              <w:spacing w:line="260" w:lineRule="exact"/>
              <w:jc w:val="center"/>
              <w:rPr>
                <w:rFonts w:ascii="仿宋_GB2312"/>
                <w:kern w:val="0"/>
                <w:szCs w:val="21"/>
              </w:rPr>
            </w:pPr>
          </w:p>
        </w:tc>
        <w:tc>
          <w:tcPr>
            <w:tcW w:w="583" w:type="pct"/>
            <w:gridSpan w:val="2"/>
            <w:vAlign w:val="center"/>
          </w:tcPr>
          <w:p w14:paraId="5D41AB5B">
            <w:pPr>
              <w:widowControl/>
              <w:spacing w:line="260" w:lineRule="exact"/>
              <w:jc w:val="center"/>
              <w:rPr>
                <w:rFonts w:ascii="仿宋_GB2312"/>
                <w:kern w:val="0"/>
                <w:szCs w:val="21"/>
              </w:rPr>
            </w:pPr>
            <w:r>
              <w:rPr>
                <w:rFonts w:hint="eastAsia" w:ascii="仿宋_GB2312"/>
                <w:kern w:val="0"/>
                <w:szCs w:val="21"/>
              </w:rPr>
              <w:t>20</w:t>
            </w:r>
          </w:p>
        </w:tc>
        <w:tc>
          <w:tcPr>
            <w:tcW w:w="579" w:type="pct"/>
            <w:vAlign w:val="center"/>
          </w:tcPr>
          <w:p w14:paraId="2BD7E5CD">
            <w:pPr>
              <w:widowControl/>
              <w:spacing w:line="260" w:lineRule="exact"/>
              <w:jc w:val="center"/>
              <w:rPr>
                <w:rFonts w:ascii="仿宋_GB2312"/>
                <w:kern w:val="0"/>
                <w:szCs w:val="21"/>
              </w:rPr>
            </w:pPr>
            <w:r>
              <w:rPr>
                <w:rFonts w:hint="eastAsia" w:ascii="仿宋_GB2312"/>
                <w:kern w:val="0"/>
                <w:szCs w:val="21"/>
              </w:rPr>
              <w:t>20</w:t>
            </w:r>
          </w:p>
        </w:tc>
        <w:tc>
          <w:tcPr>
            <w:tcW w:w="277" w:type="pct"/>
            <w:vAlign w:val="center"/>
          </w:tcPr>
          <w:p w14:paraId="7EF00706">
            <w:pPr>
              <w:widowControl/>
              <w:spacing w:line="260" w:lineRule="exact"/>
              <w:jc w:val="center"/>
              <w:rPr>
                <w:rFonts w:ascii="仿宋_GB2312"/>
                <w:kern w:val="0"/>
                <w:szCs w:val="21"/>
              </w:rPr>
            </w:pPr>
          </w:p>
        </w:tc>
      </w:tr>
      <w:tr w14:paraId="760B0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4" w:hRule="atLeast"/>
          <w:jc w:val="center"/>
        </w:trPr>
        <w:tc>
          <w:tcPr>
            <w:tcW w:w="253" w:type="pct"/>
            <w:vMerge w:val="continue"/>
            <w:vAlign w:val="center"/>
          </w:tcPr>
          <w:p w14:paraId="2497971A">
            <w:pPr>
              <w:widowControl/>
              <w:spacing w:line="260" w:lineRule="exact"/>
              <w:jc w:val="center"/>
              <w:rPr>
                <w:rFonts w:ascii="仿宋_GB2312"/>
                <w:kern w:val="0"/>
                <w:szCs w:val="21"/>
              </w:rPr>
            </w:pPr>
          </w:p>
        </w:tc>
        <w:tc>
          <w:tcPr>
            <w:tcW w:w="560" w:type="pct"/>
            <w:gridSpan w:val="2"/>
            <w:vAlign w:val="center"/>
          </w:tcPr>
          <w:p w14:paraId="68CB3230">
            <w:pPr>
              <w:widowControl/>
              <w:spacing w:line="260" w:lineRule="exact"/>
              <w:rPr>
                <w:rFonts w:ascii="仿宋_GB2312"/>
                <w:kern w:val="0"/>
                <w:szCs w:val="21"/>
              </w:rPr>
            </w:pPr>
            <w:r>
              <w:rPr>
                <w:rFonts w:ascii="仿宋_GB2312"/>
                <w:kern w:val="0"/>
                <w:szCs w:val="21"/>
              </w:rPr>
              <w:t>做好党建和意识形态工作</w:t>
            </w:r>
          </w:p>
        </w:tc>
        <w:tc>
          <w:tcPr>
            <w:tcW w:w="1248" w:type="pct"/>
            <w:gridSpan w:val="2"/>
            <w:vAlign w:val="center"/>
          </w:tcPr>
          <w:p w14:paraId="0E57A56A">
            <w:pPr>
              <w:widowControl/>
              <w:spacing w:line="260" w:lineRule="exact"/>
              <w:jc w:val="left"/>
              <w:rPr>
                <w:rFonts w:ascii="仿宋_GB2312"/>
                <w:kern w:val="0"/>
                <w:szCs w:val="21"/>
              </w:rPr>
            </w:pPr>
            <w:r>
              <w:rPr>
                <w:rFonts w:ascii="仿宋_GB2312"/>
                <w:kern w:val="0"/>
                <w:szCs w:val="21"/>
              </w:rPr>
              <w:t>持续抓好党建和意识形态工作</w:t>
            </w:r>
            <w:r>
              <w:rPr>
                <w:rFonts w:hint="eastAsia" w:ascii="仿宋_GB2312"/>
                <w:kern w:val="0"/>
                <w:szCs w:val="21"/>
              </w:rPr>
              <w:t>，</w:t>
            </w:r>
            <w:r>
              <w:rPr>
                <w:rFonts w:ascii="仿宋_GB2312"/>
                <w:kern w:val="0"/>
                <w:szCs w:val="21"/>
              </w:rPr>
              <w:t>落实全面从严治党</w:t>
            </w:r>
            <w:r>
              <w:rPr>
                <w:rFonts w:hint="eastAsia" w:ascii="仿宋_GB2312"/>
                <w:kern w:val="0"/>
                <w:szCs w:val="21"/>
              </w:rPr>
              <w:t>。</w:t>
            </w:r>
          </w:p>
        </w:tc>
        <w:tc>
          <w:tcPr>
            <w:tcW w:w="583" w:type="pct"/>
            <w:gridSpan w:val="2"/>
            <w:vAlign w:val="center"/>
          </w:tcPr>
          <w:p w14:paraId="1170DDBC">
            <w:pPr>
              <w:widowControl/>
              <w:spacing w:line="260" w:lineRule="exact"/>
              <w:jc w:val="center"/>
              <w:rPr>
                <w:rFonts w:ascii="仿宋_GB2312"/>
                <w:kern w:val="0"/>
                <w:szCs w:val="21"/>
              </w:rPr>
            </w:pPr>
            <w:r>
              <w:rPr>
                <w:rFonts w:hint="eastAsia" w:ascii="仿宋_GB2312"/>
                <w:kern w:val="0"/>
                <w:szCs w:val="21"/>
              </w:rPr>
              <w:t>10</w:t>
            </w:r>
          </w:p>
        </w:tc>
        <w:tc>
          <w:tcPr>
            <w:tcW w:w="582" w:type="pct"/>
            <w:vAlign w:val="center"/>
          </w:tcPr>
          <w:p w14:paraId="03C43C10">
            <w:pPr>
              <w:widowControl/>
              <w:spacing w:line="260" w:lineRule="exact"/>
              <w:jc w:val="center"/>
              <w:rPr>
                <w:rFonts w:ascii="仿宋_GB2312"/>
                <w:kern w:val="0"/>
                <w:szCs w:val="21"/>
              </w:rPr>
            </w:pPr>
            <w:r>
              <w:rPr>
                <w:rFonts w:hint="eastAsia" w:ascii="仿宋_GB2312"/>
                <w:kern w:val="0"/>
                <w:szCs w:val="21"/>
              </w:rPr>
              <w:t>10</w:t>
            </w:r>
          </w:p>
        </w:tc>
        <w:tc>
          <w:tcPr>
            <w:tcW w:w="335" w:type="pct"/>
            <w:vAlign w:val="center"/>
          </w:tcPr>
          <w:p w14:paraId="13E1612F">
            <w:pPr>
              <w:widowControl/>
              <w:spacing w:line="260" w:lineRule="exact"/>
              <w:jc w:val="center"/>
              <w:rPr>
                <w:rFonts w:ascii="仿宋_GB2312"/>
                <w:kern w:val="0"/>
                <w:szCs w:val="21"/>
              </w:rPr>
            </w:pPr>
          </w:p>
        </w:tc>
        <w:tc>
          <w:tcPr>
            <w:tcW w:w="583" w:type="pct"/>
            <w:gridSpan w:val="2"/>
            <w:vAlign w:val="center"/>
          </w:tcPr>
          <w:p w14:paraId="28B55793">
            <w:pPr>
              <w:widowControl/>
              <w:spacing w:line="260" w:lineRule="exact"/>
              <w:jc w:val="center"/>
              <w:rPr>
                <w:rFonts w:ascii="仿宋_GB2312"/>
                <w:kern w:val="0"/>
                <w:szCs w:val="21"/>
              </w:rPr>
            </w:pPr>
            <w:r>
              <w:rPr>
                <w:rFonts w:hint="eastAsia" w:ascii="仿宋_GB2312"/>
                <w:kern w:val="0"/>
                <w:szCs w:val="21"/>
              </w:rPr>
              <w:t>10</w:t>
            </w:r>
          </w:p>
        </w:tc>
        <w:tc>
          <w:tcPr>
            <w:tcW w:w="579" w:type="pct"/>
            <w:vAlign w:val="center"/>
          </w:tcPr>
          <w:p w14:paraId="2DCA19D7">
            <w:pPr>
              <w:widowControl/>
              <w:spacing w:line="260" w:lineRule="exact"/>
              <w:jc w:val="center"/>
              <w:rPr>
                <w:rFonts w:ascii="仿宋_GB2312"/>
                <w:kern w:val="0"/>
                <w:szCs w:val="21"/>
              </w:rPr>
            </w:pPr>
            <w:r>
              <w:rPr>
                <w:rFonts w:hint="eastAsia" w:ascii="仿宋_GB2312"/>
                <w:kern w:val="0"/>
                <w:szCs w:val="21"/>
              </w:rPr>
              <w:t>10</w:t>
            </w:r>
          </w:p>
        </w:tc>
        <w:tc>
          <w:tcPr>
            <w:tcW w:w="277" w:type="pct"/>
            <w:vAlign w:val="center"/>
          </w:tcPr>
          <w:p w14:paraId="717AADCE">
            <w:pPr>
              <w:widowControl/>
              <w:spacing w:line="260" w:lineRule="exact"/>
              <w:jc w:val="center"/>
              <w:rPr>
                <w:rFonts w:ascii="仿宋_GB2312"/>
                <w:kern w:val="0"/>
                <w:szCs w:val="21"/>
              </w:rPr>
            </w:pPr>
          </w:p>
        </w:tc>
      </w:tr>
      <w:tr w14:paraId="64AC2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9" w:hRule="atLeast"/>
          <w:jc w:val="center"/>
        </w:trPr>
        <w:tc>
          <w:tcPr>
            <w:tcW w:w="253" w:type="pct"/>
            <w:vMerge w:val="continue"/>
            <w:vAlign w:val="center"/>
          </w:tcPr>
          <w:p w14:paraId="7BF58294">
            <w:pPr>
              <w:widowControl/>
              <w:spacing w:line="260" w:lineRule="exact"/>
              <w:jc w:val="center"/>
              <w:rPr>
                <w:rFonts w:ascii="仿宋_GB2312"/>
                <w:kern w:val="0"/>
                <w:szCs w:val="21"/>
              </w:rPr>
            </w:pPr>
          </w:p>
        </w:tc>
        <w:tc>
          <w:tcPr>
            <w:tcW w:w="560" w:type="pct"/>
            <w:gridSpan w:val="2"/>
            <w:vAlign w:val="center"/>
          </w:tcPr>
          <w:p w14:paraId="52A929A4">
            <w:pPr>
              <w:widowControl/>
              <w:spacing w:line="260" w:lineRule="exact"/>
              <w:jc w:val="center"/>
              <w:rPr>
                <w:rFonts w:ascii="仿宋_GB2312"/>
                <w:kern w:val="0"/>
                <w:szCs w:val="21"/>
              </w:rPr>
            </w:pPr>
            <w:r>
              <w:rPr>
                <w:rFonts w:hint="eastAsia" w:ascii="仿宋_GB2312"/>
                <w:bCs/>
                <w:kern w:val="0"/>
                <w:szCs w:val="21"/>
              </w:rPr>
              <w:t>依法行政，抓好市场监管领域执法工作</w:t>
            </w:r>
          </w:p>
        </w:tc>
        <w:tc>
          <w:tcPr>
            <w:tcW w:w="1248" w:type="pct"/>
            <w:gridSpan w:val="2"/>
            <w:vAlign w:val="center"/>
          </w:tcPr>
          <w:p w14:paraId="058B8339">
            <w:pPr>
              <w:widowControl/>
              <w:spacing w:line="260" w:lineRule="exact"/>
              <w:jc w:val="left"/>
              <w:rPr>
                <w:rFonts w:ascii="仿宋_GB2312"/>
                <w:kern w:val="0"/>
                <w:szCs w:val="21"/>
              </w:rPr>
            </w:pPr>
            <w:r>
              <w:rPr>
                <w:rFonts w:ascii="仿宋_GB2312"/>
                <w:kern w:val="0"/>
                <w:szCs w:val="21"/>
              </w:rPr>
              <w:t>开展知识产权</w:t>
            </w:r>
            <w:r>
              <w:rPr>
                <w:rFonts w:hint="eastAsia" w:ascii="仿宋_GB2312"/>
                <w:kern w:val="0"/>
                <w:szCs w:val="21"/>
              </w:rPr>
              <w:t>、</w:t>
            </w:r>
            <w:r>
              <w:rPr>
                <w:rFonts w:ascii="仿宋_GB2312"/>
                <w:kern w:val="0"/>
                <w:szCs w:val="21"/>
              </w:rPr>
              <w:t>食品</w:t>
            </w:r>
            <w:r>
              <w:rPr>
                <w:rFonts w:hint="eastAsia" w:ascii="仿宋_GB2312"/>
                <w:kern w:val="0"/>
                <w:szCs w:val="21"/>
              </w:rPr>
              <w:t>、</w:t>
            </w:r>
            <w:r>
              <w:rPr>
                <w:rFonts w:ascii="仿宋_GB2312"/>
                <w:kern w:val="0"/>
                <w:szCs w:val="21"/>
              </w:rPr>
              <w:t>药品</w:t>
            </w:r>
            <w:r>
              <w:rPr>
                <w:rFonts w:hint="eastAsia" w:ascii="仿宋_GB2312"/>
                <w:kern w:val="0"/>
                <w:szCs w:val="21"/>
              </w:rPr>
              <w:t>、</w:t>
            </w:r>
            <w:r>
              <w:rPr>
                <w:rFonts w:ascii="仿宋_GB2312"/>
                <w:kern w:val="0"/>
                <w:szCs w:val="21"/>
              </w:rPr>
              <w:t>价格</w:t>
            </w:r>
            <w:r>
              <w:rPr>
                <w:rFonts w:hint="eastAsia" w:ascii="仿宋_GB2312"/>
                <w:kern w:val="0"/>
                <w:szCs w:val="21"/>
              </w:rPr>
              <w:t>、</w:t>
            </w:r>
            <w:r>
              <w:rPr>
                <w:rFonts w:ascii="仿宋_GB2312"/>
                <w:kern w:val="0"/>
                <w:szCs w:val="21"/>
              </w:rPr>
              <w:t>产品质量</w:t>
            </w:r>
            <w:r>
              <w:rPr>
                <w:rFonts w:hint="eastAsia" w:ascii="仿宋_GB2312"/>
                <w:kern w:val="0"/>
                <w:szCs w:val="21"/>
              </w:rPr>
              <w:t>、</w:t>
            </w:r>
            <w:r>
              <w:rPr>
                <w:rFonts w:hint="eastAsia" w:ascii="仿宋_GB2312"/>
                <w:bCs/>
                <w:kern w:val="0"/>
                <w:szCs w:val="21"/>
              </w:rPr>
              <w:t>特种设备专项执法检查等市场监管领域执法工作。</w:t>
            </w:r>
          </w:p>
        </w:tc>
        <w:tc>
          <w:tcPr>
            <w:tcW w:w="583" w:type="pct"/>
            <w:gridSpan w:val="2"/>
            <w:vAlign w:val="center"/>
          </w:tcPr>
          <w:p w14:paraId="6DEACE31">
            <w:pPr>
              <w:widowControl/>
              <w:spacing w:line="260" w:lineRule="exact"/>
              <w:jc w:val="center"/>
              <w:rPr>
                <w:rFonts w:ascii="仿宋_GB2312"/>
                <w:kern w:val="0"/>
                <w:szCs w:val="21"/>
              </w:rPr>
            </w:pPr>
            <w:r>
              <w:rPr>
                <w:rFonts w:hint="eastAsia" w:ascii="仿宋_GB2312"/>
                <w:kern w:val="0"/>
                <w:szCs w:val="21"/>
              </w:rPr>
              <w:t>321.38</w:t>
            </w:r>
          </w:p>
        </w:tc>
        <w:tc>
          <w:tcPr>
            <w:tcW w:w="582" w:type="pct"/>
            <w:vAlign w:val="center"/>
          </w:tcPr>
          <w:p w14:paraId="228A484E">
            <w:pPr>
              <w:widowControl/>
              <w:spacing w:line="260" w:lineRule="exact"/>
              <w:jc w:val="center"/>
              <w:rPr>
                <w:rFonts w:ascii="仿宋_GB2312"/>
                <w:kern w:val="0"/>
                <w:szCs w:val="21"/>
              </w:rPr>
            </w:pPr>
            <w:r>
              <w:rPr>
                <w:rFonts w:hint="eastAsia" w:ascii="仿宋_GB2312"/>
                <w:kern w:val="0"/>
                <w:szCs w:val="21"/>
              </w:rPr>
              <w:t>321.38</w:t>
            </w:r>
          </w:p>
        </w:tc>
        <w:tc>
          <w:tcPr>
            <w:tcW w:w="335" w:type="pct"/>
            <w:vAlign w:val="center"/>
          </w:tcPr>
          <w:p w14:paraId="3C1C58A5">
            <w:pPr>
              <w:widowControl/>
              <w:spacing w:line="260" w:lineRule="exact"/>
              <w:jc w:val="center"/>
              <w:rPr>
                <w:rFonts w:ascii="仿宋_GB2312"/>
                <w:kern w:val="0"/>
                <w:szCs w:val="21"/>
              </w:rPr>
            </w:pPr>
          </w:p>
        </w:tc>
        <w:tc>
          <w:tcPr>
            <w:tcW w:w="583" w:type="pct"/>
            <w:gridSpan w:val="2"/>
            <w:vAlign w:val="center"/>
          </w:tcPr>
          <w:p w14:paraId="68268E8A">
            <w:pPr>
              <w:widowControl/>
              <w:spacing w:line="260" w:lineRule="exact"/>
              <w:jc w:val="center"/>
              <w:rPr>
                <w:rFonts w:ascii="仿宋_GB2312"/>
                <w:kern w:val="0"/>
                <w:szCs w:val="21"/>
              </w:rPr>
            </w:pPr>
            <w:r>
              <w:rPr>
                <w:rFonts w:hint="eastAsia" w:ascii="仿宋_GB2312"/>
                <w:kern w:val="0"/>
                <w:szCs w:val="21"/>
              </w:rPr>
              <w:t>365.39</w:t>
            </w:r>
          </w:p>
        </w:tc>
        <w:tc>
          <w:tcPr>
            <w:tcW w:w="579" w:type="pct"/>
            <w:vAlign w:val="center"/>
          </w:tcPr>
          <w:p w14:paraId="4E9F4391">
            <w:pPr>
              <w:widowControl/>
              <w:spacing w:line="260" w:lineRule="exact"/>
              <w:jc w:val="center"/>
              <w:rPr>
                <w:rFonts w:ascii="仿宋_GB2312"/>
                <w:kern w:val="0"/>
                <w:szCs w:val="21"/>
              </w:rPr>
            </w:pPr>
            <w:r>
              <w:rPr>
                <w:rFonts w:hint="eastAsia" w:ascii="仿宋_GB2312"/>
                <w:kern w:val="0"/>
                <w:szCs w:val="21"/>
              </w:rPr>
              <w:t>365.39</w:t>
            </w:r>
          </w:p>
        </w:tc>
        <w:tc>
          <w:tcPr>
            <w:tcW w:w="277" w:type="pct"/>
            <w:vAlign w:val="center"/>
          </w:tcPr>
          <w:p w14:paraId="30A2B150">
            <w:pPr>
              <w:widowControl/>
              <w:spacing w:line="260" w:lineRule="exact"/>
              <w:jc w:val="center"/>
              <w:rPr>
                <w:rFonts w:ascii="仿宋_GB2312"/>
                <w:kern w:val="0"/>
                <w:szCs w:val="21"/>
              </w:rPr>
            </w:pPr>
          </w:p>
        </w:tc>
      </w:tr>
      <w:tr w14:paraId="71ED5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6" w:hRule="atLeast"/>
          <w:jc w:val="center"/>
        </w:trPr>
        <w:tc>
          <w:tcPr>
            <w:tcW w:w="253" w:type="pct"/>
            <w:vMerge w:val="continue"/>
            <w:vAlign w:val="center"/>
          </w:tcPr>
          <w:p w14:paraId="5BE0B466">
            <w:pPr>
              <w:widowControl/>
              <w:spacing w:line="260" w:lineRule="exact"/>
              <w:jc w:val="center"/>
              <w:rPr>
                <w:rFonts w:ascii="仿宋_GB2312"/>
                <w:kern w:val="0"/>
                <w:szCs w:val="21"/>
              </w:rPr>
            </w:pPr>
          </w:p>
        </w:tc>
        <w:tc>
          <w:tcPr>
            <w:tcW w:w="560" w:type="pct"/>
            <w:gridSpan w:val="2"/>
            <w:vAlign w:val="center"/>
          </w:tcPr>
          <w:p w14:paraId="6CD7B0EE">
            <w:pPr>
              <w:widowControl/>
              <w:spacing w:line="260" w:lineRule="exact"/>
              <w:jc w:val="center"/>
              <w:rPr>
                <w:rFonts w:ascii="仿宋_GB2312"/>
                <w:kern w:val="0"/>
                <w:szCs w:val="21"/>
              </w:rPr>
            </w:pPr>
            <w:r>
              <w:rPr>
                <w:rFonts w:hint="eastAsia" w:ascii="仿宋_GB2312"/>
                <w:bCs/>
                <w:kern w:val="0"/>
                <w:szCs w:val="21"/>
              </w:rPr>
              <w:t>重拳出击，</w:t>
            </w:r>
            <w:r>
              <w:rPr>
                <w:rFonts w:ascii="仿宋_GB2312"/>
                <w:bCs/>
                <w:kern w:val="0"/>
                <w:szCs w:val="21"/>
              </w:rPr>
              <w:t>抓好交通领域执法工作</w:t>
            </w:r>
          </w:p>
        </w:tc>
        <w:tc>
          <w:tcPr>
            <w:tcW w:w="1248" w:type="pct"/>
            <w:gridSpan w:val="2"/>
            <w:vAlign w:val="center"/>
          </w:tcPr>
          <w:p w14:paraId="54C18A2D">
            <w:pPr>
              <w:widowControl/>
              <w:spacing w:line="260" w:lineRule="exact"/>
              <w:jc w:val="left"/>
              <w:rPr>
                <w:rFonts w:ascii="仿宋_GB2312"/>
                <w:kern w:val="0"/>
                <w:szCs w:val="21"/>
              </w:rPr>
            </w:pPr>
            <w:r>
              <w:rPr>
                <w:rFonts w:hint="eastAsia" w:ascii="仿宋_GB2312"/>
                <w:kern w:val="0"/>
                <w:szCs w:val="21"/>
              </w:rPr>
              <w:t>开展交通运输领域的行政检查、执法和强制。维护运输市场秩序，保护路产路权；检查水路、道路客（货）运输企业、客（货）站场、机动车维修企业、机动车驾驶员培训机构；管理公路两侧建筑控制区；依法查处超限运输、非法营运、非法改装、扬洒遗漏、破坏路产及其设施等违法违规行为。</w:t>
            </w:r>
          </w:p>
        </w:tc>
        <w:tc>
          <w:tcPr>
            <w:tcW w:w="583" w:type="pct"/>
            <w:gridSpan w:val="2"/>
            <w:vAlign w:val="center"/>
          </w:tcPr>
          <w:p w14:paraId="7289081E">
            <w:pPr>
              <w:widowControl/>
              <w:spacing w:line="260" w:lineRule="exact"/>
              <w:jc w:val="center"/>
              <w:rPr>
                <w:rFonts w:ascii="仿宋_GB2312"/>
                <w:kern w:val="0"/>
                <w:szCs w:val="21"/>
              </w:rPr>
            </w:pPr>
            <w:r>
              <w:rPr>
                <w:rFonts w:hint="eastAsia" w:ascii="仿宋_GB2312"/>
                <w:kern w:val="0"/>
                <w:szCs w:val="21"/>
              </w:rPr>
              <w:t>500.45</w:t>
            </w:r>
          </w:p>
        </w:tc>
        <w:tc>
          <w:tcPr>
            <w:tcW w:w="582" w:type="pct"/>
            <w:vAlign w:val="center"/>
          </w:tcPr>
          <w:p w14:paraId="797AFEBF">
            <w:pPr>
              <w:widowControl/>
              <w:spacing w:line="260" w:lineRule="exact"/>
              <w:jc w:val="center"/>
              <w:rPr>
                <w:rFonts w:ascii="仿宋_GB2312"/>
                <w:kern w:val="0"/>
                <w:szCs w:val="21"/>
              </w:rPr>
            </w:pPr>
            <w:r>
              <w:rPr>
                <w:rFonts w:hint="eastAsia" w:ascii="仿宋_GB2312"/>
                <w:kern w:val="0"/>
                <w:szCs w:val="21"/>
              </w:rPr>
              <w:t>500.45</w:t>
            </w:r>
          </w:p>
        </w:tc>
        <w:tc>
          <w:tcPr>
            <w:tcW w:w="335" w:type="pct"/>
            <w:vAlign w:val="center"/>
          </w:tcPr>
          <w:p w14:paraId="2FBF1BD5">
            <w:pPr>
              <w:widowControl/>
              <w:spacing w:line="260" w:lineRule="exact"/>
              <w:jc w:val="center"/>
              <w:rPr>
                <w:rFonts w:ascii="仿宋_GB2312"/>
                <w:kern w:val="0"/>
                <w:szCs w:val="21"/>
              </w:rPr>
            </w:pPr>
          </w:p>
        </w:tc>
        <w:tc>
          <w:tcPr>
            <w:tcW w:w="583" w:type="pct"/>
            <w:gridSpan w:val="2"/>
            <w:vAlign w:val="center"/>
          </w:tcPr>
          <w:p w14:paraId="009FF909">
            <w:pPr>
              <w:widowControl/>
              <w:spacing w:line="260" w:lineRule="exact"/>
              <w:jc w:val="center"/>
              <w:rPr>
                <w:rFonts w:ascii="仿宋_GB2312"/>
                <w:kern w:val="0"/>
                <w:szCs w:val="21"/>
              </w:rPr>
            </w:pPr>
            <w:r>
              <w:rPr>
                <w:rFonts w:hint="eastAsia" w:ascii="仿宋_GB2312"/>
                <w:kern w:val="0"/>
                <w:szCs w:val="21"/>
              </w:rPr>
              <w:t>566.46</w:t>
            </w:r>
          </w:p>
        </w:tc>
        <w:tc>
          <w:tcPr>
            <w:tcW w:w="579" w:type="pct"/>
            <w:vAlign w:val="center"/>
          </w:tcPr>
          <w:p w14:paraId="2C9C0941">
            <w:pPr>
              <w:widowControl/>
              <w:spacing w:line="260" w:lineRule="exact"/>
              <w:jc w:val="center"/>
              <w:rPr>
                <w:rFonts w:ascii="仿宋_GB2312"/>
                <w:kern w:val="0"/>
                <w:szCs w:val="21"/>
              </w:rPr>
            </w:pPr>
            <w:r>
              <w:rPr>
                <w:rFonts w:hint="eastAsia" w:ascii="仿宋_GB2312"/>
                <w:kern w:val="0"/>
                <w:szCs w:val="21"/>
              </w:rPr>
              <w:t>566.46</w:t>
            </w:r>
          </w:p>
        </w:tc>
        <w:tc>
          <w:tcPr>
            <w:tcW w:w="277" w:type="pct"/>
            <w:vAlign w:val="center"/>
          </w:tcPr>
          <w:p w14:paraId="51EC7C6A">
            <w:pPr>
              <w:widowControl/>
              <w:spacing w:line="260" w:lineRule="exact"/>
              <w:jc w:val="center"/>
              <w:rPr>
                <w:rFonts w:ascii="仿宋_GB2312"/>
                <w:kern w:val="0"/>
                <w:szCs w:val="21"/>
              </w:rPr>
            </w:pPr>
          </w:p>
        </w:tc>
      </w:tr>
      <w:tr w14:paraId="7812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3" w:hRule="atLeast"/>
          <w:jc w:val="center"/>
        </w:trPr>
        <w:tc>
          <w:tcPr>
            <w:tcW w:w="253" w:type="pct"/>
            <w:vMerge w:val="continue"/>
            <w:vAlign w:val="center"/>
          </w:tcPr>
          <w:p w14:paraId="77D3454E">
            <w:pPr>
              <w:widowControl/>
              <w:spacing w:line="260" w:lineRule="exact"/>
              <w:jc w:val="center"/>
              <w:rPr>
                <w:rFonts w:ascii="仿宋_GB2312"/>
                <w:kern w:val="0"/>
                <w:szCs w:val="21"/>
              </w:rPr>
            </w:pPr>
          </w:p>
        </w:tc>
        <w:tc>
          <w:tcPr>
            <w:tcW w:w="560" w:type="pct"/>
            <w:gridSpan w:val="2"/>
            <w:vAlign w:val="center"/>
          </w:tcPr>
          <w:p w14:paraId="49FDBDCB">
            <w:pPr>
              <w:widowControl/>
              <w:spacing w:line="260" w:lineRule="exact"/>
              <w:jc w:val="center"/>
              <w:rPr>
                <w:rFonts w:ascii="仿宋_GB2312"/>
                <w:kern w:val="0"/>
                <w:szCs w:val="21"/>
              </w:rPr>
            </w:pPr>
            <w:r>
              <w:rPr>
                <w:rFonts w:hint="eastAsia" w:ascii="仿宋_GB2312"/>
                <w:bCs/>
                <w:kern w:val="0"/>
                <w:szCs w:val="21"/>
              </w:rPr>
              <w:t>积极创新，做好城市管理领域执法工作</w:t>
            </w:r>
          </w:p>
        </w:tc>
        <w:tc>
          <w:tcPr>
            <w:tcW w:w="1248" w:type="pct"/>
            <w:gridSpan w:val="2"/>
            <w:vAlign w:val="center"/>
          </w:tcPr>
          <w:p w14:paraId="6DE31309">
            <w:pPr>
              <w:widowControl/>
              <w:spacing w:line="260" w:lineRule="exact"/>
              <w:jc w:val="left"/>
              <w:rPr>
                <w:rFonts w:ascii="仿宋_GB2312"/>
                <w:bCs/>
                <w:kern w:val="0"/>
                <w:szCs w:val="21"/>
              </w:rPr>
            </w:pPr>
            <w:r>
              <w:rPr>
                <w:rFonts w:hint="eastAsia" w:ascii="仿宋_GB2312"/>
                <w:bCs/>
                <w:kern w:val="0"/>
                <w:szCs w:val="21"/>
              </w:rPr>
              <w:t>常态化开展占道经营、占道堆码、乱拉乱挂、乱贴乱画等市容秩序乱象整治和户外广告违规设置整治，协助相关部门开展县城区内乱停乱放、乱搭乱建及城区扬尘污染防治等专项整治行动。</w:t>
            </w:r>
          </w:p>
        </w:tc>
        <w:tc>
          <w:tcPr>
            <w:tcW w:w="583" w:type="pct"/>
            <w:gridSpan w:val="2"/>
            <w:vAlign w:val="center"/>
          </w:tcPr>
          <w:p w14:paraId="53FEE519">
            <w:pPr>
              <w:widowControl/>
              <w:spacing w:line="260" w:lineRule="exact"/>
              <w:jc w:val="center"/>
              <w:rPr>
                <w:rFonts w:ascii="仿宋_GB2312"/>
                <w:kern w:val="0"/>
                <w:szCs w:val="21"/>
              </w:rPr>
            </w:pPr>
            <w:r>
              <w:rPr>
                <w:rFonts w:hint="eastAsia" w:ascii="仿宋_GB2312"/>
                <w:kern w:val="0"/>
                <w:szCs w:val="21"/>
              </w:rPr>
              <w:t>457.26</w:t>
            </w:r>
          </w:p>
        </w:tc>
        <w:tc>
          <w:tcPr>
            <w:tcW w:w="582" w:type="pct"/>
            <w:vAlign w:val="center"/>
          </w:tcPr>
          <w:p w14:paraId="7403666C">
            <w:pPr>
              <w:widowControl/>
              <w:spacing w:line="260" w:lineRule="exact"/>
              <w:jc w:val="center"/>
              <w:rPr>
                <w:rFonts w:ascii="仿宋_GB2312"/>
                <w:kern w:val="0"/>
                <w:szCs w:val="21"/>
              </w:rPr>
            </w:pPr>
            <w:r>
              <w:rPr>
                <w:rFonts w:hint="eastAsia" w:ascii="仿宋_GB2312"/>
                <w:kern w:val="0"/>
                <w:szCs w:val="21"/>
              </w:rPr>
              <w:t>457.26</w:t>
            </w:r>
          </w:p>
        </w:tc>
        <w:tc>
          <w:tcPr>
            <w:tcW w:w="335" w:type="pct"/>
            <w:vAlign w:val="center"/>
          </w:tcPr>
          <w:p w14:paraId="5AD1066E">
            <w:pPr>
              <w:widowControl/>
              <w:spacing w:line="260" w:lineRule="exact"/>
              <w:jc w:val="center"/>
              <w:rPr>
                <w:rFonts w:ascii="仿宋_GB2312"/>
                <w:kern w:val="0"/>
                <w:szCs w:val="21"/>
              </w:rPr>
            </w:pPr>
          </w:p>
        </w:tc>
        <w:tc>
          <w:tcPr>
            <w:tcW w:w="583" w:type="pct"/>
            <w:gridSpan w:val="2"/>
            <w:vAlign w:val="center"/>
          </w:tcPr>
          <w:p w14:paraId="59C58888">
            <w:pPr>
              <w:widowControl/>
              <w:spacing w:line="260" w:lineRule="exact"/>
              <w:jc w:val="center"/>
              <w:rPr>
                <w:rFonts w:ascii="仿宋_GB2312"/>
                <w:kern w:val="0"/>
                <w:szCs w:val="21"/>
              </w:rPr>
            </w:pPr>
            <w:r>
              <w:rPr>
                <w:rFonts w:hint="eastAsia" w:ascii="仿宋_GB2312"/>
                <w:kern w:val="0"/>
                <w:szCs w:val="21"/>
              </w:rPr>
              <w:t>524.89</w:t>
            </w:r>
          </w:p>
        </w:tc>
        <w:tc>
          <w:tcPr>
            <w:tcW w:w="579" w:type="pct"/>
            <w:vAlign w:val="center"/>
          </w:tcPr>
          <w:p w14:paraId="1A81DF13">
            <w:pPr>
              <w:widowControl/>
              <w:spacing w:line="260" w:lineRule="exact"/>
              <w:jc w:val="center"/>
              <w:rPr>
                <w:rFonts w:ascii="仿宋_GB2312"/>
                <w:kern w:val="0"/>
                <w:szCs w:val="21"/>
              </w:rPr>
            </w:pPr>
            <w:r>
              <w:rPr>
                <w:rFonts w:hint="eastAsia" w:ascii="仿宋_GB2312"/>
                <w:kern w:val="0"/>
                <w:szCs w:val="21"/>
              </w:rPr>
              <w:t>524.89</w:t>
            </w:r>
          </w:p>
        </w:tc>
        <w:tc>
          <w:tcPr>
            <w:tcW w:w="277" w:type="pct"/>
            <w:vAlign w:val="center"/>
          </w:tcPr>
          <w:p w14:paraId="4F1EDC34">
            <w:pPr>
              <w:widowControl/>
              <w:spacing w:line="260" w:lineRule="exact"/>
              <w:jc w:val="center"/>
              <w:rPr>
                <w:rFonts w:ascii="仿宋_GB2312"/>
                <w:kern w:val="0"/>
                <w:szCs w:val="21"/>
              </w:rPr>
            </w:pPr>
          </w:p>
        </w:tc>
      </w:tr>
      <w:tr w14:paraId="2CA68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jc w:val="center"/>
        </w:trPr>
        <w:tc>
          <w:tcPr>
            <w:tcW w:w="253" w:type="pct"/>
            <w:vMerge w:val="continue"/>
            <w:vAlign w:val="center"/>
          </w:tcPr>
          <w:p w14:paraId="5A6A3274">
            <w:pPr>
              <w:widowControl/>
              <w:spacing w:line="260" w:lineRule="exact"/>
              <w:jc w:val="center"/>
              <w:rPr>
                <w:rFonts w:ascii="仿宋_GB2312"/>
                <w:kern w:val="0"/>
                <w:szCs w:val="21"/>
              </w:rPr>
            </w:pPr>
          </w:p>
        </w:tc>
        <w:tc>
          <w:tcPr>
            <w:tcW w:w="560" w:type="pct"/>
            <w:gridSpan w:val="2"/>
            <w:vAlign w:val="center"/>
          </w:tcPr>
          <w:p w14:paraId="3CFDC33D">
            <w:pPr>
              <w:widowControl/>
              <w:spacing w:line="260" w:lineRule="exact"/>
              <w:jc w:val="center"/>
              <w:rPr>
                <w:rFonts w:ascii="仿宋_GB2312"/>
                <w:kern w:val="0"/>
                <w:szCs w:val="21"/>
              </w:rPr>
            </w:pPr>
            <w:r>
              <w:rPr>
                <w:rFonts w:hint="eastAsia" w:ascii="仿宋_GB2312"/>
                <w:bCs/>
                <w:kern w:val="0"/>
                <w:szCs w:val="21"/>
              </w:rPr>
              <w:t>凝心聚力，</w:t>
            </w:r>
            <w:r>
              <w:rPr>
                <w:rFonts w:ascii="仿宋_GB2312"/>
                <w:bCs/>
                <w:kern w:val="0"/>
                <w:szCs w:val="21"/>
              </w:rPr>
              <w:t>做好农</w:t>
            </w:r>
            <w:r>
              <w:rPr>
                <w:rFonts w:hint="eastAsia" w:ascii="仿宋_GB2312"/>
                <w:bCs/>
                <w:kern w:val="0"/>
                <w:szCs w:val="21"/>
              </w:rPr>
              <w:t>业</w:t>
            </w:r>
            <w:r>
              <w:rPr>
                <w:rFonts w:ascii="仿宋_GB2312"/>
                <w:bCs/>
                <w:kern w:val="0"/>
                <w:szCs w:val="21"/>
              </w:rPr>
              <w:t>、林业领域执法</w:t>
            </w:r>
          </w:p>
        </w:tc>
        <w:tc>
          <w:tcPr>
            <w:tcW w:w="1248" w:type="pct"/>
            <w:gridSpan w:val="2"/>
            <w:vAlign w:val="center"/>
          </w:tcPr>
          <w:p w14:paraId="6486DBD6">
            <w:pPr>
              <w:widowControl/>
              <w:spacing w:line="260" w:lineRule="exact"/>
              <w:jc w:val="left"/>
              <w:rPr>
                <w:rFonts w:ascii="仿宋_GB2312"/>
                <w:bCs/>
                <w:kern w:val="0"/>
                <w:szCs w:val="21"/>
              </w:rPr>
            </w:pPr>
            <w:r>
              <w:rPr>
                <w:rFonts w:ascii="仿宋_GB2312"/>
                <w:bCs/>
                <w:kern w:val="0"/>
                <w:szCs w:val="21"/>
              </w:rPr>
              <w:t>开展农资、畜产品、农机市场执法检查</w:t>
            </w:r>
            <w:r>
              <w:rPr>
                <w:rFonts w:hint="eastAsia" w:ascii="仿宋_GB2312"/>
                <w:bCs/>
                <w:kern w:val="0"/>
                <w:szCs w:val="21"/>
              </w:rPr>
              <w:t>、长江十年禁捕源头治理、</w:t>
            </w:r>
            <w:r>
              <w:rPr>
                <w:rFonts w:ascii="仿宋_GB2312"/>
                <w:bCs/>
                <w:kern w:val="0"/>
                <w:szCs w:val="21"/>
              </w:rPr>
              <w:t>渔业资源保护，宅基地执法监督等农业</w:t>
            </w:r>
            <w:r>
              <w:rPr>
                <w:rFonts w:hint="eastAsia" w:ascii="仿宋_GB2312"/>
                <w:bCs/>
                <w:kern w:val="0"/>
                <w:szCs w:val="21"/>
              </w:rPr>
              <w:t>、</w:t>
            </w:r>
            <w:r>
              <w:rPr>
                <w:rFonts w:ascii="仿宋_GB2312"/>
                <w:bCs/>
                <w:kern w:val="0"/>
                <w:szCs w:val="21"/>
              </w:rPr>
              <w:t>林业领域执法工作</w:t>
            </w:r>
            <w:r>
              <w:rPr>
                <w:rFonts w:hint="eastAsia" w:ascii="仿宋_GB2312"/>
                <w:bCs/>
                <w:kern w:val="0"/>
                <w:szCs w:val="21"/>
              </w:rPr>
              <w:t>。</w:t>
            </w:r>
          </w:p>
        </w:tc>
        <w:tc>
          <w:tcPr>
            <w:tcW w:w="583" w:type="pct"/>
            <w:gridSpan w:val="2"/>
            <w:vAlign w:val="center"/>
          </w:tcPr>
          <w:p w14:paraId="3651CA00">
            <w:pPr>
              <w:widowControl/>
              <w:spacing w:line="260" w:lineRule="exact"/>
              <w:jc w:val="center"/>
              <w:rPr>
                <w:rFonts w:ascii="仿宋_GB2312"/>
                <w:kern w:val="0"/>
                <w:szCs w:val="21"/>
              </w:rPr>
            </w:pPr>
            <w:r>
              <w:rPr>
                <w:rFonts w:hint="eastAsia" w:ascii="仿宋_GB2312"/>
                <w:kern w:val="0"/>
                <w:szCs w:val="21"/>
              </w:rPr>
              <w:t>124.71</w:t>
            </w:r>
          </w:p>
        </w:tc>
        <w:tc>
          <w:tcPr>
            <w:tcW w:w="582" w:type="pct"/>
            <w:vAlign w:val="center"/>
          </w:tcPr>
          <w:p w14:paraId="27CDD97E">
            <w:pPr>
              <w:widowControl/>
              <w:spacing w:line="260" w:lineRule="exact"/>
              <w:jc w:val="center"/>
              <w:rPr>
                <w:rFonts w:ascii="仿宋_GB2312"/>
                <w:kern w:val="0"/>
                <w:szCs w:val="21"/>
              </w:rPr>
            </w:pPr>
            <w:r>
              <w:rPr>
                <w:rFonts w:hint="eastAsia" w:ascii="仿宋_GB2312"/>
                <w:kern w:val="0"/>
                <w:szCs w:val="21"/>
              </w:rPr>
              <w:t>124.71</w:t>
            </w:r>
          </w:p>
        </w:tc>
        <w:tc>
          <w:tcPr>
            <w:tcW w:w="335" w:type="pct"/>
            <w:vAlign w:val="center"/>
          </w:tcPr>
          <w:p w14:paraId="47D2E392">
            <w:pPr>
              <w:widowControl/>
              <w:spacing w:line="260" w:lineRule="exact"/>
              <w:jc w:val="center"/>
              <w:rPr>
                <w:rFonts w:ascii="仿宋_GB2312"/>
                <w:kern w:val="0"/>
                <w:szCs w:val="21"/>
              </w:rPr>
            </w:pPr>
          </w:p>
        </w:tc>
        <w:tc>
          <w:tcPr>
            <w:tcW w:w="583" w:type="pct"/>
            <w:gridSpan w:val="2"/>
            <w:vAlign w:val="center"/>
          </w:tcPr>
          <w:p w14:paraId="71392869">
            <w:pPr>
              <w:widowControl/>
              <w:spacing w:line="260" w:lineRule="exact"/>
              <w:jc w:val="center"/>
              <w:rPr>
                <w:rFonts w:ascii="仿宋_GB2312"/>
                <w:kern w:val="0"/>
                <w:szCs w:val="21"/>
              </w:rPr>
            </w:pPr>
            <w:r>
              <w:rPr>
                <w:rFonts w:hint="eastAsia" w:ascii="仿宋_GB2312"/>
                <w:kern w:val="0"/>
                <w:szCs w:val="21"/>
              </w:rPr>
              <w:t>143.15</w:t>
            </w:r>
          </w:p>
        </w:tc>
        <w:tc>
          <w:tcPr>
            <w:tcW w:w="579" w:type="pct"/>
            <w:vAlign w:val="center"/>
          </w:tcPr>
          <w:p w14:paraId="02A126BA">
            <w:pPr>
              <w:widowControl/>
              <w:spacing w:line="260" w:lineRule="exact"/>
              <w:jc w:val="center"/>
              <w:rPr>
                <w:rFonts w:ascii="仿宋_GB2312"/>
                <w:kern w:val="0"/>
                <w:szCs w:val="21"/>
              </w:rPr>
            </w:pPr>
            <w:r>
              <w:rPr>
                <w:rFonts w:hint="eastAsia" w:ascii="仿宋_GB2312"/>
                <w:kern w:val="0"/>
                <w:szCs w:val="21"/>
              </w:rPr>
              <w:t>143.15</w:t>
            </w:r>
          </w:p>
        </w:tc>
        <w:tc>
          <w:tcPr>
            <w:tcW w:w="277" w:type="pct"/>
            <w:vAlign w:val="center"/>
          </w:tcPr>
          <w:p w14:paraId="0850360C">
            <w:pPr>
              <w:widowControl/>
              <w:spacing w:line="260" w:lineRule="exact"/>
              <w:jc w:val="center"/>
              <w:rPr>
                <w:rFonts w:ascii="仿宋_GB2312"/>
                <w:kern w:val="0"/>
                <w:szCs w:val="21"/>
              </w:rPr>
            </w:pPr>
          </w:p>
        </w:tc>
      </w:tr>
      <w:tr w14:paraId="4FB22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5" w:hRule="atLeast"/>
          <w:jc w:val="center"/>
        </w:trPr>
        <w:tc>
          <w:tcPr>
            <w:tcW w:w="253" w:type="pct"/>
            <w:vMerge w:val="continue"/>
            <w:vAlign w:val="center"/>
          </w:tcPr>
          <w:p w14:paraId="09C0C966">
            <w:pPr>
              <w:widowControl/>
              <w:spacing w:line="260" w:lineRule="exact"/>
              <w:jc w:val="center"/>
              <w:rPr>
                <w:rFonts w:ascii="仿宋_GB2312"/>
                <w:kern w:val="0"/>
                <w:szCs w:val="21"/>
              </w:rPr>
            </w:pPr>
          </w:p>
        </w:tc>
        <w:tc>
          <w:tcPr>
            <w:tcW w:w="560" w:type="pct"/>
            <w:gridSpan w:val="2"/>
            <w:vAlign w:val="center"/>
          </w:tcPr>
          <w:p w14:paraId="5A550C5C">
            <w:pPr>
              <w:widowControl/>
              <w:spacing w:line="260" w:lineRule="exact"/>
              <w:jc w:val="center"/>
              <w:rPr>
                <w:rFonts w:ascii="仿宋_GB2312"/>
                <w:kern w:val="0"/>
                <w:szCs w:val="21"/>
              </w:rPr>
            </w:pPr>
            <w:r>
              <w:rPr>
                <w:rFonts w:ascii="仿宋_GB2312"/>
                <w:bCs/>
                <w:kern w:val="0"/>
                <w:szCs w:val="21"/>
              </w:rPr>
              <w:t>严格执法</w:t>
            </w:r>
            <w:r>
              <w:rPr>
                <w:rFonts w:hint="eastAsia" w:ascii="仿宋_GB2312"/>
                <w:bCs/>
                <w:kern w:val="0"/>
                <w:szCs w:val="21"/>
              </w:rPr>
              <w:t>，</w:t>
            </w:r>
            <w:r>
              <w:rPr>
                <w:rFonts w:ascii="仿宋_GB2312"/>
                <w:bCs/>
                <w:kern w:val="0"/>
                <w:szCs w:val="21"/>
              </w:rPr>
              <w:t>抓好文旅领域执法工作</w:t>
            </w:r>
          </w:p>
        </w:tc>
        <w:tc>
          <w:tcPr>
            <w:tcW w:w="1248" w:type="pct"/>
            <w:gridSpan w:val="2"/>
            <w:vAlign w:val="center"/>
          </w:tcPr>
          <w:p w14:paraId="083E8A64">
            <w:pPr>
              <w:widowControl/>
              <w:spacing w:line="260" w:lineRule="exact"/>
              <w:jc w:val="left"/>
              <w:rPr>
                <w:rFonts w:ascii="仿宋_GB2312"/>
                <w:bCs/>
                <w:kern w:val="0"/>
                <w:szCs w:val="21"/>
              </w:rPr>
            </w:pPr>
            <w:r>
              <w:rPr>
                <w:rFonts w:hint="eastAsia" w:ascii="仿宋_GB2312"/>
                <w:bCs/>
                <w:kern w:val="0"/>
                <w:szCs w:val="21"/>
              </w:rPr>
              <w:t>开展文化旅游市场双随机检查、知识产权周宣传活动，乐山市旅游市场专项整治行动。</w:t>
            </w:r>
          </w:p>
        </w:tc>
        <w:tc>
          <w:tcPr>
            <w:tcW w:w="583" w:type="pct"/>
            <w:gridSpan w:val="2"/>
            <w:vAlign w:val="center"/>
          </w:tcPr>
          <w:p w14:paraId="3C7A181A">
            <w:pPr>
              <w:widowControl/>
              <w:spacing w:line="260" w:lineRule="exact"/>
              <w:jc w:val="center"/>
              <w:rPr>
                <w:rFonts w:ascii="仿宋_GB2312"/>
                <w:kern w:val="0"/>
                <w:szCs w:val="21"/>
              </w:rPr>
            </w:pPr>
            <w:r>
              <w:rPr>
                <w:rFonts w:hint="eastAsia" w:ascii="仿宋_GB2312"/>
                <w:kern w:val="0"/>
                <w:szCs w:val="21"/>
              </w:rPr>
              <w:t>91.54</w:t>
            </w:r>
          </w:p>
        </w:tc>
        <w:tc>
          <w:tcPr>
            <w:tcW w:w="582" w:type="pct"/>
            <w:vAlign w:val="center"/>
          </w:tcPr>
          <w:p w14:paraId="3D5780A1">
            <w:pPr>
              <w:widowControl/>
              <w:spacing w:line="260" w:lineRule="exact"/>
              <w:jc w:val="center"/>
              <w:rPr>
                <w:rFonts w:ascii="仿宋_GB2312"/>
                <w:kern w:val="0"/>
                <w:szCs w:val="21"/>
              </w:rPr>
            </w:pPr>
            <w:r>
              <w:rPr>
                <w:rFonts w:hint="eastAsia" w:ascii="仿宋_GB2312"/>
                <w:kern w:val="0"/>
                <w:szCs w:val="21"/>
              </w:rPr>
              <w:t>91.54</w:t>
            </w:r>
          </w:p>
        </w:tc>
        <w:tc>
          <w:tcPr>
            <w:tcW w:w="335" w:type="pct"/>
            <w:vAlign w:val="center"/>
          </w:tcPr>
          <w:p w14:paraId="6E1DD99D">
            <w:pPr>
              <w:widowControl/>
              <w:spacing w:line="260" w:lineRule="exact"/>
              <w:jc w:val="center"/>
              <w:rPr>
                <w:rFonts w:ascii="仿宋_GB2312"/>
                <w:kern w:val="0"/>
                <w:szCs w:val="21"/>
              </w:rPr>
            </w:pPr>
          </w:p>
        </w:tc>
        <w:tc>
          <w:tcPr>
            <w:tcW w:w="583" w:type="pct"/>
            <w:gridSpan w:val="2"/>
            <w:vAlign w:val="center"/>
          </w:tcPr>
          <w:p w14:paraId="4149AFC9">
            <w:pPr>
              <w:widowControl/>
              <w:spacing w:line="260" w:lineRule="exact"/>
              <w:jc w:val="center"/>
              <w:rPr>
                <w:rFonts w:ascii="仿宋_GB2312"/>
                <w:kern w:val="0"/>
                <w:szCs w:val="21"/>
              </w:rPr>
            </w:pPr>
            <w:r>
              <w:rPr>
                <w:rFonts w:hint="eastAsia" w:ascii="仿宋_GB2312"/>
                <w:kern w:val="0"/>
                <w:szCs w:val="21"/>
              </w:rPr>
              <w:t>99.50</w:t>
            </w:r>
          </w:p>
        </w:tc>
        <w:tc>
          <w:tcPr>
            <w:tcW w:w="579" w:type="pct"/>
            <w:vAlign w:val="center"/>
          </w:tcPr>
          <w:p w14:paraId="5334D45A">
            <w:pPr>
              <w:widowControl/>
              <w:spacing w:line="260" w:lineRule="exact"/>
              <w:jc w:val="center"/>
              <w:rPr>
                <w:rFonts w:ascii="仿宋_GB2312"/>
                <w:kern w:val="0"/>
                <w:szCs w:val="21"/>
              </w:rPr>
            </w:pPr>
            <w:r>
              <w:rPr>
                <w:rFonts w:hint="eastAsia" w:ascii="仿宋_GB2312"/>
                <w:kern w:val="0"/>
                <w:szCs w:val="21"/>
              </w:rPr>
              <w:t>99.50</w:t>
            </w:r>
          </w:p>
        </w:tc>
        <w:tc>
          <w:tcPr>
            <w:tcW w:w="277" w:type="pct"/>
            <w:vAlign w:val="center"/>
          </w:tcPr>
          <w:p w14:paraId="068855FB">
            <w:pPr>
              <w:widowControl/>
              <w:spacing w:line="260" w:lineRule="exact"/>
              <w:jc w:val="center"/>
              <w:rPr>
                <w:rFonts w:ascii="仿宋_GB2312"/>
                <w:kern w:val="0"/>
                <w:szCs w:val="21"/>
              </w:rPr>
            </w:pPr>
          </w:p>
        </w:tc>
      </w:tr>
      <w:tr w14:paraId="4A69B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5" w:hRule="atLeast"/>
          <w:jc w:val="center"/>
        </w:trPr>
        <w:tc>
          <w:tcPr>
            <w:tcW w:w="253" w:type="pct"/>
            <w:vMerge w:val="continue"/>
            <w:vAlign w:val="center"/>
          </w:tcPr>
          <w:p w14:paraId="5DF9C749">
            <w:pPr>
              <w:widowControl/>
              <w:spacing w:line="260" w:lineRule="exact"/>
              <w:jc w:val="center"/>
              <w:rPr>
                <w:rFonts w:ascii="仿宋_GB2312"/>
                <w:kern w:val="0"/>
                <w:szCs w:val="21"/>
              </w:rPr>
            </w:pPr>
          </w:p>
        </w:tc>
        <w:tc>
          <w:tcPr>
            <w:tcW w:w="560" w:type="pct"/>
            <w:gridSpan w:val="2"/>
            <w:vAlign w:val="center"/>
          </w:tcPr>
          <w:p w14:paraId="70DE6EA9">
            <w:pPr>
              <w:widowControl/>
              <w:spacing w:line="260" w:lineRule="exact"/>
              <w:jc w:val="center"/>
              <w:rPr>
                <w:rFonts w:ascii="仿宋_GB2312"/>
                <w:kern w:val="0"/>
                <w:szCs w:val="21"/>
              </w:rPr>
            </w:pPr>
            <w:r>
              <w:rPr>
                <w:rFonts w:hint="eastAsia" w:ascii="仿宋_GB2312"/>
                <w:bCs/>
                <w:kern w:val="0"/>
                <w:szCs w:val="21"/>
              </w:rPr>
              <w:t>综合助力、配合县上各项重点工作</w:t>
            </w:r>
          </w:p>
        </w:tc>
        <w:tc>
          <w:tcPr>
            <w:tcW w:w="1248" w:type="pct"/>
            <w:gridSpan w:val="2"/>
            <w:vAlign w:val="center"/>
          </w:tcPr>
          <w:p w14:paraId="4051F2CC">
            <w:pPr>
              <w:widowControl/>
              <w:spacing w:line="260" w:lineRule="exact"/>
              <w:jc w:val="left"/>
              <w:rPr>
                <w:rFonts w:ascii="仿宋_GB2312"/>
                <w:bCs/>
                <w:kern w:val="0"/>
                <w:szCs w:val="21"/>
              </w:rPr>
            </w:pPr>
            <w:r>
              <w:rPr>
                <w:rFonts w:hint="eastAsia" w:ascii="仿宋_GB2312"/>
                <w:bCs/>
                <w:kern w:val="0"/>
                <w:szCs w:val="21"/>
              </w:rPr>
              <w:t>配合各个乡镇开展五清行动和场镇提升行动。紧抓疫情防控工作。</w:t>
            </w:r>
          </w:p>
        </w:tc>
        <w:tc>
          <w:tcPr>
            <w:tcW w:w="583" w:type="pct"/>
            <w:gridSpan w:val="2"/>
            <w:vAlign w:val="center"/>
          </w:tcPr>
          <w:p w14:paraId="3AA2B6C3">
            <w:pPr>
              <w:widowControl/>
              <w:spacing w:line="260" w:lineRule="exact"/>
              <w:jc w:val="center"/>
              <w:rPr>
                <w:rFonts w:ascii="仿宋_GB2312"/>
                <w:kern w:val="0"/>
                <w:szCs w:val="21"/>
              </w:rPr>
            </w:pPr>
            <w:r>
              <w:rPr>
                <w:rFonts w:hint="eastAsia" w:ascii="仿宋_GB2312"/>
                <w:kern w:val="0"/>
                <w:szCs w:val="21"/>
              </w:rPr>
              <w:t>73.92</w:t>
            </w:r>
          </w:p>
        </w:tc>
        <w:tc>
          <w:tcPr>
            <w:tcW w:w="582" w:type="pct"/>
            <w:vAlign w:val="center"/>
          </w:tcPr>
          <w:p w14:paraId="4DCE5781">
            <w:pPr>
              <w:widowControl/>
              <w:spacing w:line="260" w:lineRule="exact"/>
              <w:jc w:val="center"/>
              <w:rPr>
                <w:rFonts w:ascii="仿宋_GB2312"/>
                <w:kern w:val="0"/>
                <w:szCs w:val="21"/>
              </w:rPr>
            </w:pPr>
            <w:r>
              <w:rPr>
                <w:rFonts w:hint="eastAsia" w:ascii="仿宋_GB2312"/>
                <w:kern w:val="0"/>
                <w:szCs w:val="21"/>
              </w:rPr>
              <w:t>73.92</w:t>
            </w:r>
          </w:p>
        </w:tc>
        <w:tc>
          <w:tcPr>
            <w:tcW w:w="335" w:type="pct"/>
            <w:vAlign w:val="center"/>
          </w:tcPr>
          <w:p w14:paraId="72C76E8A">
            <w:pPr>
              <w:widowControl/>
              <w:spacing w:line="260" w:lineRule="exact"/>
              <w:jc w:val="center"/>
              <w:rPr>
                <w:rFonts w:ascii="仿宋_GB2312"/>
                <w:kern w:val="0"/>
                <w:szCs w:val="21"/>
              </w:rPr>
            </w:pPr>
          </w:p>
        </w:tc>
        <w:tc>
          <w:tcPr>
            <w:tcW w:w="583" w:type="pct"/>
            <w:gridSpan w:val="2"/>
            <w:vAlign w:val="center"/>
          </w:tcPr>
          <w:p w14:paraId="35C1FD3D">
            <w:pPr>
              <w:widowControl/>
              <w:spacing w:line="260" w:lineRule="exact"/>
              <w:jc w:val="center"/>
              <w:rPr>
                <w:rFonts w:ascii="仿宋_GB2312"/>
                <w:kern w:val="0"/>
                <w:szCs w:val="21"/>
              </w:rPr>
            </w:pPr>
            <w:r>
              <w:rPr>
                <w:rFonts w:hint="eastAsia" w:ascii="仿宋_GB2312"/>
                <w:kern w:val="0"/>
                <w:szCs w:val="21"/>
              </w:rPr>
              <w:t>89.30</w:t>
            </w:r>
          </w:p>
        </w:tc>
        <w:tc>
          <w:tcPr>
            <w:tcW w:w="579" w:type="pct"/>
            <w:vAlign w:val="center"/>
          </w:tcPr>
          <w:p w14:paraId="578E1E8A">
            <w:pPr>
              <w:widowControl/>
              <w:spacing w:line="260" w:lineRule="exact"/>
              <w:jc w:val="center"/>
              <w:rPr>
                <w:rFonts w:ascii="仿宋_GB2312"/>
                <w:kern w:val="0"/>
                <w:szCs w:val="21"/>
              </w:rPr>
            </w:pPr>
            <w:r>
              <w:rPr>
                <w:rFonts w:hint="eastAsia" w:ascii="仿宋_GB2312"/>
                <w:kern w:val="0"/>
                <w:szCs w:val="21"/>
              </w:rPr>
              <w:t>89.30</w:t>
            </w:r>
          </w:p>
        </w:tc>
        <w:tc>
          <w:tcPr>
            <w:tcW w:w="277" w:type="pct"/>
            <w:vAlign w:val="center"/>
          </w:tcPr>
          <w:p w14:paraId="2A5407B8">
            <w:pPr>
              <w:widowControl/>
              <w:spacing w:line="260" w:lineRule="exact"/>
              <w:jc w:val="center"/>
              <w:rPr>
                <w:rFonts w:ascii="仿宋_GB2312"/>
                <w:kern w:val="0"/>
                <w:szCs w:val="21"/>
              </w:rPr>
            </w:pPr>
          </w:p>
        </w:tc>
      </w:tr>
      <w:tr w14:paraId="2A155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jc w:val="center"/>
        </w:trPr>
        <w:tc>
          <w:tcPr>
            <w:tcW w:w="253" w:type="pct"/>
            <w:vMerge w:val="continue"/>
            <w:vAlign w:val="center"/>
          </w:tcPr>
          <w:p w14:paraId="5713A5EB">
            <w:pPr>
              <w:widowControl/>
              <w:spacing w:line="260" w:lineRule="exact"/>
              <w:jc w:val="center"/>
              <w:rPr>
                <w:rFonts w:ascii="仿宋_GB2312"/>
                <w:kern w:val="0"/>
                <w:szCs w:val="21"/>
              </w:rPr>
            </w:pPr>
          </w:p>
        </w:tc>
        <w:tc>
          <w:tcPr>
            <w:tcW w:w="1808" w:type="pct"/>
            <w:gridSpan w:val="4"/>
            <w:vAlign w:val="center"/>
          </w:tcPr>
          <w:p w14:paraId="30E238C1">
            <w:pPr>
              <w:widowControl/>
              <w:spacing w:line="260" w:lineRule="exact"/>
              <w:jc w:val="center"/>
              <w:rPr>
                <w:rFonts w:ascii="仿宋_GB2312"/>
                <w:kern w:val="0"/>
                <w:szCs w:val="21"/>
              </w:rPr>
            </w:pPr>
            <w:r>
              <w:rPr>
                <w:rFonts w:hint="eastAsia" w:ascii="仿宋_GB2312"/>
                <w:kern w:val="0"/>
                <w:szCs w:val="21"/>
              </w:rPr>
              <w:t>金额合计</w:t>
            </w:r>
          </w:p>
        </w:tc>
        <w:tc>
          <w:tcPr>
            <w:tcW w:w="583" w:type="pct"/>
            <w:gridSpan w:val="2"/>
            <w:vAlign w:val="center"/>
          </w:tcPr>
          <w:p w14:paraId="377D8C89">
            <w:pPr>
              <w:widowControl/>
              <w:spacing w:line="260" w:lineRule="exact"/>
              <w:jc w:val="center"/>
              <w:rPr>
                <w:rFonts w:ascii="仿宋_GB2312"/>
                <w:kern w:val="0"/>
                <w:szCs w:val="21"/>
              </w:rPr>
            </w:pPr>
            <w:r>
              <w:rPr>
                <w:rFonts w:hint="eastAsia" w:ascii="仿宋_GB2312"/>
                <w:kern w:val="0"/>
                <w:szCs w:val="21"/>
              </w:rPr>
              <w:t>1599.26</w:t>
            </w:r>
          </w:p>
        </w:tc>
        <w:tc>
          <w:tcPr>
            <w:tcW w:w="582" w:type="pct"/>
            <w:vAlign w:val="center"/>
          </w:tcPr>
          <w:p w14:paraId="5C995C8E">
            <w:pPr>
              <w:widowControl/>
              <w:spacing w:line="260" w:lineRule="exact"/>
              <w:jc w:val="center"/>
              <w:rPr>
                <w:rFonts w:ascii="仿宋_GB2312"/>
                <w:kern w:val="0"/>
                <w:szCs w:val="21"/>
              </w:rPr>
            </w:pPr>
            <w:r>
              <w:rPr>
                <w:rFonts w:hint="eastAsia" w:ascii="仿宋_GB2312"/>
                <w:kern w:val="0"/>
                <w:szCs w:val="21"/>
              </w:rPr>
              <w:t>1599.26</w:t>
            </w:r>
          </w:p>
        </w:tc>
        <w:tc>
          <w:tcPr>
            <w:tcW w:w="335" w:type="pct"/>
            <w:vAlign w:val="center"/>
          </w:tcPr>
          <w:p w14:paraId="1EBE729E">
            <w:pPr>
              <w:widowControl/>
              <w:spacing w:line="260" w:lineRule="exact"/>
              <w:jc w:val="center"/>
              <w:rPr>
                <w:rFonts w:ascii="仿宋_GB2312"/>
                <w:kern w:val="0"/>
                <w:szCs w:val="21"/>
              </w:rPr>
            </w:pPr>
          </w:p>
        </w:tc>
        <w:tc>
          <w:tcPr>
            <w:tcW w:w="583" w:type="pct"/>
            <w:gridSpan w:val="2"/>
            <w:vAlign w:val="center"/>
          </w:tcPr>
          <w:p w14:paraId="1E4B04EC">
            <w:pPr>
              <w:widowControl/>
              <w:spacing w:line="260" w:lineRule="exact"/>
              <w:jc w:val="center"/>
              <w:rPr>
                <w:rFonts w:ascii="仿宋_GB2312"/>
                <w:kern w:val="0"/>
                <w:szCs w:val="21"/>
              </w:rPr>
            </w:pPr>
            <w:r>
              <w:rPr>
                <w:rFonts w:hint="eastAsia" w:ascii="仿宋_GB2312"/>
                <w:kern w:val="0"/>
                <w:szCs w:val="21"/>
              </w:rPr>
              <w:t>1818.69</w:t>
            </w:r>
          </w:p>
        </w:tc>
        <w:tc>
          <w:tcPr>
            <w:tcW w:w="579" w:type="pct"/>
            <w:noWrap/>
            <w:vAlign w:val="center"/>
          </w:tcPr>
          <w:p w14:paraId="52A1AC69">
            <w:pPr>
              <w:widowControl/>
              <w:spacing w:line="260" w:lineRule="exact"/>
              <w:jc w:val="center"/>
              <w:rPr>
                <w:rFonts w:ascii="仿宋_GB2312"/>
                <w:color w:val="000000"/>
                <w:kern w:val="0"/>
                <w:szCs w:val="21"/>
              </w:rPr>
            </w:pPr>
            <w:r>
              <w:rPr>
                <w:rFonts w:hint="eastAsia" w:ascii="仿宋_GB2312"/>
                <w:color w:val="000000"/>
                <w:kern w:val="0"/>
                <w:szCs w:val="21"/>
              </w:rPr>
              <w:t>1818.69</w:t>
            </w:r>
          </w:p>
        </w:tc>
        <w:tc>
          <w:tcPr>
            <w:tcW w:w="277" w:type="pct"/>
            <w:noWrap/>
            <w:vAlign w:val="center"/>
          </w:tcPr>
          <w:p w14:paraId="203B1A1B">
            <w:pPr>
              <w:widowControl/>
              <w:spacing w:line="260" w:lineRule="exact"/>
              <w:jc w:val="center"/>
              <w:rPr>
                <w:rFonts w:ascii="仿宋_GB2312"/>
                <w:color w:val="000000"/>
                <w:kern w:val="0"/>
                <w:szCs w:val="21"/>
              </w:rPr>
            </w:pPr>
          </w:p>
        </w:tc>
      </w:tr>
      <w:tr w14:paraId="3F436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253" w:type="pct"/>
            <w:vMerge w:val="restart"/>
            <w:vAlign w:val="center"/>
          </w:tcPr>
          <w:p w14:paraId="595ABA92">
            <w:pPr>
              <w:spacing w:line="260" w:lineRule="exact"/>
              <w:jc w:val="center"/>
              <w:rPr>
                <w:rFonts w:ascii="仿宋_GB2312"/>
                <w:kern w:val="0"/>
                <w:szCs w:val="21"/>
              </w:rPr>
            </w:pPr>
            <w:r>
              <w:rPr>
                <w:rFonts w:hint="eastAsia" w:ascii="仿宋_GB2312"/>
                <w:kern w:val="0"/>
                <w:szCs w:val="21"/>
              </w:rPr>
              <w:t>年度总体目标</w:t>
            </w:r>
          </w:p>
        </w:tc>
        <w:tc>
          <w:tcPr>
            <w:tcW w:w="2391" w:type="pct"/>
            <w:gridSpan w:val="6"/>
            <w:vAlign w:val="center"/>
          </w:tcPr>
          <w:p w14:paraId="10FD1A12">
            <w:pPr>
              <w:widowControl/>
              <w:spacing w:line="260" w:lineRule="exact"/>
              <w:jc w:val="center"/>
              <w:rPr>
                <w:rFonts w:ascii="仿宋_GB2312"/>
                <w:kern w:val="0"/>
                <w:szCs w:val="21"/>
              </w:rPr>
            </w:pPr>
            <w:r>
              <w:rPr>
                <w:rFonts w:hint="eastAsia" w:ascii="仿宋_GB2312"/>
                <w:kern w:val="0"/>
                <w:szCs w:val="21"/>
              </w:rPr>
              <w:t>预期目标</w:t>
            </w:r>
          </w:p>
        </w:tc>
        <w:tc>
          <w:tcPr>
            <w:tcW w:w="2356" w:type="pct"/>
            <w:gridSpan w:val="6"/>
            <w:vAlign w:val="center"/>
          </w:tcPr>
          <w:p w14:paraId="3812B7DA">
            <w:pPr>
              <w:widowControl/>
              <w:spacing w:line="260" w:lineRule="exact"/>
              <w:jc w:val="center"/>
              <w:rPr>
                <w:rFonts w:ascii="仿宋_GB2312"/>
                <w:kern w:val="0"/>
                <w:szCs w:val="21"/>
              </w:rPr>
            </w:pPr>
            <w:r>
              <w:rPr>
                <w:rFonts w:hint="eastAsia" w:ascii="仿宋_GB2312"/>
                <w:kern w:val="0"/>
                <w:szCs w:val="21"/>
              </w:rPr>
              <w:t>实际完成目标</w:t>
            </w:r>
          </w:p>
        </w:tc>
      </w:tr>
      <w:tr w14:paraId="11BBD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253" w:type="pct"/>
            <w:vMerge w:val="continue"/>
            <w:vAlign w:val="center"/>
          </w:tcPr>
          <w:p w14:paraId="61047EB7">
            <w:pPr>
              <w:widowControl/>
              <w:spacing w:line="260" w:lineRule="exact"/>
              <w:jc w:val="center"/>
              <w:rPr>
                <w:rFonts w:ascii="仿宋_GB2312"/>
                <w:kern w:val="0"/>
                <w:szCs w:val="21"/>
              </w:rPr>
            </w:pPr>
          </w:p>
        </w:tc>
        <w:tc>
          <w:tcPr>
            <w:tcW w:w="2391" w:type="pct"/>
            <w:gridSpan w:val="6"/>
            <w:vAlign w:val="center"/>
          </w:tcPr>
          <w:p w14:paraId="7A29A417">
            <w:pPr>
              <w:widowControl/>
              <w:spacing w:line="260" w:lineRule="exact"/>
              <w:jc w:val="center"/>
              <w:rPr>
                <w:rFonts w:ascii="仿宋_GB2312"/>
                <w:kern w:val="0"/>
                <w:szCs w:val="21"/>
              </w:rPr>
            </w:pPr>
            <w:r>
              <w:rPr>
                <w:rFonts w:ascii="仿宋_GB2312"/>
                <w:kern w:val="0"/>
                <w:szCs w:val="21"/>
              </w:rPr>
              <w:t>202</w:t>
            </w:r>
            <w:r>
              <w:rPr>
                <w:rFonts w:hint="eastAsia" w:ascii="仿宋_GB2312"/>
                <w:kern w:val="0"/>
                <w:szCs w:val="21"/>
              </w:rPr>
              <w:t>2</w:t>
            </w:r>
            <w:r>
              <w:rPr>
                <w:rFonts w:ascii="仿宋_GB2312"/>
                <w:kern w:val="0"/>
                <w:szCs w:val="21"/>
              </w:rPr>
              <w:t>年，县综合行政执法局在县委、县政府的坚强领导下，以习近平新时代中国特色社会主义思想为指导，紧紧围绕县委、县政府中心工作，切实做好各项工作</w:t>
            </w:r>
            <w:r>
              <w:rPr>
                <w:rFonts w:hint="eastAsia" w:ascii="仿宋_GB2312"/>
                <w:kern w:val="0"/>
                <w:szCs w:val="21"/>
              </w:rPr>
              <w:t>。1.强化</w:t>
            </w:r>
            <w:r>
              <w:rPr>
                <w:rFonts w:ascii="仿宋_GB2312"/>
                <w:kern w:val="0"/>
                <w:szCs w:val="21"/>
              </w:rPr>
              <w:t>理论学习</w:t>
            </w:r>
            <w:r>
              <w:rPr>
                <w:rFonts w:hint="eastAsia" w:ascii="仿宋_GB2312"/>
                <w:kern w:val="0"/>
                <w:szCs w:val="21"/>
              </w:rPr>
              <w:t>，落实岗位责任，积极有序推进综合执法改革。2.</w:t>
            </w:r>
            <w:r>
              <w:rPr>
                <w:rFonts w:ascii="仿宋_GB2312"/>
                <w:kern w:val="0"/>
                <w:szCs w:val="21"/>
              </w:rPr>
              <w:t>持续抓好党建和意识形态工作</w:t>
            </w:r>
            <w:r>
              <w:rPr>
                <w:rFonts w:hint="eastAsia" w:ascii="仿宋_GB2312"/>
                <w:kern w:val="0"/>
                <w:szCs w:val="21"/>
              </w:rPr>
              <w:t>，</w:t>
            </w:r>
            <w:r>
              <w:rPr>
                <w:rFonts w:ascii="仿宋_GB2312"/>
                <w:kern w:val="0"/>
                <w:szCs w:val="21"/>
              </w:rPr>
              <w:t>落实全面从严治党</w:t>
            </w:r>
            <w:r>
              <w:rPr>
                <w:rFonts w:hint="eastAsia" w:ascii="仿宋_GB2312"/>
                <w:kern w:val="0"/>
                <w:szCs w:val="21"/>
              </w:rPr>
              <w:t>。3.</w:t>
            </w:r>
            <w:r>
              <w:rPr>
                <w:rFonts w:hint="eastAsia" w:ascii="仿宋_GB2312"/>
                <w:bCs/>
                <w:kern w:val="0"/>
                <w:szCs w:val="21"/>
              </w:rPr>
              <w:t>依法行政，凝心聚力做好市场监管、交通、城市管理、农业、林业、文化领域执法工作。4.积极完成县委、县政府交办的其他工作任务。</w:t>
            </w:r>
          </w:p>
        </w:tc>
        <w:tc>
          <w:tcPr>
            <w:tcW w:w="2356" w:type="pct"/>
            <w:gridSpan w:val="6"/>
            <w:vAlign w:val="center"/>
          </w:tcPr>
          <w:p w14:paraId="660944F4">
            <w:pPr>
              <w:widowControl/>
              <w:spacing w:line="260" w:lineRule="exact"/>
              <w:jc w:val="center"/>
              <w:rPr>
                <w:rFonts w:ascii="仿宋_GB2312"/>
                <w:kern w:val="0"/>
                <w:szCs w:val="21"/>
              </w:rPr>
            </w:pPr>
            <w:r>
              <w:rPr>
                <w:rFonts w:ascii="仿宋_GB2312"/>
                <w:kern w:val="0"/>
                <w:szCs w:val="21"/>
              </w:rPr>
              <w:t>全面完成</w:t>
            </w:r>
          </w:p>
        </w:tc>
      </w:tr>
      <w:tr w14:paraId="6CEB5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253" w:type="pct"/>
            <w:vMerge w:val="restart"/>
            <w:vAlign w:val="center"/>
          </w:tcPr>
          <w:p w14:paraId="0FFCC976">
            <w:pPr>
              <w:widowControl/>
              <w:spacing w:line="260" w:lineRule="exact"/>
              <w:jc w:val="center"/>
              <w:rPr>
                <w:rFonts w:ascii="仿宋_GB2312"/>
                <w:kern w:val="0"/>
                <w:szCs w:val="21"/>
              </w:rPr>
            </w:pPr>
            <w:r>
              <w:rPr>
                <w:rFonts w:hint="eastAsia" w:ascii="仿宋_GB2312"/>
                <w:kern w:val="0"/>
                <w:szCs w:val="21"/>
              </w:rPr>
              <w:t>年度绩效指标</w:t>
            </w:r>
          </w:p>
        </w:tc>
        <w:tc>
          <w:tcPr>
            <w:tcW w:w="445" w:type="pct"/>
            <w:vAlign w:val="center"/>
          </w:tcPr>
          <w:p w14:paraId="3633DD40">
            <w:pPr>
              <w:widowControl/>
              <w:spacing w:line="260" w:lineRule="exact"/>
              <w:jc w:val="center"/>
              <w:rPr>
                <w:rFonts w:ascii="仿宋_GB2312"/>
                <w:kern w:val="0"/>
                <w:szCs w:val="21"/>
              </w:rPr>
            </w:pPr>
            <w:r>
              <w:rPr>
                <w:rFonts w:hint="eastAsia" w:ascii="仿宋_GB2312"/>
                <w:kern w:val="0"/>
                <w:szCs w:val="21"/>
              </w:rPr>
              <w:t>一级指标</w:t>
            </w:r>
          </w:p>
        </w:tc>
        <w:tc>
          <w:tcPr>
            <w:tcW w:w="760" w:type="pct"/>
            <w:gridSpan w:val="2"/>
            <w:vAlign w:val="center"/>
          </w:tcPr>
          <w:p w14:paraId="2354B0C2">
            <w:pPr>
              <w:widowControl/>
              <w:spacing w:line="260" w:lineRule="exact"/>
              <w:jc w:val="center"/>
              <w:rPr>
                <w:rFonts w:ascii="仿宋_GB2312"/>
                <w:kern w:val="0"/>
                <w:szCs w:val="21"/>
              </w:rPr>
            </w:pPr>
            <w:r>
              <w:rPr>
                <w:rFonts w:hint="eastAsia" w:ascii="仿宋_GB2312"/>
                <w:kern w:val="0"/>
                <w:szCs w:val="21"/>
              </w:rPr>
              <w:t>二级指标</w:t>
            </w:r>
          </w:p>
        </w:tc>
        <w:tc>
          <w:tcPr>
            <w:tcW w:w="1156" w:type="pct"/>
            <w:gridSpan w:val="2"/>
            <w:vAlign w:val="center"/>
          </w:tcPr>
          <w:p w14:paraId="312172AA">
            <w:pPr>
              <w:widowControl/>
              <w:spacing w:line="260" w:lineRule="exact"/>
              <w:jc w:val="center"/>
              <w:rPr>
                <w:rFonts w:ascii="仿宋_GB2312"/>
                <w:kern w:val="0"/>
                <w:szCs w:val="21"/>
              </w:rPr>
            </w:pPr>
            <w:r>
              <w:rPr>
                <w:rFonts w:hint="eastAsia" w:ascii="仿宋_GB2312"/>
                <w:kern w:val="0"/>
                <w:szCs w:val="21"/>
              </w:rPr>
              <w:t>三级指标</w:t>
            </w:r>
          </w:p>
        </w:tc>
        <w:tc>
          <w:tcPr>
            <w:tcW w:w="1114" w:type="pct"/>
            <w:gridSpan w:val="4"/>
            <w:vAlign w:val="center"/>
          </w:tcPr>
          <w:p w14:paraId="5D34E64B">
            <w:pPr>
              <w:widowControl/>
              <w:spacing w:line="260" w:lineRule="exact"/>
              <w:jc w:val="center"/>
              <w:rPr>
                <w:rFonts w:ascii="仿宋_GB2312"/>
                <w:color w:val="000000"/>
                <w:kern w:val="0"/>
                <w:szCs w:val="21"/>
              </w:rPr>
            </w:pPr>
            <w:r>
              <w:rPr>
                <w:rFonts w:hint="eastAsia" w:ascii="仿宋_GB2312"/>
                <w:color w:val="000000"/>
                <w:kern w:val="0"/>
                <w:szCs w:val="21"/>
              </w:rPr>
              <w:t>预期指标值（包含数字及文字描述）</w:t>
            </w:r>
          </w:p>
        </w:tc>
        <w:tc>
          <w:tcPr>
            <w:tcW w:w="1272" w:type="pct"/>
            <w:gridSpan w:val="3"/>
            <w:vAlign w:val="center"/>
          </w:tcPr>
          <w:p w14:paraId="4A934E21">
            <w:pPr>
              <w:widowControl/>
              <w:spacing w:line="260" w:lineRule="exact"/>
              <w:jc w:val="center"/>
              <w:rPr>
                <w:rFonts w:ascii="仿宋_GB2312"/>
                <w:color w:val="000000"/>
                <w:kern w:val="0"/>
                <w:szCs w:val="21"/>
              </w:rPr>
            </w:pPr>
            <w:r>
              <w:rPr>
                <w:rFonts w:hint="eastAsia" w:ascii="仿宋_GB2312"/>
                <w:color w:val="000000"/>
                <w:kern w:val="0"/>
                <w:szCs w:val="21"/>
              </w:rPr>
              <w:t>实际完成指标值（包含数字及文字描述）</w:t>
            </w:r>
          </w:p>
        </w:tc>
      </w:tr>
      <w:tr w14:paraId="0A582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253" w:type="pct"/>
            <w:vMerge w:val="continue"/>
            <w:vAlign w:val="center"/>
          </w:tcPr>
          <w:p w14:paraId="4B64D45A">
            <w:pPr>
              <w:widowControl/>
              <w:spacing w:line="260" w:lineRule="exact"/>
              <w:jc w:val="center"/>
              <w:rPr>
                <w:rFonts w:ascii="仿宋_GB2312"/>
                <w:kern w:val="0"/>
                <w:szCs w:val="21"/>
              </w:rPr>
            </w:pPr>
          </w:p>
        </w:tc>
        <w:tc>
          <w:tcPr>
            <w:tcW w:w="445" w:type="pct"/>
            <w:vMerge w:val="restart"/>
            <w:vAlign w:val="center"/>
          </w:tcPr>
          <w:p w14:paraId="00894F9B">
            <w:pPr>
              <w:widowControl/>
              <w:spacing w:line="260" w:lineRule="exact"/>
              <w:jc w:val="center"/>
              <w:rPr>
                <w:rFonts w:ascii="仿宋_GB2312"/>
                <w:kern w:val="0"/>
                <w:szCs w:val="21"/>
              </w:rPr>
            </w:pPr>
            <w:r>
              <w:rPr>
                <w:rFonts w:hint="eastAsia" w:ascii="仿宋_GB2312"/>
                <w:kern w:val="0"/>
                <w:szCs w:val="21"/>
              </w:rPr>
              <w:t>完成</w:t>
            </w:r>
          </w:p>
          <w:p w14:paraId="758E021E">
            <w:pPr>
              <w:widowControl/>
              <w:spacing w:line="260" w:lineRule="exact"/>
              <w:jc w:val="center"/>
              <w:rPr>
                <w:rFonts w:ascii="仿宋_GB2312"/>
                <w:kern w:val="0"/>
                <w:szCs w:val="21"/>
              </w:rPr>
            </w:pPr>
            <w:r>
              <w:rPr>
                <w:rFonts w:hint="eastAsia" w:ascii="仿宋_GB2312"/>
                <w:kern w:val="0"/>
                <w:szCs w:val="21"/>
              </w:rPr>
              <w:t>指标</w:t>
            </w:r>
          </w:p>
        </w:tc>
        <w:tc>
          <w:tcPr>
            <w:tcW w:w="760" w:type="pct"/>
            <w:gridSpan w:val="2"/>
            <w:vMerge w:val="restart"/>
            <w:vAlign w:val="center"/>
          </w:tcPr>
          <w:p w14:paraId="0383C38D">
            <w:pPr>
              <w:widowControl/>
              <w:spacing w:line="260" w:lineRule="exact"/>
              <w:jc w:val="center"/>
              <w:rPr>
                <w:rFonts w:ascii="仿宋_GB2312"/>
                <w:kern w:val="0"/>
                <w:szCs w:val="21"/>
              </w:rPr>
            </w:pPr>
            <w:r>
              <w:rPr>
                <w:rFonts w:hint="eastAsia" w:ascii="仿宋_GB2312"/>
                <w:kern w:val="0"/>
                <w:szCs w:val="21"/>
              </w:rPr>
              <w:t>数量指标</w:t>
            </w:r>
          </w:p>
        </w:tc>
        <w:tc>
          <w:tcPr>
            <w:tcW w:w="1156" w:type="pct"/>
            <w:gridSpan w:val="2"/>
            <w:vAlign w:val="center"/>
          </w:tcPr>
          <w:p w14:paraId="64039E39">
            <w:pPr>
              <w:widowControl/>
              <w:spacing w:line="260" w:lineRule="exact"/>
              <w:jc w:val="center"/>
              <w:rPr>
                <w:rFonts w:ascii="仿宋_GB2312"/>
                <w:kern w:val="0"/>
                <w:szCs w:val="21"/>
              </w:rPr>
            </w:pPr>
            <w:r>
              <w:rPr>
                <w:rFonts w:hint="eastAsia" w:ascii="仿宋_GB2312"/>
                <w:kern w:val="0"/>
                <w:szCs w:val="21"/>
              </w:rPr>
              <w:t>申报党建特色项目</w:t>
            </w:r>
          </w:p>
        </w:tc>
        <w:tc>
          <w:tcPr>
            <w:tcW w:w="1114" w:type="pct"/>
            <w:gridSpan w:val="4"/>
            <w:vAlign w:val="center"/>
          </w:tcPr>
          <w:p w14:paraId="5908C1C8">
            <w:pPr>
              <w:widowControl/>
              <w:spacing w:line="260" w:lineRule="exact"/>
              <w:jc w:val="center"/>
              <w:rPr>
                <w:rFonts w:ascii="仿宋_GB2312"/>
                <w:kern w:val="0"/>
                <w:szCs w:val="21"/>
              </w:rPr>
            </w:pPr>
            <w:r>
              <w:rPr>
                <w:rFonts w:hint="eastAsia" w:ascii="仿宋_GB2312"/>
                <w:kern w:val="0"/>
                <w:szCs w:val="21"/>
              </w:rPr>
              <w:t>2个</w:t>
            </w:r>
          </w:p>
        </w:tc>
        <w:tc>
          <w:tcPr>
            <w:tcW w:w="1272" w:type="pct"/>
            <w:gridSpan w:val="3"/>
            <w:noWrap/>
            <w:vAlign w:val="center"/>
          </w:tcPr>
          <w:p w14:paraId="69E984D9">
            <w:pPr>
              <w:widowControl/>
              <w:spacing w:line="260" w:lineRule="exact"/>
              <w:jc w:val="center"/>
              <w:rPr>
                <w:rFonts w:ascii="仿宋_GB2312"/>
                <w:color w:val="000000"/>
                <w:kern w:val="0"/>
                <w:szCs w:val="21"/>
              </w:rPr>
            </w:pPr>
            <w:r>
              <w:rPr>
                <w:rFonts w:hint="eastAsia" w:ascii="仿宋_GB2312"/>
                <w:color w:val="000000"/>
                <w:kern w:val="0"/>
                <w:szCs w:val="21"/>
              </w:rPr>
              <w:t>2个</w:t>
            </w:r>
          </w:p>
        </w:tc>
      </w:tr>
      <w:tr w14:paraId="6211F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253" w:type="pct"/>
            <w:vMerge w:val="continue"/>
            <w:vAlign w:val="center"/>
          </w:tcPr>
          <w:p w14:paraId="7D0CF3F6">
            <w:pPr>
              <w:widowControl/>
              <w:spacing w:line="260" w:lineRule="exact"/>
              <w:jc w:val="center"/>
              <w:rPr>
                <w:rFonts w:ascii="仿宋_GB2312"/>
                <w:kern w:val="0"/>
                <w:szCs w:val="21"/>
              </w:rPr>
            </w:pPr>
          </w:p>
        </w:tc>
        <w:tc>
          <w:tcPr>
            <w:tcW w:w="445" w:type="pct"/>
            <w:vMerge w:val="continue"/>
            <w:vAlign w:val="center"/>
          </w:tcPr>
          <w:p w14:paraId="6DAE1CEE">
            <w:pPr>
              <w:widowControl/>
              <w:spacing w:line="260" w:lineRule="exact"/>
              <w:jc w:val="center"/>
              <w:rPr>
                <w:rFonts w:ascii="仿宋_GB2312"/>
                <w:kern w:val="0"/>
                <w:szCs w:val="21"/>
              </w:rPr>
            </w:pPr>
          </w:p>
        </w:tc>
        <w:tc>
          <w:tcPr>
            <w:tcW w:w="760" w:type="pct"/>
            <w:gridSpan w:val="2"/>
            <w:vMerge w:val="continue"/>
            <w:vAlign w:val="center"/>
          </w:tcPr>
          <w:p w14:paraId="6A438879">
            <w:pPr>
              <w:widowControl/>
              <w:spacing w:line="260" w:lineRule="exact"/>
              <w:jc w:val="center"/>
              <w:rPr>
                <w:rFonts w:ascii="仿宋_GB2312"/>
                <w:kern w:val="0"/>
                <w:szCs w:val="21"/>
              </w:rPr>
            </w:pPr>
          </w:p>
        </w:tc>
        <w:tc>
          <w:tcPr>
            <w:tcW w:w="1156" w:type="pct"/>
            <w:gridSpan w:val="2"/>
            <w:vAlign w:val="center"/>
          </w:tcPr>
          <w:p w14:paraId="1A088D20">
            <w:pPr>
              <w:widowControl/>
              <w:spacing w:line="260" w:lineRule="exact"/>
              <w:jc w:val="center"/>
              <w:rPr>
                <w:rFonts w:ascii="仿宋_GB2312"/>
                <w:kern w:val="0"/>
                <w:szCs w:val="21"/>
              </w:rPr>
            </w:pPr>
            <w:r>
              <w:rPr>
                <w:rFonts w:hint="eastAsia" w:ascii="仿宋_GB2312"/>
                <w:kern w:val="0"/>
                <w:szCs w:val="21"/>
              </w:rPr>
              <w:t>综合行政执法日常巡查完成率</w:t>
            </w:r>
          </w:p>
        </w:tc>
        <w:tc>
          <w:tcPr>
            <w:tcW w:w="1114" w:type="pct"/>
            <w:gridSpan w:val="4"/>
            <w:vAlign w:val="center"/>
          </w:tcPr>
          <w:p w14:paraId="5FE5FC52">
            <w:pPr>
              <w:widowControl/>
              <w:spacing w:line="260" w:lineRule="exact"/>
              <w:jc w:val="center"/>
              <w:rPr>
                <w:rFonts w:ascii="仿宋_GB2312"/>
                <w:kern w:val="0"/>
                <w:szCs w:val="21"/>
              </w:rPr>
            </w:pPr>
            <w:r>
              <w:rPr>
                <w:rFonts w:hint="eastAsia" w:ascii="仿宋_GB2312"/>
                <w:kern w:val="0"/>
                <w:szCs w:val="21"/>
              </w:rPr>
              <w:t>100%</w:t>
            </w:r>
          </w:p>
        </w:tc>
        <w:tc>
          <w:tcPr>
            <w:tcW w:w="1272" w:type="pct"/>
            <w:gridSpan w:val="3"/>
            <w:noWrap/>
            <w:vAlign w:val="center"/>
          </w:tcPr>
          <w:p w14:paraId="50B2B713">
            <w:pPr>
              <w:widowControl/>
              <w:spacing w:line="260" w:lineRule="exact"/>
              <w:jc w:val="center"/>
              <w:rPr>
                <w:rFonts w:ascii="仿宋_GB2312"/>
                <w:color w:val="000000"/>
                <w:kern w:val="0"/>
                <w:szCs w:val="21"/>
              </w:rPr>
            </w:pPr>
            <w:r>
              <w:rPr>
                <w:rFonts w:hint="eastAsia" w:ascii="仿宋_GB2312"/>
                <w:color w:val="000000"/>
                <w:kern w:val="0"/>
                <w:szCs w:val="21"/>
              </w:rPr>
              <w:t>100%</w:t>
            </w:r>
          </w:p>
        </w:tc>
      </w:tr>
      <w:tr w14:paraId="2DE1D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continue"/>
            <w:vAlign w:val="center"/>
          </w:tcPr>
          <w:p w14:paraId="38028420">
            <w:pPr>
              <w:widowControl/>
              <w:spacing w:line="260" w:lineRule="exact"/>
              <w:jc w:val="center"/>
              <w:rPr>
                <w:rFonts w:ascii="仿宋_GB2312"/>
                <w:kern w:val="0"/>
                <w:szCs w:val="21"/>
              </w:rPr>
            </w:pPr>
          </w:p>
        </w:tc>
        <w:tc>
          <w:tcPr>
            <w:tcW w:w="445" w:type="pct"/>
            <w:vMerge w:val="continue"/>
            <w:vAlign w:val="center"/>
          </w:tcPr>
          <w:p w14:paraId="7D740F0E">
            <w:pPr>
              <w:widowControl/>
              <w:spacing w:line="260" w:lineRule="exact"/>
              <w:jc w:val="center"/>
              <w:rPr>
                <w:rFonts w:ascii="仿宋_GB2312"/>
                <w:kern w:val="0"/>
                <w:szCs w:val="21"/>
              </w:rPr>
            </w:pPr>
          </w:p>
        </w:tc>
        <w:tc>
          <w:tcPr>
            <w:tcW w:w="760" w:type="pct"/>
            <w:gridSpan w:val="2"/>
            <w:vMerge w:val="continue"/>
            <w:vAlign w:val="center"/>
          </w:tcPr>
          <w:p w14:paraId="75D9ABCD">
            <w:pPr>
              <w:widowControl/>
              <w:spacing w:line="260" w:lineRule="exact"/>
              <w:jc w:val="center"/>
              <w:rPr>
                <w:rFonts w:ascii="仿宋_GB2312"/>
                <w:kern w:val="0"/>
                <w:szCs w:val="21"/>
              </w:rPr>
            </w:pPr>
          </w:p>
        </w:tc>
        <w:tc>
          <w:tcPr>
            <w:tcW w:w="1156" w:type="pct"/>
            <w:gridSpan w:val="2"/>
            <w:vAlign w:val="center"/>
          </w:tcPr>
          <w:p w14:paraId="2528BA55">
            <w:pPr>
              <w:widowControl/>
              <w:spacing w:line="260" w:lineRule="exact"/>
              <w:jc w:val="center"/>
              <w:rPr>
                <w:rFonts w:ascii="仿宋_GB2312"/>
                <w:kern w:val="0"/>
                <w:szCs w:val="21"/>
              </w:rPr>
            </w:pPr>
            <w:r>
              <w:rPr>
                <w:rFonts w:hint="eastAsia" w:ascii="仿宋_GB2312"/>
                <w:kern w:val="0"/>
                <w:szCs w:val="21"/>
              </w:rPr>
              <w:t>综合行政执法违法案件查处率</w:t>
            </w:r>
          </w:p>
        </w:tc>
        <w:tc>
          <w:tcPr>
            <w:tcW w:w="1114" w:type="pct"/>
            <w:gridSpan w:val="4"/>
            <w:vAlign w:val="center"/>
          </w:tcPr>
          <w:p w14:paraId="75E97CA9">
            <w:pPr>
              <w:widowControl/>
              <w:spacing w:line="260" w:lineRule="exact"/>
              <w:jc w:val="center"/>
              <w:rPr>
                <w:rFonts w:ascii="仿宋_GB2312"/>
                <w:kern w:val="0"/>
                <w:szCs w:val="21"/>
              </w:rPr>
            </w:pPr>
            <w:r>
              <w:rPr>
                <w:rFonts w:hint="eastAsia" w:ascii="仿宋_GB2312"/>
                <w:kern w:val="0"/>
                <w:szCs w:val="21"/>
              </w:rPr>
              <w:t>100%</w:t>
            </w:r>
          </w:p>
        </w:tc>
        <w:tc>
          <w:tcPr>
            <w:tcW w:w="1272" w:type="pct"/>
            <w:gridSpan w:val="3"/>
            <w:noWrap/>
            <w:vAlign w:val="center"/>
          </w:tcPr>
          <w:p w14:paraId="3AA4E73E">
            <w:pPr>
              <w:widowControl/>
              <w:spacing w:line="260" w:lineRule="exact"/>
              <w:jc w:val="center"/>
              <w:rPr>
                <w:rFonts w:ascii="仿宋_GB2312"/>
                <w:color w:val="000000"/>
                <w:kern w:val="0"/>
                <w:szCs w:val="21"/>
              </w:rPr>
            </w:pPr>
            <w:r>
              <w:rPr>
                <w:rFonts w:hint="eastAsia" w:ascii="仿宋_GB2312"/>
                <w:color w:val="000000"/>
                <w:kern w:val="0"/>
                <w:szCs w:val="21"/>
              </w:rPr>
              <w:t>100%</w:t>
            </w:r>
          </w:p>
        </w:tc>
      </w:tr>
      <w:tr w14:paraId="1D45A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253" w:type="pct"/>
            <w:vMerge w:val="continue"/>
            <w:vAlign w:val="center"/>
          </w:tcPr>
          <w:p w14:paraId="28F0FB95">
            <w:pPr>
              <w:widowControl/>
              <w:spacing w:line="260" w:lineRule="exact"/>
              <w:jc w:val="center"/>
              <w:rPr>
                <w:rFonts w:ascii="仿宋_GB2312"/>
                <w:kern w:val="0"/>
                <w:szCs w:val="21"/>
              </w:rPr>
            </w:pPr>
          </w:p>
        </w:tc>
        <w:tc>
          <w:tcPr>
            <w:tcW w:w="445" w:type="pct"/>
            <w:vMerge w:val="continue"/>
            <w:vAlign w:val="center"/>
          </w:tcPr>
          <w:p w14:paraId="0BA9CD5E">
            <w:pPr>
              <w:widowControl/>
              <w:spacing w:line="260" w:lineRule="exact"/>
              <w:jc w:val="center"/>
              <w:rPr>
                <w:rFonts w:ascii="仿宋_GB2312"/>
                <w:kern w:val="0"/>
                <w:szCs w:val="21"/>
              </w:rPr>
            </w:pPr>
          </w:p>
        </w:tc>
        <w:tc>
          <w:tcPr>
            <w:tcW w:w="760" w:type="pct"/>
            <w:gridSpan w:val="2"/>
            <w:vMerge w:val="continue"/>
            <w:vAlign w:val="center"/>
          </w:tcPr>
          <w:p w14:paraId="41BBC8CE">
            <w:pPr>
              <w:widowControl/>
              <w:spacing w:line="260" w:lineRule="exact"/>
              <w:jc w:val="center"/>
              <w:rPr>
                <w:rFonts w:ascii="仿宋_GB2312"/>
                <w:kern w:val="0"/>
                <w:szCs w:val="21"/>
              </w:rPr>
            </w:pPr>
          </w:p>
        </w:tc>
        <w:tc>
          <w:tcPr>
            <w:tcW w:w="1156" w:type="pct"/>
            <w:gridSpan w:val="2"/>
            <w:vAlign w:val="center"/>
          </w:tcPr>
          <w:p w14:paraId="783E2F74">
            <w:pPr>
              <w:widowControl/>
              <w:spacing w:line="200" w:lineRule="exact"/>
              <w:jc w:val="center"/>
              <w:rPr>
                <w:rFonts w:ascii="仿宋_GB2312" w:hAnsi="宋体"/>
                <w:color w:val="000000"/>
                <w:szCs w:val="21"/>
              </w:rPr>
            </w:pPr>
            <w:r>
              <w:rPr>
                <w:rFonts w:hint="eastAsia" w:ascii="仿宋_GB2312" w:hAnsi="宋体"/>
                <w:color w:val="000000"/>
                <w:szCs w:val="21"/>
              </w:rPr>
              <w:t>全年投入执法人员</w:t>
            </w:r>
          </w:p>
        </w:tc>
        <w:tc>
          <w:tcPr>
            <w:tcW w:w="1114" w:type="pct"/>
            <w:gridSpan w:val="4"/>
            <w:vAlign w:val="center"/>
          </w:tcPr>
          <w:p w14:paraId="15B7DA72">
            <w:pPr>
              <w:widowControl/>
              <w:spacing w:line="200" w:lineRule="exact"/>
              <w:jc w:val="center"/>
              <w:rPr>
                <w:rFonts w:ascii="仿宋_GB2312" w:hAnsi="宋体"/>
                <w:color w:val="000000"/>
                <w:szCs w:val="21"/>
              </w:rPr>
            </w:pPr>
            <w:r>
              <w:rPr>
                <w:rFonts w:hint="eastAsia" w:ascii="仿宋_GB2312" w:hAnsi="宋体"/>
                <w:color w:val="000000"/>
                <w:szCs w:val="21"/>
              </w:rPr>
              <w:t>≥14000人次</w:t>
            </w:r>
          </w:p>
        </w:tc>
        <w:tc>
          <w:tcPr>
            <w:tcW w:w="1272" w:type="pct"/>
            <w:gridSpan w:val="3"/>
            <w:noWrap/>
            <w:vAlign w:val="center"/>
          </w:tcPr>
          <w:p w14:paraId="45183E3E">
            <w:pPr>
              <w:widowControl/>
              <w:spacing w:line="200" w:lineRule="exact"/>
              <w:rPr>
                <w:rFonts w:ascii="仿宋_GB2312" w:hAnsi="宋体"/>
                <w:color w:val="000000"/>
                <w:szCs w:val="21"/>
              </w:rPr>
            </w:pPr>
            <w:r>
              <w:rPr>
                <w:rFonts w:hint="eastAsia" w:ascii="仿宋_GB2312" w:hAnsi="宋体"/>
                <w:color w:val="000000"/>
                <w:szCs w:val="21"/>
              </w:rPr>
              <w:t>≥14000人次</w:t>
            </w:r>
          </w:p>
        </w:tc>
      </w:tr>
      <w:tr w14:paraId="3CEBF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53" w:type="pct"/>
            <w:vMerge w:val="continue"/>
            <w:vAlign w:val="center"/>
          </w:tcPr>
          <w:p w14:paraId="58EE0DEF">
            <w:pPr>
              <w:widowControl/>
              <w:spacing w:line="260" w:lineRule="exact"/>
              <w:jc w:val="center"/>
              <w:rPr>
                <w:rFonts w:ascii="仿宋_GB2312"/>
                <w:kern w:val="0"/>
                <w:szCs w:val="21"/>
              </w:rPr>
            </w:pPr>
          </w:p>
        </w:tc>
        <w:tc>
          <w:tcPr>
            <w:tcW w:w="445" w:type="pct"/>
            <w:vMerge w:val="continue"/>
            <w:vAlign w:val="center"/>
          </w:tcPr>
          <w:p w14:paraId="6B10B2F3">
            <w:pPr>
              <w:widowControl/>
              <w:spacing w:line="260" w:lineRule="exact"/>
              <w:jc w:val="center"/>
              <w:rPr>
                <w:rFonts w:ascii="仿宋_GB2312"/>
                <w:kern w:val="0"/>
                <w:szCs w:val="21"/>
              </w:rPr>
            </w:pPr>
          </w:p>
        </w:tc>
        <w:tc>
          <w:tcPr>
            <w:tcW w:w="760" w:type="pct"/>
            <w:gridSpan w:val="2"/>
            <w:vMerge w:val="continue"/>
            <w:vAlign w:val="center"/>
          </w:tcPr>
          <w:p w14:paraId="36224A5B">
            <w:pPr>
              <w:widowControl/>
              <w:spacing w:line="260" w:lineRule="exact"/>
              <w:jc w:val="center"/>
              <w:rPr>
                <w:rFonts w:ascii="仿宋_GB2312"/>
                <w:kern w:val="0"/>
                <w:szCs w:val="21"/>
              </w:rPr>
            </w:pPr>
          </w:p>
        </w:tc>
        <w:tc>
          <w:tcPr>
            <w:tcW w:w="1156" w:type="pct"/>
            <w:gridSpan w:val="2"/>
            <w:vAlign w:val="center"/>
          </w:tcPr>
          <w:p w14:paraId="5FE5F08B">
            <w:pPr>
              <w:widowControl/>
              <w:spacing w:line="260" w:lineRule="exact"/>
              <w:jc w:val="center"/>
              <w:rPr>
                <w:rFonts w:ascii="仿宋_GB2312"/>
                <w:kern w:val="0"/>
                <w:szCs w:val="21"/>
              </w:rPr>
            </w:pPr>
            <w:r>
              <w:rPr>
                <w:rFonts w:hint="eastAsia" w:ascii="仿宋_GB2312"/>
                <w:kern w:val="0"/>
                <w:szCs w:val="21"/>
              </w:rPr>
              <w:t>全年出动执法车辆</w:t>
            </w:r>
          </w:p>
        </w:tc>
        <w:tc>
          <w:tcPr>
            <w:tcW w:w="1114" w:type="pct"/>
            <w:gridSpan w:val="4"/>
            <w:vAlign w:val="center"/>
          </w:tcPr>
          <w:p w14:paraId="5CBC5D45">
            <w:pPr>
              <w:widowControl/>
              <w:spacing w:line="260" w:lineRule="exact"/>
              <w:jc w:val="center"/>
              <w:rPr>
                <w:rFonts w:ascii="仿宋_GB2312"/>
                <w:kern w:val="0"/>
                <w:szCs w:val="21"/>
              </w:rPr>
            </w:pPr>
            <w:r>
              <w:rPr>
                <w:rFonts w:hint="eastAsia" w:ascii="仿宋_GB2312"/>
                <w:kern w:val="0"/>
                <w:szCs w:val="21"/>
              </w:rPr>
              <w:t>2800台次</w:t>
            </w:r>
          </w:p>
        </w:tc>
        <w:tc>
          <w:tcPr>
            <w:tcW w:w="1272" w:type="pct"/>
            <w:gridSpan w:val="3"/>
            <w:noWrap/>
            <w:vAlign w:val="center"/>
          </w:tcPr>
          <w:p w14:paraId="4D2F406B">
            <w:pPr>
              <w:widowControl/>
              <w:spacing w:line="260" w:lineRule="exact"/>
              <w:jc w:val="center"/>
              <w:rPr>
                <w:rFonts w:ascii="仿宋_GB2312"/>
                <w:color w:val="000000"/>
                <w:kern w:val="0"/>
                <w:szCs w:val="21"/>
              </w:rPr>
            </w:pPr>
            <w:r>
              <w:rPr>
                <w:rFonts w:hint="eastAsia" w:ascii="仿宋_GB2312"/>
                <w:color w:val="000000"/>
                <w:kern w:val="0"/>
                <w:szCs w:val="21"/>
              </w:rPr>
              <w:t>2800台次</w:t>
            </w:r>
          </w:p>
        </w:tc>
      </w:tr>
      <w:tr w14:paraId="65EB8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53" w:type="pct"/>
            <w:vMerge w:val="continue"/>
            <w:vAlign w:val="center"/>
          </w:tcPr>
          <w:p w14:paraId="343761DA">
            <w:pPr>
              <w:widowControl/>
              <w:spacing w:line="260" w:lineRule="exact"/>
              <w:jc w:val="center"/>
              <w:rPr>
                <w:rFonts w:ascii="仿宋_GB2312"/>
                <w:kern w:val="0"/>
                <w:szCs w:val="21"/>
              </w:rPr>
            </w:pPr>
          </w:p>
        </w:tc>
        <w:tc>
          <w:tcPr>
            <w:tcW w:w="445" w:type="pct"/>
            <w:vMerge w:val="continue"/>
            <w:vAlign w:val="center"/>
          </w:tcPr>
          <w:p w14:paraId="7DB3AA9A">
            <w:pPr>
              <w:widowControl/>
              <w:spacing w:line="260" w:lineRule="exact"/>
              <w:jc w:val="center"/>
              <w:rPr>
                <w:rFonts w:ascii="仿宋_GB2312"/>
                <w:kern w:val="0"/>
                <w:szCs w:val="21"/>
              </w:rPr>
            </w:pPr>
          </w:p>
        </w:tc>
        <w:tc>
          <w:tcPr>
            <w:tcW w:w="760" w:type="pct"/>
            <w:gridSpan w:val="2"/>
            <w:vMerge w:val="continue"/>
            <w:vAlign w:val="center"/>
          </w:tcPr>
          <w:p w14:paraId="5750F2AB">
            <w:pPr>
              <w:widowControl/>
              <w:spacing w:line="260" w:lineRule="exact"/>
              <w:jc w:val="center"/>
              <w:rPr>
                <w:rFonts w:ascii="仿宋_GB2312"/>
                <w:kern w:val="0"/>
                <w:szCs w:val="21"/>
              </w:rPr>
            </w:pPr>
          </w:p>
        </w:tc>
        <w:tc>
          <w:tcPr>
            <w:tcW w:w="1156" w:type="pct"/>
            <w:gridSpan w:val="2"/>
            <w:vAlign w:val="center"/>
          </w:tcPr>
          <w:p w14:paraId="765228F1">
            <w:pPr>
              <w:widowControl/>
              <w:spacing w:line="260" w:lineRule="exact"/>
              <w:jc w:val="center"/>
              <w:rPr>
                <w:rFonts w:ascii="仿宋_GB2312"/>
                <w:kern w:val="0"/>
                <w:szCs w:val="21"/>
              </w:rPr>
            </w:pPr>
            <w:r>
              <w:rPr>
                <w:rFonts w:hint="eastAsia" w:ascii="仿宋_GB2312"/>
                <w:kern w:val="0"/>
                <w:szCs w:val="21"/>
              </w:rPr>
              <w:t>受理其他单位移交我局案件线索</w:t>
            </w:r>
          </w:p>
        </w:tc>
        <w:tc>
          <w:tcPr>
            <w:tcW w:w="1114" w:type="pct"/>
            <w:gridSpan w:val="4"/>
            <w:vAlign w:val="center"/>
          </w:tcPr>
          <w:p w14:paraId="75BB36CD">
            <w:pPr>
              <w:widowControl/>
              <w:spacing w:line="260" w:lineRule="exact"/>
              <w:jc w:val="center"/>
              <w:rPr>
                <w:rFonts w:ascii="仿宋_GB2312"/>
                <w:kern w:val="0"/>
                <w:szCs w:val="21"/>
              </w:rPr>
            </w:pPr>
            <w:r>
              <w:rPr>
                <w:rFonts w:hint="eastAsia" w:ascii="仿宋_GB2312"/>
                <w:kern w:val="0"/>
                <w:szCs w:val="21"/>
              </w:rPr>
              <w:t>90余起</w:t>
            </w:r>
          </w:p>
        </w:tc>
        <w:tc>
          <w:tcPr>
            <w:tcW w:w="1272" w:type="pct"/>
            <w:gridSpan w:val="3"/>
            <w:noWrap/>
            <w:vAlign w:val="center"/>
          </w:tcPr>
          <w:p w14:paraId="5BF33DF9">
            <w:pPr>
              <w:widowControl/>
              <w:spacing w:line="260" w:lineRule="exact"/>
              <w:jc w:val="center"/>
              <w:rPr>
                <w:rFonts w:ascii="仿宋_GB2312"/>
                <w:color w:val="000000"/>
                <w:kern w:val="0"/>
                <w:szCs w:val="21"/>
              </w:rPr>
            </w:pPr>
            <w:r>
              <w:rPr>
                <w:rFonts w:hint="eastAsia" w:ascii="仿宋_GB2312"/>
                <w:color w:val="000000"/>
                <w:kern w:val="0"/>
                <w:szCs w:val="21"/>
              </w:rPr>
              <w:t>90余起</w:t>
            </w:r>
          </w:p>
        </w:tc>
      </w:tr>
      <w:tr w14:paraId="405C4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53" w:type="pct"/>
            <w:vMerge w:val="continue"/>
            <w:vAlign w:val="center"/>
          </w:tcPr>
          <w:p w14:paraId="1AC470FF">
            <w:pPr>
              <w:widowControl/>
              <w:spacing w:line="260" w:lineRule="exact"/>
              <w:jc w:val="center"/>
              <w:rPr>
                <w:rFonts w:ascii="仿宋_GB2312"/>
                <w:kern w:val="0"/>
                <w:szCs w:val="21"/>
              </w:rPr>
            </w:pPr>
          </w:p>
        </w:tc>
        <w:tc>
          <w:tcPr>
            <w:tcW w:w="445" w:type="pct"/>
            <w:vMerge w:val="continue"/>
            <w:vAlign w:val="center"/>
          </w:tcPr>
          <w:p w14:paraId="37834B34">
            <w:pPr>
              <w:widowControl/>
              <w:spacing w:line="260" w:lineRule="exact"/>
              <w:jc w:val="center"/>
              <w:rPr>
                <w:rFonts w:ascii="仿宋_GB2312"/>
                <w:kern w:val="0"/>
                <w:szCs w:val="21"/>
              </w:rPr>
            </w:pPr>
          </w:p>
        </w:tc>
        <w:tc>
          <w:tcPr>
            <w:tcW w:w="760" w:type="pct"/>
            <w:gridSpan w:val="2"/>
            <w:vMerge w:val="continue"/>
            <w:vAlign w:val="center"/>
          </w:tcPr>
          <w:p w14:paraId="5F1CB269">
            <w:pPr>
              <w:widowControl/>
              <w:spacing w:line="260" w:lineRule="exact"/>
              <w:jc w:val="center"/>
              <w:rPr>
                <w:rFonts w:ascii="仿宋_GB2312"/>
                <w:kern w:val="0"/>
                <w:szCs w:val="21"/>
              </w:rPr>
            </w:pPr>
          </w:p>
        </w:tc>
        <w:tc>
          <w:tcPr>
            <w:tcW w:w="1156" w:type="pct"/>
            <w:gridSpan w:val="2"/>
            <w:vAlign w:val="center"/>
          </w:tcPr>
          <w:p w14:paraId="594EE4C2">
            <w:pPr>
              <w:widowControl/>
              <w:spacing w:line="260" w:lineRule="exact"/>
              <w:jc w:val="center"/>
              <w:rPr>
                <w:rFonts w:ascii="仿宋_GB2312"/>
                <w:kern w:val="0"/>
                <w:szCs w:val="21"/>
              </w:rPr>
            </w:pPr>
            <w:r>
              <w:rPr>
                <w:rFonts w:hint="eastAsia" w:ascii="仿宋_GB2312"/>
                <w:kern w:val="0"/>
                <w:szCs w:val="21"/>
              </w:rPr>
              <w:t>受理来电来访投诉举报和心连心投诉举报</w:t>
            </w:r>
          </w:p>
        </w:tc>
        <w:tc>
          <w:tcPr>
            <w:tcW w:w="1114" w:type="pct"/>
            <w:gridSpan w:val="4"/>
            <w:vAlign w:val="center"/>
          </w:tcPr>
          <w:p w14:paraId="43347E54">
            <w:pPr>
              <w:widowControl/>
              <w:spacing w:line="260" w:lineRule="exact"/>
              <w:jc w:val="center"/>
              <w:rPr>
                <w:rFonts w:ascii="仿宋_GB2312"/>
                <w:kern w:val="0"/>
                <w:szCs w:val="21"/>
              </w:rPr>
            </w:pPr>
            <w:r>
              <w:rPr>
                <w:rFonts w:hint="eastAsia" w:ascii="仿宋_GB2312"/>
                <w:kern w:val="0"/>
                <w:szCs w:val="21"/>
              </w:rPr>
              <w:t>440余件</w:t>
            </w:r>
          </w:p>
        </w:tc>
        <w:tc>
          <w:tcPr>
            <w:tcW w:w="1272" w:type="pct"/>
            <w:gridSpan w:val="3"/>
            <w:noWrap/>
            <w:vAlign w:val="center"/>
          </w:tcPr>
          <w:p w14:paraId="1AED92D6">
            <w:pPr>
              <w:widowControl/>
              <w:spacing w:line="260" w:lineRule="exact"/>
              <w:jc w:val="center"/>
              <w:rPr>
                <w:rFonts w:ascii="仿宋_GB2312"/>
                <w:color w:val="000000"/>
                <w:kern w:val="0"/>
                <w:szCs w:val="21"/>
              </w:rPr>
            </w:pPr>
            <w:r>
              <w:rPr>
                <w:rFonts w:hint="eastAsia" w:ascii="仿宋_GB2312"/>
                <w:kern w:val="0"/>
                <w:szCs w:val="21"/>
              </w:rPr>
              <w:t>440余件</w:t>
            </w:r>
          </w:p>
        </w:tc>
      </w:tr>
      <w:tr w14:paraId="1B858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53" w:type="pct"/>
            <w:vMerge w:val="continue"/>
            <w:vAlign w:val="center"/>
          </w:tcPr>
          <w:p w14:paraId="5C3CFBB3">
            <w:pPr>
              <w:widowControl/>
              <w:spacing w:line="260" w:lineRule="exact"/>
              <w:jc w:val="center"/>
              <w:rPr>
                <w:rFonts w:ascii="仿宋_GB2312"/>
                <w:kern w:val="0"/>
                <w:szCs w:val="21"/>
              </w:rPr>
            </w:pPr>
          </w:p>
        </w:tc>
        <w:tc>
          <w:tcPr>
            <w:tcW w:w="445" w:type="pct"/>
            <w:vMerge w:val="continue"/>
            <w:vAlign w:val="center"/>
          </w:tcPr>
          <w:p w14:paraId="2C5D6818">
            <w:pPr>
              <w:widowControl/>
              <w:spacing w:line="260" w:lineRule="exact"/>
              <w:jc w:val="center"/>
              <w:rPr>
                <w:rFonts w:ascii="仿宋_GB2312"/>
                <w:kern w:val="0"/>
                <w:szCs w:val="21"/>
              </w:rPr>
            </w:pPr>
          </w:p>
        </w:tc>
        <w:tc>
          <w:tcPr>
            <w:tcW w:w="760" w:type="pct"/>
            <w:gridSpan w:val="2"/>
            <w:vMerge w:val="continue"/>
            <w:vAlign w:val="center"/>
          </w:tcPr>
          <w:p w14:paraId="5549BD13">
            <w:pPr>
              <w:widowControl/>
              <w:spacing w:line="260" w:lineRule="exact"/>
              <w:jc w:val="center"/>
              <w:rPr>
                <w:rFonts w:ascii="仿宋_GB2312"/>
                <w:kern w:val="0"/>
                <w:szCs w:val="21"/>
              </w:rPr>
            </w:pPr>
          </w:p>
        </w:tc>
        <w:tc>
          <w:tcPr>
            <w:tcW w:w="1156" w:type="pct"/>
            <w:gridSpan w:val="2"/>
            <w:vAlign w:val="center"/>
          </w:tcPr>
          <w:p w14:paraId="3F1E6280">
            <w:pPr>
              <w:widowControl/>
              <w:spacing w:line="260" w:lineRule="exact"/>
              <w:jc w:val="center"/>
              <w:rPr>
                <w:rFonts w:ascii="仿宋_GB2312"/>
                <w:kern w:val="0"/>
                <w:szCs w:val="21"/>
              </w:rPr>
            </w:pPr>
            <w:r>
              <w:rPr>
                <w:rFonts w:hint="eastAsia" w:ascii="仿宋_GB2312"/>
                <w:kern w:val="0"/>
                <w:szCs w:val="21"/>
              </w:rPr>
              <w:t>完成执法执勤用车购置</w:t>
            </w:r>
          </w:p>
        </w:tc>
        <w:tc>
          <w:tcPr>
            <w:tcW w:w="1114" w:type="pct"/>
            <w:gridSpan w:val="4"/>
            <w:vAlign w:val="center"/>
          </w:tcPr>
          <w:p w14:paraId="78B95B54">
            <w:pPr>
              <w:widowControl/>
              <w:spacing w:line="260" w:lineRule="exact"/>
              <w:jc w:val="center"/>
              <w:rPr>
                <w:rFonts w:ascii="仿宋_GB2312"/>
                <w:kern w:val="0"/>
                <w:szCs w:val="21"/>
              </w:rPr>
            </w:pPr>
            <w:r>
              <w:rPr>
                <w:rFonts w:hint="eastAsia" w:ascii="仿宋_GB2312"/>
                <w:kern w:val="0"/>
                <w:szCs w:val="21"/>
              </w:rPr>
              <w:t>2辆</w:t>
            </w:r>
          </w:p>
        </w:tc>
        <w:tc>
          <w:tcPr>
            <w:tcW w:w="1272" w:type="pct"/>
            <w:gridSpan w:val="3"/>
            <w:noWrap/>
            <w:vAlign w:val="center"/>
          </w:tcPr>
          <w:p w14:paraId="31E27B6B">
            <w:pPr>
              <w:widowControl/>
              <w:spacing w:line="260" w:lineRule="exact"/>
              <w:jc w:val="center"/>
              <w:rPr>
                <w:rFonts w:ascii="仿宋_GB2312"/>
                <w:color w:val="000000"/>
                <w:kern w:val="0"/>
                <w:szCs w:val="21"/>
              </w:rPr>
            </w:pPr>
            <w:r>
              <w:rPr>
                <w:rFonts w:hint="eastAsia" w:ascii="仿宋_GB2312"/>
                <w:color w:val="000000"/>
                <w:kern w:val="0"/>
                <w:szCs w:val="21"/>
              </w:rPr>
              <w:t>2辆</w:t>
            </w:r>
          </w:p>
        </w:tc>
      </w:tr>
      <w:tr w14:paraId="775AD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253" w:type="pct"/>
            <w:vMerge w:val="continue"/>
            <w:vAlign w:val="center"/>
          </w:tcPr>
          <w:p w14:paraId="5CAF7BC0">
            <w:pPr>
              <w:widowControl/>
              <w:spacing w:line="260" w:lineRule="exact"/>
              <w:jc w:val="center"/>
              <w:rPr>
                <w:rFonts w:ascii="仿宋_GB2312"/>
                <w:kern w:val="0"/>
                <w:szCs w:val="21"/>
              </w:rPr>
            </w:pPr>
          </w:p>
        </w:tc>
        <w:tc>
          <w:tcPr>
            <w:tcW w:w="445" w:type="pct"/>
            <w:vMerge w:val="continue"/>
            <w:vAlign w:val="center"/>
          </w:tcPr>
          <w:p w14:paraId="0F99AA68">
            <w:pPr>
              <w:widowControl/>
              <w:spacing w:line="260" w:lineRule="exact"/>
              <w:jc w:val="center"/>
              <w:rPr>
                <w:rFonts w:ascii="仿宋_GB2312"/>
                <w:kern w:val="0"/>
                <w:szCs w:val="21"/>
              </w:rPr>
            </w:pPr>
          </w:p>
        </w:tc>
        <w:tc>
          <w:tcPr>
            <w:tcW w:w="760" w:type="pct"/>
            <w:gridSpan w:val="2"/>
            <w:vMerge w:val="restart"/>
            <w:vAlign w:val="center"/>
          </w:tcPr>
          <w:p w14:paraId="414842F2">
            <w:pPr>
              <w:widowControl/>
              <w:spacing w:line="260" w:lineRule="exact"/>
              <w:jc w:val="center"/>
              <w:rPr>
                <w:rFonts w:ascii="仿宋_GB2312"/>
                <w:kern w:val="0"/>
                <w:szCs w:val="21"/>
              </w:rPr>
            </w:pPr>
            <w:r>
              <w:rPr>
                <w:rFonts w:hint="eastAsia" w:ascii="仿宋_GB2312"/>
                <w:kern w:val="0"/>
                <w:szCs w:val="21"/>
              </w:rPr>
              <w:t>质量指标</w:t>
            </w:r>
          </w:p>
        </w:tc>
        <w:tc>
          <w:tcPr>
            <w:tcW w:w="1156" w:type="pct"/>
            <w:gridSpan w:val="2"/>
            <w:vAlign w:val="center"/>
          </w:tcPr>
          <w:p w14:paraId="0C5E0E8A">
            <w:pPr>
              <w:widowControl/>
              <w:spacing w:line="260" w:lineRule="exact"/>
              <w:jc w:val="center"/>
              <w:rPr>
                <w:rFonts w:ascii="仿宋_GB2312"/>
                <w:kern w:val="0"/>
                <w:szCs w:val="21"/>
              </w:rPr>
            </w:pPr>
            <w:r>
              <w:rPr>
                <w:rFonts w:hint="eastAsia" w:ascii="仿宋_GB2312"/>
                <w:kern w:val="0"/>
                <w:szCs w:val="21"/>
              </w:rPr>
              <w:t xml:space="preserve">推进综合行政执法改革 </w:t>
            </w:r>
          </w:p>
        </w:tc>
        <w:tc>
          <w:tcPr>
            <w:tcW w:w="1114" w:type="pct"/>
            <w:gridSpan w:val="4"/>
            <w:vAlign w:val="center"/>
          </w:tcPr>
          <w:p w14:paraId="62260144">
            <w:pPr>
              <w:widowControl/>
              <w:spacing w:line="260" w:lineRule="exact"/>
              <w:jc w:val="center"/>
              <w:rPr>
                <w:rFonts w:ascii="仿宋_GB2312"/>
                <w:kern w:val="0"/>
                <w:szCs w:val="21"/>
              </w:rPr>
            </w:pPr>
            <w:r>
              <w:rPr>
                <w:rFonts w:hint="eastAsia" w:ascii="仿宋_GB2312"/>
                <w:kern w:val="0"/>
                <w:szCs w:val="21"/>
              </w:rPr>
              <w:t>科技执法逐步深入</w:t>
            </w:r>
          </w:p>
        </w:tc>
        <w:tc>
          <w:tcPr>
            <w:tcW w:w="1272" w:type="pct"/>
            <w:gridSpan w:val="3"/>
            <w:noWrap/>
            <w:vAlign w:val="center"/>
          </w:tcPr>
          <w:p w14:paraId="793092DA">
            <w:pPr>
              <w:widowControl/>
              <w:spacing w:line="260" w:lineRule="exact"/>
              <w:jc w:val="center"/>
              <w:rPr>
                <w:rFonts w:ascii="仿宋_GB2312"/>
                <w:color w:val="000000"/>
                <w:kern w:val="0"/>
                <w:szCs w:val="21"/>
              </w:rPr>
            </w:pPr>
            <w:r>
              <w:rPr>
                <w:rFonts w:hint="eastAsia" w:ascii="仿宋_GB2312"/>
                <w:kern w:val="0"/>
                <w:szCs w:val="21"/>
              </w:rPr>
              <w:t>科技执法逐步深入</w:t>
            </w:r>
          </w:p>
        </w:tc>
      </w:tr>
      <w:tr w14:paraId="1BBE7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253" w:type="pct"/>
            <w:vMerge w:val="continue"/>
            <w:vAlign w:val="center"/>
          </w:tcPr>
          <w:p w14:paraId="416AADAB">
            <w:pPr>
              <w:widowControl/>
              <w:spacing w:line="260" w:lineRule="exact"/>
              <w:jc w:val="center"/>
              <w:rPr>
                <w:rFonts w:ascii="仿宋_GB2312"/>
                <w:kern w:val="0"/>
                <w:szCs w:val="21"/>
              </w:rPr>
            </w:pPr>
          </w:p>
        </w:tc>
        <w:tc>
          <w:tcPr>
            <w:tcW w:w="445" w:type="pct"/>
            <w:vMerge w:val="continue"/>
            <w:vAlign w:val="center"/>
          </w:tcPr>
          <w:p w14:paraId="1EF7F661">
            <w:pPr>
              <w:widowControl/>
              <w:spacing w:line="260" w:lineRule="exact"/>
              <w:jc w:val="center"/>
              <w:rPr>
                <w:rFonts w:ascii="仿宋_GB2312"/>
                <w:kern w:val="0"/>
                <w:szCs w:val="21"/>
              </w:rPr>
            </w:pPr>
          </w:p>
        </w:tc>
        <w:tc>
          <w:tcPr>
            <w:tcW w:w="760" w:type="pct"/>
            <w:gridSpan w:val="2"/>
            <w:vMerge w:val="continue"/>
            <w:vAlign w:val="center"/>
          </w:tcPr>
          <w:p w14:paraId="6AD3FCFB">
            <w:pPr>
              <w:widowControl/>
              <w:spacing w:line="260" w:lineRule="exact"/>
              <w:jc w:val="center"/>
              <w:rPr>
                <w:rFonts w:ascii="仿宋_GB2312"/>
                <w:kern w:val="0"/>
                <w:szCs w:val="21"/>
              </w:rPr>
            </w:pPr>
          </w:p>
        </w:tc>
        <w:tc>
          <w:tcPr>
            <w:tcW w:w="1156" w:type="pct"/>
            <w:gridSpan w:val="2"/>
            <w:vAlign w:val="center"/>
          </w:tcPr>
          <w:p w14:paraId="481D8F23">
            <w:pPr>
              <w:widowControl/>
              <w:spacing w:line="260" w:lineRule="exact"/>
              <w:jc w:val="center"/>
              <w:rPr>
                <w:rFonts w:ascii="仿宋_GB2312"/>
                <w:kern w:val="0"/>
                <w:szCs w:val="21"/>
              </w:rPr>
            </w:pPr>
            <w:r>
              <w:rPr>
                <w:rFonts w:hint="eastAsia" w:ascii="仿宋_GB2312"/>
                <w:kern w:val="0"/>
                <w:szCs w:val="21"/>
              </w:rPr>
              <w:t>综合执法能力</w:t>
            </w:r>
          </w:p>
        </w:tc>
        <w:tc>
          <w:tcPr>
            <w:tcW w:w="1114" w:type="pct"/>
            <w:gridSpan w:val="4"/>
            <w:vAlign w:val="center"/>
          </w:tcPr>
          <w:p w14:paraId="069AE24C">
            <w:pPr>
              <w:widowControl/>
              <w:spacing w:line="260" w:lineRule="exact"/>
              <w:jc w:val="center"/>
              <w:rPr>
                <w:rFonts w:ascii="仿宋_GB2312"/>
                <w:kern w:val="0"/>
                <w:szCs w:val="21"/>
              </w:rPr>
            </w:pPr>
            <w:r>
              <w:rPr>
                <w:rFonts w:hint="eastAsia" w:ascii="仿宋_GB2312"/>
                <w:kern w:val="0"/>
                <w:szCs w:val="21"/>
              </w:rPr>
              <w:t>显著提高</w:t>
            </w:r>
          </w:p>
        </w:tc>
        <w:tc>
          <w:tcPr>
            <w:tcW w:w="1272" w:type="pct"/>
            <w:gridSpan w:val="3"/>
            <w:noWrap/>
            <w:vAlign w:val="center"/>
          </w:tcPr>
          <w:p w14:paraId="713AF87E">
            <w:pPr>
              <w:widowControl/>
              <w:spacing w:line="260" w:lineRule="exact"/>
              <w:jc w:val="center"/>
              <w:rPr>
                <w:rFonts w:ascii="仿宋_GB2312"/>
                <w:color w:val="000000"/>
                <w:kern w:val="0"/>
                <w:szCs w:val="21"/>
              </w:rPr>
            </w:pPr>
            <w:r>
              <w:rPr>
                <w:rFonts w:hint="eastAsia" w:ascii="仿宋_GB2312"/>
                <w:color w:val="000000"/>
                <w:kern w:val="0"/>
                <w:szCs w:val="21"/>
              </w:rPr>
              <w:t>显著提高</w:t>
            </w:r>
          </w:p>
        </w:tc>
      </w:tr>
      <w:tr w14:paraId="14B88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253" w:type="pct"/>
            <w:vMerge w:val="continue"/>
            <w:vAlign w:val="center"/>
          </w:tcPr>
          <w:p w14:paraId="2DE89EA1">
            <w:pPr>
              <w:widowControl/>
              <w:spacing w:line="260" w:lineRule="exact"/>
              <w:jc w:val="center"/>
              <w:rPr>
                <w:rFonts w:ascii="仿宋_GB2312"/>
                <w:kern w:val="0"/>
                <w:szCs w:val="21"/>
              </w:rPr>
            </w:pPr>
          </w:p>
        </w:tc>
        <w:tc>
          <w:tcPr>
            <w:tcW w:w="445" w:type="pct"/>
            <w:vMerge w:val="continue"/>
            <w:vAlign w:val="center"/>
          </w:tcPr>
          <w:p w14:paraId="3FBEC143">
            <w:pPr>
              <w:widowControl/>
              <w:spacing w:line="260" w:lineRule="exact"/>
              <w:jc w:val="center"/>
              <w:rPr>
                <w:rFonts w:ascii="仿宋_GB2312"/>
                <w:kern w:val="0"/>
                <w:szCs w:val="21"/>
              </w:rPr>
            </w:pPr>
          </w:p>
        </w:tc>
        <w:tc>
          <w:tcPr>
            <w:tcW w:w="760" w:type="pct"/>
            <w:gridSpan w:val="2"/>
            <w:vMerge w:val="continue"/>
            <w:vAlign w:val="center"/>
          </w:tcPr>
          <w:p w14:paraId="3F22664C">
            <w:pPr>
              <w:widowControl/>
              <w:spacing w:line="260" w:lineRule="exact"/>
              <w:jc w:val="center"/>
              <w:rPr>
                <w:rFonts w:ascii="仿宋_GB2312"/>
                <w:kern w:val="0"/>
                <w:szCs w:val="21"/>
              </w:rPr>
            </w:pPr>
          </w:p>
        </w:tc>
        <w:tc>
          <w:tcPr>
            <w:tcW w:w="1156" w:type="pct"/>
            <w:gridSpan w:val="2"/>
            <w:vAlign w:val="center"/>
          </w:tcPr>
          <w:p w14:paraId="09AE713C">
            <w:pPr>
              <w:widowControl/>
              <w:spacing w:line="260" w:lineRule="exact"/>
              <w:jc w:val="center"/>
              <w:rPr>
                <w:rFonts w:ascii="仿宋_GB2312"/>
                <w:kern w:val="0"/>
                <w:szCs w:val="21"/>
              </w:rPr>
            </w:pPr>
            <w:r>
              <w:rPr>
                <w:rFonts w:hint="eastAsia" w:ascii="仿宋_GB2312"/>
                <w:kern w:val="0"/>
                <w:szCs w:val="21"/>
              </w:rPr>
              <w:t>综合行政执法工作完成率</w:t>
            </w:r>
          </w:p>
        </w:tc>
        <w:tc>
          <w:tcPr>
            <w:tcW w:w="1114" w:type="pct"/>
            <w:gridSpan w:val="4"/>
            <w:vAlign w:val="center"/>
          </w:tcPr>
          <w:p w14:paraId="104BC27B">
            <w:pPr>
              <w:widowControl/>
              <w:spacing w:line="260" w:lineRule="exact"/>
              <w:jc w:val="center"/>
              <w:rPr>
                <w:rFonts w:ascii="仿宋_GB2312"/>
                <w:kern w:val="0"/>
                <w:szCs w:val="21"/>
              </w:rPr>
            </w:pPr>
            <w:r>
              <w:rPr>
                <w:rFonts w:hint="eastAsia" w:ascii="仿宋_GB2312"/>
                <w:kern w:val="0"/>
                <w:szCs w:val="21"/>
              </w:rPr>
              <w:t>99%</w:t>
            </w:r>
          </w:p>
        </w:tc>
        <w:tc>
          <w:tcPr>
            <w:tcW w:w="1272" w:type="pct"/>
            <w:gridSpan w:val="3"/>
            <w:noWrap/>
            <w:vAlign w:val="center"/>
          </w:tcPr>
          <w:p w14:paraId="3B1841E5">
            <w:pPr>
              <w:widowControl/>
              <w:spacing w:line="260" w:lineRule="exact"/>
              <w:jc w:val="center"/>
              <w:rPr>
                <w:rFonts w:ascii="仿宋_GB2312"/>
                <w:color w:val="000000"/>
                <w:kern w:val="0"/>
                <w:szCs w:val="21"/>
              </w:rPr>
            </w:pPr>
            <w:r>
              <w:rPr>
                <w:rFonts w:hint="eastAsia" w:ascii="仿宋_GB2312"/>
                <w:color w:val="000000"/>
                <w:kern w:val="0"/>
                <w:szCs w:val="21"/>
              </w:rPr>
              <w:t>99%</w:t>
            </w:r>
          </w:p>
        </w:tc>
      </w:tr>
      <w:tr w14:paraId="22C9B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53" w:type="pct"/>
            <w:vMerge w:val="continue"/>
            <w:vAlign w:val="center"/>
          </w:tcPr>
          <w:p w14:paraId="40EF8557">
            <w:pPr>
              <w:widowControl/>
              <w:spacing w:line="260" w:lineRule="exact"/>
              <w:jc w:val="center"/>
              <w:rPr>
                <w:rFonts w:ascii="仿宋_GB2312"/>
                <w:kern w:val="0"/>
                <w:szCs w:val="21"/>
              </w:rPr>
            </w:pPr>
          </w:p>
        </w:tc>
        <w:tc>
          <w:tcPr>
            <w:tcW w:w="445" w:type="pct"/>
            <w:vMerge w:val="continue"/>
            <w:vAlign w:val="center"/>
          </w:tcPr>
          <w:p w14:paraId="09C10529">
            <w:pPr>
              <w:widowControl/>
              <w:spacing w:line="260" w:lineRule="exact"/>
              <w:jc w:val="center"/>
              <w:rPr>
                <w:rFonts w:ascii="仿宋_GB2312"/>
                <w:kern w:val="0"/>
                <w:szCs w:val="21"/>
              </w:rPr>
            </w:pPr>
          </w:p>
        </w:tc>
        <w:tc>
          <w:tcPr>
            <w:tcW w:w="760" w:type="pct"/>
            <w:gridSpan w:val="2"/>
            <w:vMerge w:val="continue"/>
            <w:vAlign w:val="center"/>
          </w:tcPr>
          <w:p w14:paraId="77679957">
            <w:pPr>
              <w:widowControl/>
              <w:spacing w:line="260" w:lineRule="exact"/>
              <w:jc w:val="center"/>
              <w:rPr>
                <w:rFonts w:ascii="仿宋_GB2312"/>
                <w:kern w:val="0"/>
                <w:szCs w:val="21"/>
              </w:rPr>
            </w:pPr>
          </w:p>
        </w:tc>
        <w:tc>
          <w:tcPr>
            <w:tcW w:w="1156" w:type="pct"/>
            <w:gridSpan w:val="2"/>
            <w:vAlign w:val="center"/>
          </w:tcPr>
          <w:p w14:paraId="2934B126">
            <w:pPr>
              <w:widowControl/>
              <w:spacing w:line="260" w:lineRule="exact"/>
              <w:jc w:val="center"/>
              <w:rPr>
                <w:rFonts w:ascii="仿宋_GB2312"/>
                <w:kern w:val="0"/>
                <w:szCs w:val="21"/>
              </w:rPr>
            </w:pPr>
            <w:r>
              <w:rPr>
                <w:rFonts w:hint="eastAsia" w:ascii="仿宋_GB2312"/>
                <w:kern w:val="0"/>
                <w:szCs w:val="21"/>
              </w:rPr>
              <w:t>行政复议、行政诉讼案件</w:t>
            </w:r>
          </w:p>
        </w:tc>
        <w:tc>
          <w:tcPr>
            <w:tcW w:w="1114" w:type="pct"/>
            <w:gridSpan w:val="4"/>
            <w:vAlign w:val="center"/>
          </w:tcPr>
          <w:p w14:paraId="4E24893E">
            <w:pPr>
              <w:widowControl/>
              <w:spacing w:line="260" w:lineRule="exact"/>
              <w:jc w:val="center"/>
              <w:rPr>
                <w:rFonts w:ascii="仿宋_GB2312"/>
                <w:kern w:val="0"/>
                <w:szCs w:val="21"/>
              </w:rPr>
            </w:pPr>
            <w:r>
              <w:rPr>
                <w:rFonts w:hint="eastAsia" w:ascii="仿宋_GB2312"/>
                <w:kern w:val="0"/>
                <w:szCs w:val="21"/>
              </w:rPr>
              <w:t>无</w:t>
            </w:r>
          </w:p>
        </w:tc>
        <w:tc>
          <w:tcPr>
            <w:tcW w:w="1272" w:type="pct"/>
            <w:gridSpan w:val="3"/>
            <w:noWrap/>
            <w:vAlign w:val="center"/>
          </w:tcPr>
          <w:p w14:paraId="405CD784">
            <w:pPr>
              <w:widowControl/>
              <w:spacing w:line="260" w:lineRule="exact"/>
              <w:jc w:val="center"/>
              <w:rPr>
                <w:rFonts w:ascii="仿宋_GB2312"/>
                <w:kern w:val="0"/>
                <w:szCs w:val="21"/>
              </w:rPr>
            </w:pPr>
            <w:r>
              <w:rPr>
                <w:rFonts w:hint="eastAsia" w:ascii="仿宋_GB2312"/>
                <w:kern w:val="0"/>
                <w:szCs w:val="21"/>
              </w:rPr>
              <w:t>无</w:t>
            </w:r>
          </w:p>
        </w:tc>
      </w:tr>
      <w:tr w14:paraId="5E8B8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53" w:type="pct"/>
            <w:vMerge w:val="continue"/>
            <w:vAlign w:val="center"/>
          </w:tcPr>
          <w:p w14:paraId="01F44446">
            <w:pPr>
              <w:widowControl/>
              <w:spacing w:line="260" w:lineRule="exact"/>
              <w:jc w:val="center"/>
              <w:rPr>
                <w:rFonts w:ascii="仿宋_GB2312"/>
                <w:kern w:val="0"/>
                <w:szCs w:val="21"/>
              </w:rPr>
            </w:pPr>
          </w:p>
        </w:tc>
        <w:tc>
          <w:tcPr>
            <w:tcW w:w="445" w:type="pct"/>
            <w:vMerge w:val="continue"/>
            <w:vAlign w:val="center"/>
          </w:tcPr>
          <w:p w14:paraId="73B4595E">
            <w:pPr>
              <w:widowControl/>
              <w:spacing w:line="260" w:lineRule="exact"/>
              <w:jc w:val="center"/>
              <w:rPr>
                <w:rFonts w:ascii="仿宋_GB2312"/>
                <w:kern w:val="0"/>
                <w:szCs w:val="21"/>
              </w:rPr>
            </w:pPr>
          </w:p>
        </w:tc>
        <w:tc>
          <w:tcPr>
            <w:tcW w:w="760" w:type="pct"/>
            <w:gridSpan w:val="2"/>
            <w:vMerge w:val="continue"/>
            <w:vAlign w:val="center"/>
          </w:tcPr>
          <w:p w14:paraId="2BE8E2A9">
            <w:pPr>
              <w:widowControl/>
              <w:spacing w:line="260" w:lineRule="exact"/>
              <w:jc w:val="center"/>
              <w:rPr>
                <w:rFonts w:ascii="仿宋_GB2312"/>
                <w:kern w:val="0"/>
                <w:szCs w:val="21"/>
              </w:rPr>
            </w:pPr>
          </w:p>
        </w:tc>
        <w:tc>
          <w:tcPr>
            <w:tcW w:w="1156" w:type="pct"/>
            <w:gridSpan w:val="2"/>
            <w:vAlign w:val="center"/>
          </w:tcPr>
          <w:p w14:paraId="0D08343A">
            <w:pPr>
              <w:widowControl/>
              <w:spacing w:line="260" w:lineRule="exact"/>
              <w:jc w:val="center"/>
              <w:rPr>
                <w:rFonts w:ascii="仿宋_GB2312"/>
                <w:kern w:val="0"/>
                <w:szCs w:val="21"/>
              </w:rPr>
            </w:pPr>
          </w:p>
        </w:tc>
        <w:tc>
          <w:tcPr>
            <w:tcW w:w="1114" w:type="pct"/>
            <w:gridSpan w:val="4"/>
            <w:vAlign w:val="center"/>
          </w:tcPr>
          <w:p w14:paraId="6603D1F5">
            <w:pPr>
              <w:widowControl/>
              <w:spacing w:line="260" w:lineRule="exact"/>
              <w:jc w:val="center"/>
              <w:rPr>
                <w:rFonts w:ascii="仿宋_GB2312"/>
                <w:kern w:val="0"/>
                <w:szCs w:val="21"/>
              </w:rPr>
            </w:pPr>
          </w:p>
        </w:tc>
        <w:tc>
          <w:tcPr>
            <w:tcW w:w="1272" w:type="pct"/>
            <w:gridSpan w:val="3"/>
            <w:noWrap/>
            <w:vAlign w:val="center"/>
          </w:tcPr>
          <w:p w14:paraId="35B0AF34">
            <w:pPr>
              <w:widowControl/>
              <w:spacing w:line="260" w:lineRule="exact"/>
              <w:jc w:val="center"/>
              <w:rPr>
                <w:rFonts w:ascii="仿宋_GB2312"/>
                <w:color w:val="000000"/>
                <w:kern w:val="0"/>
                <w:szCs w:val="21"/>
              </w:rPr>
            </w:pPr>
          </w:p>
        </w:tc>
      </w:tr>
      <w:tr w14:paraId="002D9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53" w:type="pct"/>
            <w:vMerge w:val="continue"/>
            <w:vAlign w:val="center"/>
          </w:tcPr>
          <w:p w14:paraId="4FDCFDF9">
            <w:pPr>
              <w:widowControl/>
              <w:spacing w:line="260" w:lineRule="exact"/>
              <w:jc w:val="center"/>
              <w:rPr>
                <w:rFonts w:ascii="仿宋_GB2312"/>
                <w:kern w:val="0"/>
                <w:szCs w:val="21"/>
              </w:rPr>
            </w:pPr>
          </w:p>
        </w:tc>
        <w:tc>
          <w:tcPr>
            <w:tcW w:w="445" w:type="pct"/>
            <w:vMerge w:val="continue"/>
            <w:vAlign w:val="center"/>
          </w:tcPr>
          <w:p w14:paraId="51C0C62F">
            <w:pPr>
              <w:widowControl/>
              <w:spacing w:line="260" w:lineRule="exact"/>
              <w:jc w:val="center"/>
              <w:rPr>
                <w:rFonts w:ascii="仿宋_GB2312"/>
                <w:kern w:val="0"/>
                <w:szCs w:val="21"/>
              </w:rPr>
            </w:pPr>
          </w:p>
        </w:tc>
        <w:tc>
          <w:tcPr>
            <w:tcW w:w="760" w:type="pct"/>
            <w:gridSpan w:val="2"/>
            <w:vMerge w:val="restart"/>
            <w:vAlign w:val="center"/>
          </w:tcPr>
          <w:p w14:paraId="2DEF7E6C">
            <w:pPr>
              <w:widowControl/>
              <w:spacing w:line="260" w:lineRule="exact"/>
              <w:jc w:val="center"/>
              <w:rPr>
                <w:rFonts w:ascii="仿宋_GB2312"/>
                <w:kern w:val="0"/>
                <w:szCs w:val="21"/>
              </w:rPr>
            </w:pPr>
            <w:r>
              <w:rPr>
                <w:rFonts w:hint="eastAsia" w:ascii="仿宋_GB2312"/>
                <w:kern w:val="0"/>
                <w:szCs w:val="21"/>
              </w:rPr>
              <w:t>时效指标</w:t>
            </w:r>
          </w:p>
        </w:tc>
        <w:tc>
          <w:tcPr>
            <w:tcW w:w="1156" w:type="pct"/>
            <w:gridSpan w:val="2"/>
            <w:vAlign w:val="center"/>
          </w:tcPr>
          <w:p w14:paraId="333380F5">
            <w:pPr>
              <w:widowControl/>
              <w:spacing w:line="200" w:lineRule="exact"/>
              <w:jc w:val="center"/>
              <w:rPr>
                <w:rFonts w:ascii="仿宋_GB2312" w:hAnsi="宋体"/>
                <w:color w:val="000000"/>
                <w:szCs w:val="21"/>
              </w:rPr>
            </w:pPr>
            <w:r>
              <w:rPr>
                <w:rFonts w:hint="eastAsia" w:ascii="仿宋_GB2312" w:hAnsi="宋体"/>
                <w:color w:val="000000"/>
                <w:szCs w:val="21"/>
              </w:rPr>
              <w:t>资金支付及时性</w:t>
            </w:r>
          </w:p>
        </w:tc>
        <w:tc>
          <w:tcPr>
            <w:tcW w:w="1114" w:type="pct"/>
            <w:gridSpan w:val="4"/>
            <w:vAlign w:val="center"/>
          </w:tcPr>
          <w:p w14:paraId="59ECB281">
            <w:pPr>
              <w:widowControl/>
              <w:spacing w:line="200" w:lineRule="exact"/>
              <w:jc w:val="center"/>
              <w:rPr>
                <w:rFonts w:ascii="仿宋_GB2312" w:hAnsi="宋体"/>
                <w:color w:val="000000"/>
                <w:szCs w:val="21"/>
              </w:rPr>
            </w:pPr>
            <w:r>
              <w:rPr>
                <w:rFonts w:hint="eastAsia" w:ascii="仿宋_GB2312" w:hAnsi="宋体"/>
                <w:color w:val="000000"/>
                <w:szCs w:val="21"/>
              </w:rPr>
              <w:t>100%</w:t>
            </w:r>
          </w:p>
        </w:tc>
        <w:tc>
          <w:tcPr>
            <w:tcW w:w="1272" w:type="pct"/>
            <w:gridSpan w:val="3"/>
            <w:noWrap/>
            <w:vAlign w:val="center"/>
          </w:tcPr>
          <w:p w14:paraId="2873508D">
            <w:pPr>
              <w:widowControl/>
              <w:spacing w:line="200" w:lineRule="exact"/>
              <w:rPr>
                <w:rFonts w:ascii="仿宋_GB2312" w:hAnsi="宋体"/>
                <w:color w:val="000000"/>
                <w:szCs w:val="21"/>
              </w:rPr>
            </w:pPr>
            <w:r>
              <w:rPr>
                <w:rFonts w:hint="eastAsia" w:ascii="仿宋_GB2312" w:hAnsi="宋体"/>
                <w:color w:val="000000"/>
                <w:szCs w:val="21"/>
              </w:rPr>
              <w:t>100%</w:t>
            </w:r>
          </w:p>
        </w:tc>
      </w:tr>
      <w:tr w14:paraId="3AB7D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253" w:type="pct"/>
            <w:vMerge w:val="continue"/>
            <w:vAlign w:val="center"/>
          </w:tcPr>
          <w:p w14:paraId="6951E4FB">
            <w:pPr>
              <w:widowControl/>
              <w:spacing w:line="260" w:lineRule="exact"/>
              <w:jc w:val="center"/>
              <w:rPr>
                <w:rFonts w:ascii="仿宋_GB2312"/>
                <w:kern w:val="0"/>
                <w:szCs w:val="21"/>
              </w:rPr>
            </w:pPr>
          </w:p>
        </w:tc>
        <w:tc>
          <w:tcPr>
            <w:tcW w:w="445" w:type="pct"/>
            <w:vMerge w:val="continue"/>
            <w:vAlign w:val="center"/>
          </w:tcPr>
          <w:p w14:paraId="70FD2D8E">
            <w:pPr>
              <w:widowControl/>
              <w:spacing w:line="260" w:lineRule="exact"/>
              <w:jc w:val="center"/>
              <w:rPr>
                <w:rFonts w:ascii="仿宋_GB2312"/>
                <w:kern w:val="0"/>
                <w:szCs w:val="21"/>
              </w:rPr>
            </w:pPr>
          </w:p>
        </w:tc>
        <w:tc>
          <w:tcPr>
            <w:tcW w:w="760" w:type="pct"/>
            <w:gridSpan w:val="2"/>
            <w:vMerge w:val="continue"/>
            <w:vAlign w:val="center"/>
          </w:tcPr>
          <w:p w14:paraId="4BEAC0B0">
            <w:pPr>
              <w:widowControl/>
              <w:spacing w:line="260" w:lineRule="exact"/>
              <w:jc w:val="center"/>
              <w:rPr>
                <w:rFonts w:ascii="仿宋_GB2312"/>
                <w:kern w:val="0"/>
                <w:szCs w:val="21"/>
              </w:rPr>
            </w:pPr>
          </w:p>
        </w:tc>
        <w:tc>
          <w:tcPr>
            <w:tcW w:w="1156" w:type="pct"/>
            <w:gridSpan w:val="2"/>
            <w:vAlign w:val="center"/>
          </w:tcPr>
          <w:p w14:paraId="67178A55">
            <w:pPr>
              <w:widowControl/>
              <w:spacing w:line="200" w:lineRule="exact"/>
              <w:jc w:val="center"/>
              <w:rPr>
                <w:rFonts w:ascii="仿宋_GB2312" w:hAnsi="宋体"/>
                <w:color w:val="000000"/>
                <w:szCs w:val="21"/>
              </w:rPr>
            </w:pPr>
            <w:r>
              <w:rPr>
                <w:rFonts w:hint="eastAsia" w:ascii="仿宋_GB2312" w:hAnsi="宋体"/>
                <w:color w:val="000000"/>
                <w:szCs w:val="21"/>
              </w:rPr>
              <w:t>行政案件查处及时率</w:t>
            </w:r>
          </w:p>
        </w:tc>
        <w:tc>
          <w:tcPr>
            <w:tcW w:w="1114" w:type="pct"/>
            <w:gridSpan w:val="4"/>
            <w:vAlign w:val="center"/>
          </w:tcPr>
          <w:p w14:paraId="484C8D46">
            <w:pPr>
              <w:widowControl/>
              <w:spacing w:line="200" w:lineRule="exact"/>
              <w:jc w:val="center"/>
              <w:rPr>
                <w:rFonts w:ascii="仿宋_GB2312" w:hAnsi="宋体"/>
                <w:color w:val="000000"/>
                <w:szCs w:val="21"/>
              </w:rPr>
            </w:pPr>
            <w:r>
              <w:rPr>
                <w:rFonts w:hint="eastAsia" w:ascii="仿宋_GB2312" w:hAnsi="宋体"/>
                <w:color w:val="000000"/>
                <w:szCs w:val="21"/>
              </w:rPr>
              <w:t>100%</w:t>
            </w:r>
          </w:p>
        </w:tc>
        <w:tc>
          <w:tcPr>
            <w:tcW w:w="1272" w:type="pct"/>
            <w:gridSpan w:val="3"/>
            <w:noWrap/>
            <w:vAlign w:val="center"/>
          </w:tcPr>
          <w:p w14:paraId="625063E4">
            <w:pPr>
              <w:widowControl/>
              <w:spacing w:line="200" w:lineRule="exact"/>
              <w:rPr>
                <w:rFonts w:ascii="仿宋_GB2312" w:hAnsi="宋体"/>
                <w:color w:val="000000"/>
                <w:szCs w:val="21"/>
              </w:rPr>
            </w:pPr>
            <w:r>
              <w:rPr>
                <w:rFonts w:hint="eastAsia" w:ascii="仿宋_GB2312" w:hAnsi="宋体"/>
                <w:color w:val="000000"/>
                <w:szCs w:val="21"/>
              </w:rPr>
              <w:t>100%</w:t>
            </w:r>
          </w:p>
        </w:tc>
      </w:tr>
      <w:tr w14:paraId="01CE6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253" w:type="pct"/>
            <w:vMerge w:val="continue"/>
            <w:vAlign w:val="center"/>
          </w:tcPr>
          <w:p w14:paraId="5870C108">
            <w:pPr>
              <w:widowControl/>
              <w:spacing w:line="260" w:lineRule="exact"/>
              <w:jc w:val="center"/>
              <w:rPr>
                <w:rFonts w:ascii="仿宋_GB2312"/>
                <w:kern w:val="0"/>
                <w:szCs w:val="21"/>
              </w:rPr>
            </w:pPr>
          </w:p>
        </w:tc>
        <w:tc>
          <w:tcPr>
            <w:tcW w:w="445" w:type="pct"/>
            <w:vMerge w:val="continue"/>
            <w:vAlign w:val="center"/>
          </w:tcPr>
          <w:p w14:paraId="49E3C638">
            <w:pPr>
              <w:widowControl/>
              <w:spacing w:line="260" w:lineRule="exact"/>
              <w:jc w:val="center"/>
              <w:rPr>
                <w:rFonts w:ascii="仿宋_GB2312"/>
                <w:kern w:val="0"/>
                <w:szCs w:val="21"/>
              </w:rPr>
            </w:pPr>
          </w:p>
        </w:tc>
        <w:tc>
          <w:tcPr>
            <w:tcW w:w="760" w:type="pct"/>
            <w:gridSpan w:val="2"/>
            <w:vMerge w:val="continue"/>
            <w:vAlign w:val="center"/>
          </w:tcPr>
          <w:p w14:paraId="4B5E352C">
            <w:pPr>
              <w:widowControl/>
              <w:spacing w:line="260" w:lineRule="exact"/>
              <w:jc w:val="center"/>
              <w:rPr>
                <w:rFonts w:ascii="仿宋_GB2312"/>
                <w:kern w:val="0"/>
                <w:szCs w:val="21"/>
              </w:rPr>
            </w:pPr>
          </w:p>
        </w:tc>
        <w:tc>
          <w:tcPr>
            <w:tcW w:w="1156" w:type="pct"/>
            <w:gridSpan w:val="2"/>
            <w:vAlign w:val="center"/>
          </w:tcPr>
          <w:p w14:paraId="368FA22B">
            <w:pPr>
              <w:widowControl/>
              <w:spacing w:line="260" w:lineRule="exact"/>
              <w:jc w:val="center"/>
              <w:rPr>
                <w:rFonts w:ascii="仿宋_GB2312"/>
                <w:kern w:val="0"/>
                <w:szCs w:val="21"/>
              </w:rPr>
            </w:pPr>
          </w:p>
        </w:tc>
        <w:tc>
          <w:tcPr>
            <w:tcW w:w="1114" w:type="pct"/>
            <w:gridSpan w:val="4"/>
            <w:vAlign w:val="center"/>
          </w:tcPr>
          <w:p w14:paraId="7D27A727">
            <w:pPr>
              <w:widowControl/>
              <w:spacing w:line="260" w:lineRule="exact"/>
              <w:jc w:val="center"/>
              <w:rPr>
                <w:rFonts w:ascii="仿宋_GB2312"/>
                <w:kern w:val="0"/>
                <w:szCs w:val="21"/>
              </w:rPr>
            </w:pPr>
          </w:p>
        </w:tc>
        <w:tc>
          <w:tcPr>
            <w:tcW w:w="1272" w:type="pct"/>
            <w:gridSpan w:val="3"/>
            <w:noWrap/>
            <w:vAlign w:val="center"/>
          </w:tcPr>
          <w:p w14:paraId="7737C769">
            <w:pPr>
              <w:widowControl/>
              <w:spacing w:line="260" w:lineRule="exact"/>
              <w:jc w:val="center"/>
              <w:rPr>
                <w:rFonts w:ascii="仿宋_GB2312"/>
                <w:color w:val="000000"/>
                <w:kern w:val="0"/>
                <w:szCs w:val="21"/>
              </w:rPr>
            </w:pPr>
          </w:p>
        </w:tc>
      </w:tr>
      <w:tr w14:paraId="5F472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253" w:type="pct"/>
            <w:vMerge w:val="continue"/>
            <w:vAlign w:val="center"/>
          </w:tcPr>
          <w:p w14:paraId="6AC8DC14">
            <w:pPr>
              <w:widowControl/>
              <w:spacing w:line="260" w:lineRule="exact"/>
              <w:jc w:val="center"/>
              <w:rPr>
                <w:rFonts w:ascii="仿宋_GB2312"/>
                <w:kern w:val="0"/>
                <w:szCs w:val="21"/>
              </w:rPr>
            </w:pPr>
          </w:p>
        </w:tc>
        <w:tc>
          <w:tcPr>
            <w:tcW w:w="445" w:type="pct"/>
            <w:vMerge w:val="continue"/>
            <w:vAlign w:val="center"/>
          </w:tcPr>
          <w:p w14:paraId="790ACFF8">
            <w:pPr>
              <w:widowControl/>
              <w:spacing w:line="260" w:lineRule="exact"/>
              <w:jc w:val="center"/>
              <w:rPr>
                <w:rFonts w:ascii="仿宋_GB2312"/>
                <w:kern w:val="0"/>
                <w:szCs w:val="21"/>
              </w:rPr>
            </w:pPr>
          </w:p>
        </w:tc>
        <w:tc>
          <w:tcPr>
            <w:tcW w:w="760" w:type="pct"/>
            <w:gridSpan w:val="2"/>
            <w:vMerge w:val="restart"/>
            <w:vAlign w:val="center"/>
          </w:tcPr>
          <w:p w14:paraId="5673AD1F">
            <w:pPr>
              <w:widowControl/>
              <w:spacing w:line="260" w:lineRule="exact"/>
              <w:jc w:val="center"/>
              <w:rPr>
                <w:rFonts w:ascii="仿宋_GB2312"/>
                <w:kern w:val="0"/>
                <w:szCs w:val="21"/>
              </w:rPr>
            </w:pPr>
            <w:r>
              <w:rPr>
                <w:rFonts w:hint="eastAsia" w:ascii="仿宋_GB2312"/>
                <w:kern w:val="0"/>
                <w:szCs w:val="21"/>
              </w:rPr>
              <w:t>成本指标</w:t>
            </w:r>
          </w:p>
        </w:tc>
        <w:tc>
          <w:tcPr>
            <w:tcW w:w="1156" w:type="pct"/>
            <w:gridSpan w:val="2"/>
            <w:vAlign w:val="center"/>
          </w:tcPr>
          <w:p w14:paraId="373050BD">
            <w:pPr>
              <w:widowControl/>
              <w:spacing w:line="200" w:lineRule="exact"/>
              <w:jc w:val="center"/>
              <w:rPr>
                <w:rFonts w:ascii="仿宋_GB2312" w:hAnsi="宋体"/>
                <w:color w:val="000000"/>
                <w:szCs w:val="21"/>
              </w:rPr>
            </w:pPr>
            <w:r>
              <w:rPr>
                <w:rFonts w:hint="eastAsia" w:ascii="仿宋_GB2312" w:hAnsi="宋体"/>
                <w:color w:val="000000"/>
                <w:szCs w:val="21"/>
              </w:rPr>
              <w:t>人员经费保障</w:t>
            </w:r>
          </w:p>
        </w:tc>
        <w:tc>
          <w:tcPr>
            <w:tcW w:w="1114" w:type="pct"/>
            <w:gridSpan w:val="4"/>
            <w:vAlign w:val="center"/>
          </w:tcPr>
          <w:p w14:paraId="1F5C860D">
            <w:pPr>
              <w:widowControl/>
              <w:spacing w:line="200" w:lineRule="exact"/>
              <w:jc w:val="center"/>
              <w:rPr>
                <w:rFonts w:ascii="仿宋_GB2312" w:hAnsi="宋体"/>
                <w:color w:val="000000"/>
                <w:szCs w:val="21"/>
              </w:rPr>
            </w:pPr>
            <w:r>
              <w:rPr>
                <w:rFonts w:hint="eastAsia" w:ascii="仿宋_GB2312" w:hAnsi="宋体"/>
                <w:color w:val="000000"/>
                <w:szCs w:val="21"/>
              </w:rPr>
              <w:t>1335.78万元</w:t>
            </w:r>
          </w:p>
        </w:tc>
        <w:tc>
          <w:tcPr>
            <w:tcW w:w="1272" w:type="pct"/>
            <w:gridSpan w:val="3"/>
            <w:noWrap/>
            <w:vAlign w:val="center"/>
          </w:tcPr>
          <w:p w14:paraId="34E47C92">
            <w:pPr>
              <w:widowControl/>
              <w:spacing w:line="200" w:lineRule="exact"/>
              <w:jc w:val="center"/>
              <w:rPr>
                <w:rFonts w:ascii="仿宋_GB2312" w:hAnsi="宋体"/>
                <w:color w:val="000000"/>
                <w:szCs w:val="21"/>
              </w:rPr>
            </w:pPr>
            <w:r>
              <w:rPr>
                <w:rFonts w:hint="eastAsia" w:ascii="仿宋_GB2312" w:hAnsi="宋体"/>
                <w:color w:val="000000"/>
                <w:szCs w:val="21"/>
              </w:rPr>
              <w:t>1335.78万元</w:t>
            </w:r>
          </w:p>
        </w:tc>
      </w:tr>
      <w:tr w14:paraId="7535D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 w:type="pct"/>
            <w:vMerge w:val="continue"/>
            <w:vAlign w:val="center"/>
          </w:tcPr>
          <w:p w14:paraId="0C2129EC">
            <w:pPr>
              <w:widowControl/>
              <w:spacing w:line="260" w:lineRule="exact"/>
              <w:jc w:val="center"/>
              <w:rPr>
                <w:rFonts w:ascii="仿宋_GB2312"/>
                <w:kern w:val="0"/>
                <w:szCs w:val="21"/>
              </w:rPr>
            </w:pPr>
          </w:p>
        </w:tc>
        <w:tc>
          <w:tcPr>
            <w:tcW w:w="445" w:type="pct"/>
            <w:vMerge w:val="continue"/>
            <w:vAlign w:val="center"/>
          </w:tcPr>
          <w:p w14:paraId="484CD3ED">
            <w:pPr>
              <w:widowControl/>
              <w:spacing w:line="260" w:lineRule="exact"/>
              <w:jc w:val="center"/>
              <w:rPr>
                <w:rFonts w:ascii="仿宋_GB2312"/>
                <w:kern w:val="0"/>
                <w:szCs w:val="21"/>
              </w:rPr>
            </w:pPr>
          </w:p>
        </w:tc>
        <w:tc>
          <w:tcPr>
            <w:tcW w:w="760" w:type="pct"/>
            <w:gridSpan w:val="2"/>
            <w:vMerge w:val="continue"/>
            <w:vAlign w:val="center"/>
          </w:tcPr>
          <w:p w14:paraId="4E94B547">
            <w:pPr>
              <w:widowControl/>
              <w:spacing w:line="260" w:lineRule="exact"/>
              <w:jc w:val="center"/>
              <w:rPr>
                <w:rFonts w:ascii="仿宋_GB2312"/>
                <w:kern w:val="0"/>
                <w:szCs w:val="21"/>
              </w:rPr>
            </w:pPr>
          </w:p>
        </w:tc>
        <w:tc>
          <w:tcPr>
            <w:tcW w:w="1156" w:type="pct"/>
            <w:gridSpan w:val="2"/>
            <w:vAlign w:val="center"/>
          </w:tcPr>
          <w:p w14:paraId="074A3BDE">
            <w:pPr>
              <w:widowControl/>
              <w:spacing w:line="260" w:lineRule="exact"/>
              <w:jc w:val="center"/>
              <w:rPr>
                <w:rFonts w:ascii="仿宋_GB2312"/>
                <w:kern w:val="0"/>
                <w:szCs w:val="21"/>
              </w:rPr>
            </w:pPr>
            <w:r>
              <w:rPr>
                <w:rFonts w:hint="eastAsia" w:ascii="仿宋_GB2312"/>
                <w:kern w:val="0"/>
                <w:szCs w:val="21"/>
              </w:rPr>
              <w:t>公用经费保障</w:t>
            </w:r>
          </w:p>
        </w:tc>
        <w:tc>
          <w:tcPr>
            <w:tcW w:w="1114" w:type="pct"/>
            <w:gridSpan w:val="4"/>
            <w:vAlign w:val="center"/>
          </w:tcPr>
          <w:p w14:paraId="56BE93A6">
            <w:pPr>
              <w:widowControl/>
              <w:spacing w:line="260" w:lineRule="exact"/>
              <w:jc w:val="center"/>
              <w:rPr>
                <w:rFonts w:ascii="仿宋_GB2312"/>
                <w:kern w:val="0"/>
                <w:szCs w:val="21"/>
              </w:rPr>
            </w:pPr>
            <w:r>
              <w:rPr>
                <w:rFonts w:hint="eastAsia" w:ascii="仿宋_GB2312"/>
                <w:kern w:val="0"/>
                <w:szCs w:val="21"/>
              </w:rPr>
              <w:t>219.86万元</w:t>
            </w:r>
          </w:p>
        </w:tc>
        <w:tc>
          <w:tcPr>
            <w:tcW w:w="1272" w:type="pct"/>
            <w:gridSpan w:val="3"/>
            <w:noWrap/>
            <w:vAlign w:val="center"/>
          </w:tcPr>
          <w:p w14:paraId="0F1B15B0">
            <w:pPr>
              <w:widowControl/>
              <w:spacing w:line="260" w:lineRule="exact"/>
              <w:jc w:val="center"/>
              <w:rPr>
                <w:rFonts w:ascii="仿宋_GB2312"/>
                <w:color w:val="000000"/>
                <w:kern w:val="0"/>
                <w:szCs w:val="21"/>
              </w:rPr>
            </w:pPr>
            <w:r>
              <w:rPr>
                <w:rFonts w:hint="eastAsia" w:ascii="仿宋_GB2312"/>
                <w:kern w:val="0"/>
                <w:szCs w:val="21"/>
              </w:rPr>
              <w:t>219.86万元</w:t>
            </w:r>
          </w:p>
        </w:tc>
      </w:tr>
      <w:tr w14:paraId="43FD2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253" w:type="pct"/>
            <w:vMerge w:val="continue"/>
            <w:vAlign w:val="center"/>
          </w:tcPr>
          <w:p w14:paraId="0CC71FD3">
            <w:pPr>
              <w:widowControl/>
              <w:spacing w:line="260" w:lineRule="exact"/>
              <w:jc w:val="center"/>
              <w:rPr>
                <w:rFonts w:ascii="仿宋_GB2312"/>
                <w:kern w:val="0"/>
                <w:szCs w:val="21"/>
              </w:rPr>
            </w:pPr>
          </w:p>
        </w:tc>
        <w:tc>
          <w:tcPr>
            <w:tcW w:w="445" w:type="pct"/>
            <w:vMerge w:val="continue"/>
            <w:vAlign w:val="center"/>
          </w:tcPr>
          <w:p w14:paraId="66A2559C">
            <w:pPr>
              <w:widowControl/>
              <w:spacing w:line="260" w:lineRule="exact"/>
              <w:jc w:val="center"/>
              <w:rPr>
                <w:rFonts w:ascii="仿宋_GB2312"/>
                <w:kern w:val="0"/>
                <w:szCs w:val="21"/>
              </w:rPr>
            </w:pPr>
          </w:p>
        </w:tc>
        <w:tc>
          <w:tcPr>
            <w:tcW w:w="760" w:type="pct"/>
            <w:gridSpan w:val="2"/>
            <w:vMerge w:val="continue"/>
            <w:vAlign w:val="center"/>
          </w:tcPr>
          <w:p w14:paraId="7DEE72DD">
            <w:pPr>
              <w:widowControl/>
              <w:spacing w:line="260" w:lineRule="exact"/>
              <w:jc w:val="center"/>
              <w:rPr>
                <w:rFonts w:ascii="仿宋_GB2312"/>
                <w:kern w:val="0"/>
                <w:szCs w:val="21"/>
              </w:rPr>
            </w:pPr>
          </w:p>
        </w:tc>
        <w:tc>
          <w:tcPr>
            <w:tcW w:w="1156" w:type="pct"/>
            <w:gridSpan w:val="2"/>
            <w:vAlign w:val="center"/>
          </w:tcPr>
          <w:p w14:paraId="268FE83A">
            <w:pPr>
              <w:widowControl/>
              <w:spacing w:line="200" w:lineRule="exact"/>
              <w:jc w:val="center"/>
              <w:rPr>
                <w:rFonts w:ascii="仿宋_GB2312" w:hAnsi="宋体"/>
                <w:color w:val="000000"/>
                <w:szCs w:val="21"/>
              </w:rPr>
            </w:pPr>
            <w:r>
              <w:rPr>
                <w:rFonts w:hint="eastAsia" w:ascii="仿宋_GB2312" w:hAnsi="宋体"/>
                <w:color w:val="000000"/>
                <w:szCs w:val="21"/>
              </w:rPr>
              <w:t>项目经费保障</w:t>
            </w:r>
          </w:p>
        </w:tc>
        <w:tc>
          <w:tcPr>
            <w:tcW w:w="1114" w:type="pct"/>
            <w:gridSpan w:val="4"/>
            <w:vAlign w:val="center"/>
          </w:tcPr>
          <w:p w14:paraId="6327137C">
            <w:pPr>
              <w:widowControl/>
              <w:spacing w:line="200" w:lineRule="exact"/>
              <w:jc w:val="center"/>
              <w:rPr>
                <w:rFonts w:ascii="仿宋_GB2312" w:hAnsi="宋体"/>
                <w:color w:val="000000"/>
                <w:szCs w:val="21"/>
              </w:rPr>
            </w:pPr>
            <w:r>
              <w:rPr>
                <w:rFonts w:hint="eastAsia" w:ascii="仿宋_GB2312" w:hAnsi="宋体"/>
                <w:color w:val="000000"/>
                <w:szCs w:val="21"/>
              </w:rPr>
              <w:t>263.05万元</w:t>
            </w:r>
          </w:p>
        </w:tc>
        <w:tc>
          <w:tcPr>
            <w:tcW w:w="1272" w:type="pct"/>
            <w:gridSpan w:val="3"/>
            <w:noWrap/>
            <w:vAlign w:val="center"/>
          </w:tcPr>
          <w:p w14:paraId="766B3850">
            <w:pPr>
              <w:widowControl/>
              <w:spacing w:line="200" w:lineRule="exact"/>
              <w:jc w:val="center"/>
              <w:rPr>
                <w:rFonts w:ascii="仿宋_GB2312" w:hAnsi="宋体"/>
                <w:color w:val="000000"/>
                <w:szCs w:val="21"/>
              </w:rPr>
            </w:pPr>
            <w:r>
              <w:rPr>
                <w:rFonts w:hint="eastAsia" w:ascii="仿宋_GB2312" w:hAnsi="宋体"/>
                <w:color w:val="000000"/>
                <w:szCs w:val="21"/>
              </w:rPr>
              <w:t>263.05万元</w:t>
            </w:r>
          </w:p>
        </w:tc>
      </w:tr>
      <w:tr w14:paraId="79423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253" w:type="pct"/>
            <w:vMerge w:val="continue"/>
            <w:vAlign w:val="center"/>
          </w:tcPr>
          <w:p w14:paraId="1A58456B">
            <w:pPr>
              <w:widowControl/>
              <w:spacing w:line="260" w:lineRule="exact"/>
              <w:jc w:val="center"/>
              <w:rPr>
                <w:rFonts w:ascii="仿宋_GB2312"/>
                <w:kern w:val="0"/>
                <w:szCs w:val="21"/>
              </w:rPr>
            </w:pPr>
          </w:p>
        </w:tc>
        <w:tc>
          <w:tcPr>
            <w:tcW w:w="445" w:type="pct"/>
            <w:vMerge w:val="restart"/>
            <w:vAlign w:val="center"/>
          </w:tcPr>
          <w:p w14:paraId="70ECC6AD">
            <w:pPr>
              <w:widowControl/>
              <w:spacing w:line="260" w:lineRule="exact"/>
              <w:jc w:val="center"/>
              <w:rPr>
                <w:rFonts w:ascii="仿宋_GB2312"/>
                <w:kern w:val="0"/>
                <w:szCs w:val="21"/>
              </w:rPr>
            </w:pPr>
            <w:r>
              <w:rPr>
                <w:rFonts w:hint="eastAsia" w:ascii="仿宋_GB2312"/>
                <w:kern w:val="0"/>
                <w:szCs w:val="21"/>
              </w:rPr>
              <w:t>效益指标</w:t>
            </w:r>
          </w:p>
        </w:tc>
        <w:tc>
          <w:tcPr>
            <w:tcW w:w="760" w:type="pct"/>
            <w:gridSpan w:val="2"/>
            <w:vMerge w:val="restart"/>
            <w:vAlign w:val="center"/>
          </w:tcPr>
          <w:p w14:paraId="0672F50A">
            <w:pPr>
              <w:widowControl/>
              <w:spacing w:line="260" w:lineRule="exact"/>
              <w:jc w:val="center"/>
              <w:rPr>
                <w:rFonts w:ascii="仿宋_GB2312"/>
                <w:kern w:val="0"/>
                <w:szCs w:val="21"/>
              </w:rPr>
            </w:pPr>
            <w:r>
              <w:rPr>
                <w:rFonts w:hint="eastAsia" w:ascii="仿宋_GB2312"/>
                <w:kern w:val="0"/>
                <w:szCs w:val="21"/>
              </w:rPr>
              <w:t>经济效益</w:t>
            </w:r>
            <w:r>
              <w:rPr>
                <w:rFonts w:hint="eastAsia" w:ascii="仿宋_GB2312"/>
                <w:kern w:val="0"/>
                <w:szCs w:val="21"/>
              </w:rPr>
              <w:br w:type="textWrapping"/>
            </w:r>
            <w:r>
              <w:rPr>
                <w:rFonts w:hint="eastAsia" w:ascii="仿宋_GB2312"/>
                <w:kern w:val="0"/>
                <w:szCs w:val="21"/>
              </w:rPr>
              <w:t>指标</w:t>
            </w:r>
          </w:p>
        </w:tc>
        <w:tc>
          <w:tcPr>
            <w:tcW w:w="1156" w:type="pct"/>
            <w:gridSpan w:val="2"/>
            <w:vAlign w:val="center"/>
          </w:tcPr>
          <w:p w14:paraId="2628D9D7">
            <w:pPr>
              <w:widowControl/>
              <w:spacing w:line="260" w:lineRule="exact"/>
              <w:jc w:val="center"/>
              <w:rPr>
                <w:rFonts w:ascii="仿宋_GB2312"/>
                <w:kern w:val="0"/>
                <w:szCs w:val="21"/>
              </w:rPr>
            </w:pPr>
            <w:r>
              <w:rPr>
                <w:rFonts w:hint="eastAsia" w:ascii="仿宋_GB2312"/>
                <w:kern w:val="0"/>
                <w:szCs w:val="21"/>
              </w:rPr>
              <w:t>严控“三公</w:t>
            </w:r>
            <w:bookmarkStart w:id="68" w:name="_GoBack"/>
            <w:bookmarkEnd w:id="68"/>
            <w:r>
              <w:rPr>
                <w:rFonts w:hint="eastAsia" w:ascii="仿宋_GB2312"/>
                <w:kern w:val="0"/>
                <w:szCs w:val="21"/>
                <w:lang w:eastAsia="zh-CN"/>
              </w:rPr>
              <w:t>”</w:t>
            </w:r>
            <w:r>
              <w:rPr>
                <w:rFonts w:hint="eastAsia" w:ascii="仿宋_GB2312"/>
                <w:kern w:val="0"/>
                <w:szCs w:val="21"/>
              </w:rPr>
              <w:t>经费支出</w:t>
            </w:r>
          </w:p>
        </w:tc>
        <w:tc>
          <w:tcPr>
            <w:tcW w:w="1114" w:type="pct"/>
            <w:gridSpan w:val="4"/>
            <w:vAlign w:val="center"/>
          </w:tcPr>
          <w:p w14:paraId="4A5FDBE0">
            <w:pPr>
              <w:widowControl/>
              <w:spacing w:line="260" w:lineRule="exact"/>
              <w:jc w:val="center"/>
              <w:rPr>
                <w:rFonts w:ascii="仿宋_GB2312"/>
                <w:kern w:val="0"/>
                <w:szCs w:val="21"/>
              </w:rPr>
            </w:pPr>
            <w:r>
              <w:rPr>
                <w:rFonts w:hint="eastAsia" w:ascii="仿宋_GB2312"/>
                <w:kern w:val="0"/>
                <w:szCs w:val="21"/>
              </w:rPr>
              <w:t>降低</w:t>
            </w:r>
          </w:p>
        </w:tc>
        <w:tc>
          <w:tcPr>
            <w:tcW w:w="1272" w:type="pct"/>
            <w:gridSpan w:val="3"/>
            <w:noWrap/>
            <w:vAlign w:val="center"/>
          </w:tcPr>
          <w:p w14:paraId="2CF6B9AD">
            <w:pPr>
              <w:widowControl/>
              <w:spacing w:line="260" w:lineRule="exact"/>
              <w:jc w:val="center"/>
              <w:rPr>
                <w:rFonts w:ascii="仿宋_GB2312"/>
                <w:color w:val="000000"/>
                <w:kern w:val="0"/>
                <w:szCs w:val="21"/>
              </w:rPr>
            </w:pPr>
            <w:r>
              <w:rPr>
                <w:rFonts w:hint="eastAsia" w:ascii="仿宋_GB2312"/>
                <w:color w:val="000000"/>
                <w:kern w:val="0"/>
                <w:szCs w:val="21"/>
              </w:rPr>
              <w:t>降低</w:t>
            </w:r>
          </w:p>
        </w:tc>
      </w:tr>
      <w:tr w14:paraId="29C5D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253" w:type="pct"/>
            <w:vMerge w:val="continue"/>
            <w:vAlign w:val="center"/>
          </w:tcPr>
          <w:p w14:paraId="72606965">
            <w:pPr>
              <w:widowControl/>
              <w:spacing w:line="260" w:lineRule="exact"/>
              <w:jc w:val="center"/>
              <w:rPr>
                <w:rFonts w:ascii="仿宋_GB2312"/>
                <w:kern w:val="0"/>
                <w:szCs w:val="21"/>
              </w:rPr>
            </w:pPr>
          </w:p>
        </w:tc>
        <w:tc>
          <w:tcPr>
            <w:tcW w:w="445" w:type="pct"/>
            <w:vMerge w:val="continue"/>
            <w:vAlign w:val="center"/>
          </w:tcPr>
          <w:p w14:paraId="070972FC">
            <w:pPr>
              <w:widowControl/>
              <w:spacing w:line="260" w:lineRule="exact"/>
              <w:jc w:val="center"/>
              <w:rPr>
                <w:rFonts w:ascii="仿宋_GB2312"/>
                <w:kern w:val="0"/>
                <w:szCs w:val="21"/>
              </w:rPr>
            </w:pPr>
          </w:p>
        </w:tc>
        <w:tc>
          <w:tcPr>
            <w:tcW w:w="760" w:type="pct"/>
            <w:gridSpan w:val="2"/>
            <w:vMerge w:val="continue"/>
            <w:vAlign w:val="center"/>
          </w:tcPr>
          <w:p w14:paraId="1B346BDF">
            <w:pPr>
              <w:widowControl/>
              <w:spacing w:line="260" w:lineRule="exact"/>
              <w:jc w:val="center"/>
              <w:rPr>
                <w:rFonts w:ascii="仿宋_GB2312"/>
                <w:kern w:val="0"/>
                <w:szCs w:val="21"/>
              </w:rPr>
            </w:pPr>
          </w:p>
        </w:tc>
        <w:tc>
          <w:tcPr>
            <w:tcW w:w="1156" w:type="pct"/>
            <w:gridSpan w:val="2"/>
            <w:vAlign w:val="center"/>
          </w:tcPr>
          <w:p w14:paraId="275AFBF0">
            <w:pPr>
              <w:widowControl/>
              <w:spacing w:line="200" w:lineRule="exact"/>
              <w:jc w:val="center"/>
              <w:rPr>
                <w:rFonts w:ascii="仿宋_GB2312" w:hAnsi="宋体"/>
                <w:color w:val="000000"/>
                <w:szCs w:val="21"/>
              </w:rPr>
            </w:pPr>
            <w:r>
              <w:rPr>
                <w:rFonts w:hint="eastAsia" w:ascii="仿宋_GB2312" w:hAnsi="宋体"/>
                <w:color w:val="000000"/>
                <w:szCs w:val="21"/>
              </w:rPr>
              <w:t>行政执法成本</w:t>
            </w:r>
          </w:p>
        </w:tc>
        <w:tc>
          <w:tcPr>
            <w:tcW w:w="1114" w:type="pct"/>
            <w:gridSpan w:val="4"/>
            <w:vAlign w:val="center"/>
          </w:tcPr>
          <w:p w14:paraId="64F14591">
            <w:pPr>
              <w:widowControl/>
              <w:spacing w:line="200" w:lineRule="exact"/>
              <w:jc w:val="center"/>
              <w:rPr>
                <w:rFonts w:ascii="仿宋_GB2312" w:hAnsi="宋体"/>
                <w:color w:val="000000"/>
                <w:szCs w:val="21"/>
              </w:rPr>
            </w:pPr>
            <w:r>
              <w:rPr>
                <w:rFonts w:hint="eastAsia" w:ascii="仿宋_GB2312" w:hAnsi="宋体"/>
                <w:color w:val="000000"/>
                <w:szCs w:val="21"/>
              </w:rPr>
              <w:t>降低</w:t>
            </w:r>
          </w:p>
        </w:tc>
        <w:tc>
          <w:tcPr>
            <w:tcW w:w="1272" w:type="pct"/>
            <w:gridSpan w:val="3"/>
            <w:noWrap/>
            <w:vAlign w:val="center"/>
          </w:tcPr>
          <w:p w14:paraId="745C41E0">
            <w:pPr>
              <w:widowControl/>
              <w:spacing w:line="200" w:lineRule="exact"/>
              <w:jc w:val="center"/>
              <w:rPr>
                <w:rFonts w:ascii="仿宋_GB2312" w:hAnsi="宋体"/>
                <w:color w:val="000000"/>
                <w:szCs w:val="21"/>
              </w:rPr>
            </w:pPr>
            <w:r>
              <w:rPr>
                <w:rFonts w:hint="eastAsia" w:ascii="仿宋_GB2312" w:hAnsi="宋体"/>
                <w:color w:val="000000"/>
                <w:szCs w:val="21"/>
              </w:rPr>
              <w:t>降低</w:t>
            </w:r>
          </w:p>
        </w:tc>
      </w:tr>
      <w:tr w14:paraId="163FE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253" w:type="pct"/>
            <w:vMerge w:val="continue"/>
            <w:vAlign w:val="center"/>
          </w:tcPr>
          <w:p w14:paraId="443E8E1A">
            <w:pPr>
              <w:widowControl/>
              <w:spacing w:line="260" w:lineRule="exact"/>
              <w:jc w:val="center"/>
              <w:rPr>
                <w:rFonts w:ascii="仿宋_GB2312"/>
                <w:kern w:val="0"/>
                <w:szCs w:val="21"/>
              </w:rPr>
            </w:pPr>
          </w:p>
        </w:tc>
        <w:tc>
          <w:tcPr>
            <w:tcW w:w="445" w:type="pct"/>
            <w:vMerge w:val="continue"/>
            <w:vAlign w:val="center"/>
          </w:tcPr>
          <w:p w14:paraId="57B3234D">
            <w:pPr>
              <w:widowControl/>
              <w:spacing w:line="260" w:lineRule="exact"/>
              <w:jc w:val="center"/>
              <w:rPr>
                <w:rFonts w:ascii="仿宋_GB2312"/>
                <w:kern w:val="0"/>
                <w:szCs w:val="21"/>
              </w:rPr>
            </w:pPr>
          </w:p>
        </w:tc>
        <w:tc>
          <w:tcPr>
            <w:tcW w:w="760" w:type="pct"/>
            <w:gridSpan w:val="2"/>
            <w:vMerge w:val="continue"/>
            <w:vAlign w:val="center"/>
          </w:tcPr>
          <w:p w14:paraId="7C9AC22B">
            <w:pPr>
              <w:widowControl/>
              <w:spacing w:line="260" w:lineRule="exact"/>
              <w:jc w:val="center"/>
              <w:rPr>
                <w:rFonts w:ascii="仿宋_GB2312"/>
                <w:kern w:val="0"/>
                <w:szCs w:val="21"/>
              </w:rPr>
            </w:pPr>
          </w:p>
        </w:tc>
        <w:tc>
          <w:tcPr>
            <w:tcW w:w="1156" w:type="pct"/>
            <w:gridSpan w:val="2"/>
            <w:vAlign w:val="center"/>
          </w:tcPr>
          <w:p w14:paraId="70698C34">
            <w:pPr>
              <w:widowControl/>
              <w:spacing w:line="260" w:lineRule="exact"/>
              <w:jc w:val="center"/>
              <w:rPr>
                <w:rFonts w:ascii="仿宋_GB2312"/>
                <w:kern w:val="0"/>
                <w:szCs w:val="21"/>
              </w:rPr>
            </w:pPr>
            <w:r>
              <w:rPr>
                <w:rFonts w:hint="eastAsia" w:ascii="仿宋_GB2312"/>
                <w:kern w:val="0"/>
                <w:szCs w:val="21"/>
              </w:rPr>
              <w:t>资金使用效益</w:t>
            </w:r>
          </w:p>
        </w:tc>
        <w:tc>
          <w:tcPr>
            <w:tcW w:w="1114" w:type="pct"/>
            <w:gridSpan w:val="4"/>
            <w:vAlign w:val="center"/>
          </w:tcPr>
          <w:p w14:paraId="104059E9">
            <w:pPr>
              <w:widowControl/>
              <w:spacing w:line="260" w:lineRule="exact"/>
              <w:jc w:val="center"/>
              <w:rPr>
                <w:rFonts w:ascii="仿宋_GB2312"/>
                <w:kern w:val="0"/>
                <w:szCs w:val="21"/>
              </w:rPr>
            </w:pPr>
            <w:r>
              <w:rPr>
                <w:rFonts w:hint="eastAsia" w:ascii="仿宋_GB2312"/>
                <w:kern w:val="0"/>
                <w:szCs w:val="21"/>
              </w:rPr>
              <w:t>提高</w:t>
            </w:r>
          </w:p>
        </w:tc>
        <w:tc>
          <w:tcPr>
            <w:tcW w:w="1272" w:type="pct"/>
            <w:gridSpan w:val="3"/>
            <w:noWrap/>
            <w:vAlign w:val="center"/>
          </w:tcPr>
          <w:p w14:paraId="677A8CCD">
            <w:pPr>
              <w:widowControl/>
              <w:spacing w:line="260" w:lineRule="exact"/>
              <w:jc w:val="center"/>
              <w:rPr>
                <w:rFonts w:ascii="仿宋_GB2312"/>
                <w:color w:val="000000"/>
                <w:kern w:val="0"/>
                <w:szCs w:val="21"/>
              </w:rPr>
            </w:pPr>
            <w:r>
              <w:rPr>
                <w:rFonts w:hint="eastAsia" w:ascii="仿宋_GB2312"/>
                <w:color w:val="000000"/>
                <w:kern w:val="0"/>
                <w:szCs w:val="21"/>
              </w:rPr>
              <w:t>提高</w:t>
            </w:r>
          </w:p>
        </w:tc>
      </w:tr>
      <w:tr w14:paraId="0AA04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253" w:type="pct"/>
            <w:vMerge w:val="continue"/>
            <w:vAlign w:val="center"/>
          </w:tcPr>
          <w:p w14:paraId="63E573AF">
            <w:pPr>
              <w:widowControl/>
              <w:spacing w:line="260" w:lineRule="exact"/>
              <w:jc w:val="center"/>
              <w:rPr>
                <w:rFonts w:ascii="仿宋_GB2312"/>
                <w:kern w:val="0"/>
                <w:szCs w:val="21"/>
              </w:rPr>
            </w:pPr>
          </w:p>
        </w:tc>
        <w:tc>
          <w:tcPr>
            <w:tcW w:w="445" w:type="pct"/>
            <w:vMerge w:val="continue"/>
            <w:vAlign w:val="center"/>
          </w:tcPr>
          <w:p w14:paraId="4F2E5E85">
            <w:pPr>
              <w:widowControl/>
              <w:spacing w:line="260" w:lineRule="exact"/>
              <w:jc w:val="center"/>
              <w:rPr>
                <w:rFonts w:ascii="仿宋_GB2312"/>
                <w:kern w:val="0"/>
                <w:szCs w:val="21"/>
              </w:rPr>
            </w:pPr>
          </w:p>
        </w:tc>
        <w:tc>
          <w:tcPr>
            <w:tcW w:w="760" w:type="pct"/>
            <w:gridSpan w:val="2"/>
            <w:vMerge w:val="restart"/>
            <w:vAlign w:val="center"/>
          </w:tcPr>
          <w:p w14:paraId="6215A465">
            <w:pPr>
              <w:widowControl/>
              <w:spacing w:line="260" w:lineRule="exact"/>
              <w:jc w:val="center"/>
              <w:rPr>
                <w:rFonts w:ascii="仿宋_GB2312"/>
                <w:kern w:val="0"/>
                <w:szCs w:val="21"/>
              </w:rPr>
            </w:pPr>
            <w:r>
              <w:rPr>
                <w:rFonts w:hint="eastAsia" w:ascii="仿宋_GB2312"/>
                <w:kern w:val="0"/>
                <w:szCs w:val="21"/>
              </w:rPr>
              <w:t>社会效益</w:t>
            </w:r>
            <w:r>
              <w:rPr>
                <w:rFonts w:hint="eastAsia" w:ascii="仿宋_GB2312"/>
                <w:kern w:val="0"/>
                <w:szCs w:val="21"/>
              </w:rPr>
              <w:br w:type="textWrapping"/>
            </w:r>
            <w:r>
              <w:rPr>
                <w:rFonts w:hint="eastAsia" w:ascii="仿宋_GB2312"/>
                <w:kern w:val="0"/>
                <w:szCs w:val="21"/>
              </w:rPr>
              <w:t>指标</w:t>
            </w:r>
          </w:p>
        </w:tc>
        <w:tc>
          <w:tcPr>
            <w:tcW w:w="1156" w:type="pct"/>
            <w:gridSpan w:val="2"/>
            <w:vAlign w:val="center"/>
          </w:tcPr>
          <w:p w14:paraId="2E4AB814">
            <w:pPr>
              <w:widowControl/>
              <w:spacing w:line="200" w:lineRule="exact"/>
              <w:jc w:val="center"/>
              <w:rPr>
                <w:rFonts w:ascii="仿宋_GB2312" w:hAnsi="宋体"/>
                <w:color w:val="000000"/>
                <w:szCs w:val="21"/>
              </w:rPr>
            </w:pPr>
            <w:r>
              <w:rPr>
                <w:rFonts w:hint="eastAsia" w:ascii="仿宋_GB2312" w:hAnsi="宋体"/>
                <w:color w:val="000000"/>
                <w:szCs w:val="21"/>
              </w:rPr>
              <w:t>对行政违法行为打击作用</w:t>
            </w:r>
          </w:p>
        </w:tc>
        <w:tc>
          <w:tcPr>
            <w:tcW w:w="1114" w:type="pct"/>
            <w:gridSpan w:val="4"/>
            <w:vAlign w:val="center"/>
          </w:tcPr>
          <w:p w14:paraId="06F26356">
            <w:pPr>
              <w:widowControl/>
              <w:spacing w:line="200" w:lineRule="exact"/>
              <w:jc w:val="center"/>
              <w:rPr>
                <w:rFonts w:ascii="仿宋_GB2312" w:hAnsi="宋体"/>
                <w:color w:val="000000"/>
                <w:szCs w:val="21"/>
              </w:rPr>
            </w:pPr>
            <w:r>
              <w:rPr>
                <w:rFonts w:hint="eastAsia" w:ascii="仿宋_GB2312" w:hAnsi="宋体"/>
                <w:color w:val="000000"/>
                <w:szCs w:val="21"/>
              </w:rPr>
              <w:t>增强</w:t>
            </w:r>
          </w:p>
        </w:tc>
        <w:tc>
          <w:tcPr>
            <w:tcW w:w="1272" w:type="pct"/>
            <w:gridSpan w:val="3"/>
            <w:noWrap/>
            <w:vAlign w:val="center"/>
          </w:tcPr>
          <w:p w14:paraId="35EB012D">
            <w:pPr>
              <w:widowControl/>
              <w:spacing w:line="200" w:lineRule="exact"/>
              <w:jc w:val="center"/>
              <w:rPr>
                <w:rFonts w:ascii="仿宋_GB2312" w:hAnsi="宋体"/>
                <w:color w:val="000000"/>
                <w:szCs w:val="21"/>
              </w:rPr>
            </w:pPr>
            <w:r>
              <w:rPr>
                <w:rFonts w:hint="eastAsia" w:ascii="仿宋_GB2312" w:hAnsi="宋体"/>
                <w:color w:val="000000"/>
                <w:szCs w:val="21"/>
              </w:rPr>
              <w:t>增强</w:t>
            </w:r>
          </w:p>
        </w:tc>
      </w:tr>
      <w:tr w14:paraId="3F9A5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jc w:val="center"/>
        </w:trPr>
        <w:tc>
          <w:tcPr>
            <w:tcW w:w="253" w:type="pct"/>
            <w:vMerge w:val="continue"/>
            <w:vAlign w:val="center"/>
          </w:tcPr>
          <w:p w14:paraId="449B0B3C">
            <w:pPr>
              <w:widowControl/>
              <w:spacing w:line="260" w:lineRule="exact"/>
              <w:jc w:val="center"/>
              <w:rPr>
                <w:rFonts w:ascii="仿宋_GB2312"/>
                <w:kern w:val="0"/>
                <w:szCs w:val="21"/>
              </w:rPr>
            </w:pPr>
          </w:p>
        </w:tc>
        <w:tc>
          <w:tcPr>
            <w:tcW w:w="445" w:type="pct"/>
            <w:vMerge w:val="continue"/>
            <w:vAlign w:val="center"/>
          </w:tcPr>
          <w:p w14:paraId="0ABE79D8">
            <w:pPr>
              <w:widowControl/>
              <w:spacing w:line="260" w:lineRule="exact"/>
              <w:jc w:val="center"/>
              <w:rPr>
                <w:rFonts w:ascii="仿宋_GB2312"/>
                <w:kern w:val="0"/>
                <w:szCs w:val="21"/>
              </w:rPr>
            </w:pPr>
          </w:p>
        </w:tc>
        <w:tc>
          <w:tcPr>
            <w:tcW w:w="760" w:type="pct"/>
            <w:gridSpan w:val="2"/>
            <w:vMerge w:val="continue"/>
            <w:vAlign w:val="center"/>
          </w:tcPr>
          <w:p w14:paraId="47C3EB12">
            <w:pPr>
              <w:widowControl/>
              <w:spacing w:line="260" w:lineRule="exact"/>
              <w:jc w:val="center"/>
              <w:rPr>
                <w:rFonts w:ascii="仿宋_GB2312"/>
                <w:kern w:val="0"/>
                <w:szCs w:val="21"/>
              </w:rPr>
            </w:pPr>
          </w:p>
        </w:tc>
        <w:tc>
          <w:tcPr>
            <w:tcW w:w="1156" w:type="pct"/>
            <w:gridSpan w:val="2"/>
            <w:vAlign w:val="center"/>
          </w:tcPr>
          <w:p w14:paraId="4FC7F372">
            <w:pPr>
              <w:widowControl/>
              <w:spacing w:line="200" w:lineRule="exact"/>
              <w:jc w:val="center"/>
              <w:rPr>
                <w:rFonts w:ascii="仿宋_GB2312" w:hAnsi="宋体"/>
                <w:color w:val="000000"/>
                <w:szCs w:val="21"/>
              </w:rPr>
            </w:pPr>
            <w:r>
              <w:rPr>
                <w:rFonts w:hint="eastAsia" w:ascii="仿宋_GB2312" w:hAnsi="宋体"/>
                <w:color w:val="000000"/>
                <w:szCs w:val="21"/>
              </w:rPr>
              <w:t>规范市场、交通、城市管理、农业、林业、文旅领域执法监管，共建和谐社会</w:t>
            </w:r>
          </w:p>
        </w:tc>
        <w:tc>
          <w:tcPr>
            <w:tcW w:w="1114" w:type="pct"/>
            <w:gridSpan w:val="4"/>
            <w:vAlign w:val="center"/>
          </w:tcPr>
          <w:p w14:paraId="69531CAD">
            <w:pPr>
              <w:widowControl/>
              <w:spacing w:line="200" w:lineRule="exact"/>
              <w:jc w:val="center"/>
              <w:rPr>
                <w:rFonts w:ascii="仿宋_GB2312" w:hAnsi="宋体"/>
                <w:color w:val="000000"/>
                <w:szCs w:val="21"/>
              </w:rPr>
            </w:pPr>
            <w:r>
              <w:rPr>
                <w:rFonts w:hint="eastAsia" w:ascii="仿宋_GB2312" w:hAnsi="宋体"/>
                <w:color w:val="000000"/>
                <w:szCs w:val="21"/>
              </w:rPr>
              <w:t>长期有效</w:t>
            </w:r>
          </w:p>
        </w:tc>
        <w:tc>
          <w:tcPr>
            <w:tcW w:w="1272" w:type="pct"/>
            <w:gridSpan w:val="3"/>
            <w:noWrap/>
            <w:vAlign w:val="center"/>
          </w:tcPr>
          <w:p w14:paraId="24B10019">
            <w:pPr>
              <w:widowControl/>
              <w:spacing w:line="200" w:lineRule="exact"/>
              <w:jc w:val="center"/>
              <w:rPr>
                <w:rFonts w:ascii="仿宋_GB2312" w:hAnsi="宋体"/>
                <w:color w:val="000000"/>
                <w:szCs w:val="21"/>
              </w:rPr>
            </w:pPr>
            <w:r>
              <w:rPr>
                <w:rFonts w:hint="eastAsia" w:ascii="仿宋_GB2312" w:hAnsi="宋体"/>
                <w:color w:val="000000"/>
                <w:szCs w:val="21"/>
              </w:rPr>
              <w:t>长期有效</w:t>
            </w:r>
          </w:p>
        </w:tc>
      </w:tr>
      <w:tr w14:paraId="067E3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253" w:type="pct"/>
            <w:vMerge w:val="continue"/>
            <w:vAlign w:val="center"/>
          </w:tcPr>
          <w:p w14:paraId="4F0FBBBE">
            <w:pPr>
              <w:widowControl/>
              <w:spacing w:line="260" w:lineRule="exact"/>
              <w:jc w:val="center"/>
              <w:rPr>
                <w:rFonts w:ascii="仿宋_GB2312"/>
                <w:kern w:val="0"/>
                <w:szCs w:val="21"/>
              </w:rPr>
            </w:pPr>
          </w:p>
        </w:tc>
        <w:tc>
          <w:tcPr>
            <w:tcW w:w="445" w:type="pct"/>
            <w:vMerge w:val="continue"/>
            <w:vAlign w:val="center"/>
          </w:tcPr>
          <w:p w14:paraId="52A7986B">
            <w:pPr>
              <w:widowControl/>
              <w:spacing w:line="260" w:lineRule="exact"/>
              <w:jc w:val="center"/>
              <w:rPr>
                <w:rFonts w:ascii="仿宋_GB2312"/>
                <w:kern w:val="0"/>
                <w:szCs w:val="21"/>
              </w:rPr>
            </w:pPr>
          </w:p>
        </w:tc>
        <w:tc>
          <w:tcPr>
            <w:tcW w:w="760" w:type="pct"/>
            <w:gridSpan w:val="2"/>
            <w:vMerge w:val="continue"/>
            <w:vAlign w:val="center"/>
          </w:tcPr>
          <w:p w14:paraId="5B6CB14F">
            <w:pPr>
              <w:widowControl/>
              <w:spacing w:line="260" w:lineRule="exact"/>
              <w:jc w:val="center"/>
              <w:rPr>
                <w:rFonts w:ascii="仿宋_GB2312"/>
                <w:kern w:val="0"/>
                <w:szCs w:val="21"/>
              </w:rPr>
            </w:pPr>
          </w:p>
        </w:tc>
        <w:tc>
          <w:tcPr>
            <w:tcW w:w="1156" w:type="pct"/>
            <w:gridSpan w:val="2"/>
            <w:vAlign w:val="center"/>
          </w:tcPr>
          <w:p w14:paraId="13EA6FB9">
            <w:pPr>
              <w:widowControl/>
              <w:spacing w:line="260" w:lineRule="exact"/>
              <w:jc w:val="center"/>
              <w:rPr>
                <w:rFonts w:ascii="仿宋_GB2312"/>
                <w:kern w:val="0"/>
                <w:szCs w:val="21"/>
              </w:rPr>
            </w:pPr>
          </w:p>
        </w:tc>
        <w:tc>
          <w:tcPr>
            <w:tcW w:w="1114" w:type="pct"/>
            <w:gridSpan w:val="4"/>
            <w:vAlign w:val="center"/>
          </w:tcPr>
          <w:p w14:paraId="02CA9B85">
            <w:pPr>
              <w:widowControl/>
              <w:spacing w:line="260" w:lineRule="exact"/>
              <w:jc w:val="center"/>
              <w:rPr>
                <w:rFonts w:ascii="仿宋_GB2312"/>
                <w:kern w:val="0"/>
                <w:szCs w:val="21"/>
              </w:rPr>
            </w:pPr>
          </w:p>
        </w:tc>
        <w:tc>
          <w:tcPr>
            <w:tcW w:w="1272" w:type="pct"/>
            <w:gridSpan w:val="3"/>
            <w:noWrap/>
            <w:vAlign w:val="center"/>
          </w:tcPr>
          <w:p w14:paraId="451BD884">
            <w:pPr>
              <w:widowControl/>
              <w:spacing w:line="260" w:lineRule="exact"/>
              <w:jc w:val="center"/>
              <w:rPr>
                <w:rFonts w:ascii="仿宋_GB2312"/>
                <w:color w:val="000000"/>
                <w:kern w:val="0"/>
                <w:szCs w:val="21"/>
              </w:rPr>
            </w:pPr>
          </w:p>
        </w:tc>
      </w:tr>
      <w:tr w14:paraId="1A9AD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53" w:type="pct"/>
            <w:vMerge w:val="continue"/>
            <w:vAlign w:val="center"/>
          </w:tcPr>
          <w:p w14:paraId="4B6696F6">
            <w:pPr>
              <w:widowControl/>
              <w:spacing w:line="260" w:lineRule="exact"/>
              <w:jc w:val="center"/>
              <w:rPr>
                <w:rFonts w:ascii="仿宋_GB2312"/>
                <w:kern w:val="0"/>
                <w:szCs w:val="21"/>
              </w:rPr>
            </w:pPr>
          </w:p>
        </w:tc>
        <w:tc>
          <w:tcPr>
            <w:tcW w:w="445" w:type="pct"/>
            <w:vMerge w:val="continue"/>
            <w:vAlign w:val="center"/>
          </w:tcPr>
          <w:p w14:paraId="23BF7305">
            <w:pPr>
              <w:widowControl/>
              <w:spacing w:line="260" w:lineRule="exact"/>
              <w:jc w:val="center"/>
              <w:rPr>
                <w:rFonts w:ascii="仿宋_GB2312"/>
                <w:kern w:val="0"/>
                <w:szCs w:val="21"/>
              </w:rPr>
            </w:pPr>
          </w:p>
        </w:tc>
        <w:tc>
          <w:tcPr>
            <w:tcW w:w="760" w:type="pct"/>
            <w:gridSpan w:val="2"/>
            <w:vMerge w:val="restart"/>
            <w:vAlign w:val="center"/>
          </w:tcPr>
          <w:p w14:paraId="79530741">
            <w:pPr>
              <w:widowControl/>
              <w:spacing w:line="260" w:lineRule="exact"/>
              <w:jc w:val="center"/>
              <w:rPr>
                <w:rFonts w:ascii="仿宋_GB2312"/>
                <w:kern w:val="0"/>
                <w:szCs w:val="21"/>
              </w:rPr>
            </w:pPr>
            <w:r>
              <w:rPr>
                <w:rFonts w:hint="eastAsia" w:ascii="仿宋_GB2312"/>
                <w:kern w:val="0"/>
                <w:szCs w:val="21"/>
              </w:rPr>
              <w:t>生态效益</w:t>
            </w:r>
            <w:r>
              <w:rPr>
                <w:rFonts w:hint="eastAsia" w:ascii="仿宋_GB2312"/>
                <w:kern w:val="0"/>
                <w:szCs w:val="21"/>
              </w:rPr>
              <w:br w:type="textWrapping"/>
            </w:r>
            <w:r>
              <w:rPr>
                <w:rFonts w:hint="eastAsia" w:ascii="仿宋_GB2312"/>
                <w:kern w:val="0"/>
                <w:szCs w:val="21"/>
              </w:rPr>
              <w:t>指标</w:t>
            </w:r>
          </w:p>
        </w:tc>
        <w:tc>
          <w:tcPr>
            <w:tcW w:w="1156" w:type="pct"/>
            <w:gridSpan w:val="2"/>
            <w:vAlign w:val="center"/>
          </w:tcPr>
          <w:p w14:paraId="4D09964D">
            <w:pPr>
              <w:widowControl/>
              <w:spacing w:line="260" w:lineRule="exact"/>
              <w:jc w:val="center"/>
              <w:rPr>
                <w:rFonts w:ascii="仿宋_GB2312"/>
                <w:kern w:val="0"/>
                <w:szCs w:val="21"/>
              </w:rPr>
            </w:pPr>
            <w:r>
              <w:rPr>
                <w:rFonts w:hint="eastAsia" w:ascii="仿宋_GB2312"/>
                <w:bCs/>
                <w:kern w:val="0"/>
                <w:szCs w:val="21"/>
              </w:rPr>
              <w:t>强化城区道路扬尘污染防治</w:t>
            </w:r>
          </w:p>
        </w:tc>
        <w:tc>
          <w:tcPr>
            <w:tcW w:w="1114" w:type="pct"/>
            <w:gridSpan w:val="4"/>
            <w:vAlign w:val="center"/>
          </w:tcPr>
          <w:p w14:paraId="12EAD403">
            <w:pPr>
              <w:widowControl/>
              <w:spacing w:line="260" w:lineRule="exact"/>
              <w:jc w:val="center"/>
              <w:rPr>
                <w:rFonts w:ascii="仿宋_GB2312"/>
                <w:kern w:val="0"/>
                <w:szCs w:val="21"/>
              </w:rPr>
            </w:pPr>
            <w:r>
              <w:rPr>
                <w:rFonts w:hint="eastAsia" w:ascii="仿宋_GB2312"/>
                <w:kern w:val="0"/>
                <w:szCs w:val="21"/>
              </w:rPr>
              <w:t>最大限度减少扬尘污染，促进城市环境空气质量持续改善。</w:t>
            </w:r>
          </w:p>
        </w:tc>
        <w:tc>
          <w:tcPr>
            <w:tcW w:w="1272" w:type="pct"/>
            <w:gridSpan w:val="3"/>
            <w:noWrap/>
            <w:vAlign w:val="center"/>
          </w:tcPr>
          <w:p w14:paraId="1AED6BE3">
            <w:pPr>
              <w:widowControl/>
              <w:spacing w:line="260" w:lineRule="exact"/>
              <w:jc w:val="center"/>
              <w:rPr>
                <w:rFonts w:ascii="仿宋_GB2312"/>
                <w:kern w:val="0"/>
                <w:szCs w:val="21"/>
              </w:rPr>
            </w:pPr>
            <w:r>
              <w:rPr>
                <w:rFonts w:hint="eastAsia" w:ascii="仿宋_GB2312"/>
                <w:kern w:val="0"/>
                <w:szCs w:val="21"/>
              </w:rPr>
              <w:t>成效显著</w:t>
            </w:r>
          </w:p>
        </w:tc>
      </w:tr>
      <w:tr w14:paraId="1D9D9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253" w:type="pct"/>
            <w:vMerge w:val="continue"/>
            <w:vAlign w:val="center"/>
          </w:tcPr>
          <w:p w14:paraId="16A0CB57">
            <w:pPr>
              <w:widowControl/>
              <w:spacing w:line="260" w:lineRule="exact"/>
              <w:jc w:val="center"/>
              <w:rPr>
                <w:rFonts w:ascii="仿宋_GB2312"/>
                <w:kern w:val="0"/>
                <w:szCs w:val="21"/>
              </w:rPr>
            </w:pPr>
          </w:p>
        </w:tc>
        <w:tc>
          <w:tcPr>
            <w:tcW w:w="445" w:type="pct"/>
            <w:vMerge w:val="continue"/>
            <w:vAlign w:val="center"/>
          </w:tcPr>
          <w:p w14:paraId="1070D5EA">
            <w:pPr>
              <w:widowControl/>
              <w:spacing w:line="260" w:lineRule="exact"/>
              <w:jc w:val="center"/>
              <w:rPr>
                <w:rFonts w:ascii="仿宋_GB2312"/>
                <w:kern w:val="0"/>
                <w:szCs w:val="21"/>
              </w:rPr>
            </w:pPr>
          </w:p>
        </w:tc>
        <w:tc>
          <w:tcPr>
            <w:tcW w:w="760" w:type="pct"/>
            <w:gridSpan w:val="2"/>
            <w:vMerge w:val="continue"/>
            <w:vAlign w:val="center"/>
          </w:tcPr>
          <w:p w14:paraId="7B6BA9D5">
            <w:pPr>
              <w:widowControl/>
              <w:spacing w:line="260" w:lineRule="exact"/>
              <w:jc w:val="center"/>
              <w:rPr>
                <w:rFonts w:ascii="仿宋_GB2312"/>
                <w:kern w:val="0"/>
                <w:szCs w:val="21"/>
              </w:rPr>
            </w:pPr>
          </w:p>
        </w:tc>
        <w:tc>
          <w:tcPr>
            <w:tcW w:w="1156" w:type="pct"/>
            <w:gridSpan w:val="2"/>
            <w:vAlign w:val="center"/>
          </w:tcPr>
          <w:p w14:paraId="6F4B7570">
            <w:pPr>
              <w:widowControl/>
              <w:spacing w:line="260" w:lineRule="exact"/>
              <w:jc w:val="center"/>
              <w:rPr>
                <w:rFonts w:ascii="仿宋_GB2312"/>
                <w:kern w:val="0"/>
                <w:szCs w:val="21"/>
              </w:rPr>
            </w:pPr>
            <w:r>
              <w:rPr>
                <w:rFonts w:hint="eastAsia" w:ascii="仿宋_GB2312"/>
                <w:bCs/>
                <w:kern w:val="0"/>
                <w:szCs w:val="21"/>
              </w:rPr>
              <w:t>长江十年禁捕源头治理</w:t>
            </w:r>
          </w:p>
        </w:tc>
        <w:tc>
          <w:tcPr>
            <w:tcW w:w="1114" w:type="pct"/>
            <w:gridSpan w:val="4"/>
            <w:vAlign w:val="center"/>
          </w:tcPr>
          <w:p w14:paraId="2AEE94DD">
            <w:pPr>
              <w:widowControl/>
              <w:spacing w:line="260" w:lineRule="exact"/>
              <w:jc w:val="center"/>
              <w:rPr>
                <w:rFonts w:ascii="仿宋_GB2312"/>
                <w:kern w:val="0"/>
                <w:szCs w:val="21"/>
              </w:rPr>
            </w:pPr>
            <w:r>
              <w:rPr>
                <w:rFonts w:hint="eastAsia" w:ascii="仿宋_GB2312"/>
                <w:kern w:val="0"/>
                <w:szCs w:val="21"/>
              </w:rPr>
              <w:t>保护长江流域环境生态平衡，促进渔业资源可持续发展</w:t>
            </w:r>
          </w:p>
        </w:tc>
        <w:tc>
          <w:tcPr>
            <w:tcW w:w="1272" w:type="pct"/>
            <w:gridSpan w:val="3"/>
            <w:noWrap/>
            <w:vAlign w:val="center"/>
          </w:tcPr>
          <w:p w14:paraId="5F7FF079">
            <w:pPr>
              <w:widowControl/>
              <w:spacing w:line="260" w:lineRule="exact"/>
              <w:jc w:val="center"/>
              <w:rPr>
                <w:rFonts w:ascii="仿宋_GB2312"/>
                <w:kern w:val="0"/>
                <w:szCs w:val="21"/>
              </w:rPr>
            </w:pPr>
            <w:r>
              <w:rPr>
                <w:rFonts w:hint="eastAsia" w:ascii="仿宋_GB2312"/>
                <w:kern w:val="0"/>
                <w:szCs w:val="21"/>
              </w:rPr>
              <w:t>成效显著</w:t>
            </w:r>
          </w:p>
        </w:tc>
      </w:tr>
      <w:tr w14:paraId="6E811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253" w:type="pct"/>
            <w:vMerge w:val="continue"/>
            <w:vAlign w:val="center"/>
          </w:tcPr>
          <w:p w14:paraId="221A01B3">
            <w:pPr>
              <w:widowControl/>
              <w:spacing w:line="260" w:lineRule="exact"/>
              <w:jc w:val="center"/>
              <w:rPr>
                <w:rFonts w:ascii="仿宋_GB2312"/>
                <w:kern w:val="0"/>
                <w:szCs w:val="21"/>
              </w:rPr>
            </w:pPr>
          </w:p>
        </w:tc>
        <w:tc>
          <w:tcPr>
            <w:tcW w:w="445" w:type="pct"/>
            <w:vMerge w:val="continue"/>
            <w:vAlign w:val="center"/>
          </w:tcPr>
          <w:p w14:paraId="1FBBC6C4">
            <w:pPr>
              <w:widowControl/>
              <w:spacing w:line="260" w:lineRule="exact"/>
              <w:jc w:val="center"/>
              <w:rPr>
                <w:rFonts w:ascii="仿宋_GB2312"/>
                <w:kern w:val="0"/>
                <w:szCs w:val="21"/>
              </w:rPr>
            </w:pPr>
          </w:p>
        </w:tc>
        <w:tc>
          <w:tcPr>
            <w:tcW w:w="760" w:type="pct"/>
            <w:gridSpan w:val="2"/>
            <w:vMerge w:val="continue"/>
            <w:vAlign w:val="center"/>
          </w:tcPr>
          <w:p w14:paraId="7A691E1A">
            <w:pPr>
              <w:widowControl/>
              <w:spacing w:line="260" w:lineRule="exact"/>
              <w:jc w:val="center"/>
              <w:rPr>
                <w:rFonts w:ascii="仿宋_GB2312"/>
                <w:kern w:val="0"/>
                <w:szCs w:val="21"/>
              </w:rPr>
            </w:pPr>
          </w:p>
        </w:tc>
        <w:tc>
          <w:tcPr>
            <w:tcW w:w="1156" w:type="pct"/>
            <w:gridSpan w:val="2"/>
            <w:vAlign w:val="center"/>
          </w:tcPr>
          <w:p w14:paraId="1DA3F440">
            <w:pPr>
              <w:widowControl/>
              <w:spacing w:line="260" w:lineRule="exact"/>
              <w:jc w:val="center"/>
              <w:rPr>
                <w:rFonts w:ascii="仿宋_GB2312"/>
                <w:kern w:val="0"/>
                <w:szCs w:val="21"/>
              </w:rPr>
            </w:pPr>
          </w:p>
        </w:tc>
        <w:tc>
          <w:tcPr>
            <w:tcW w:w="1114" w:type="pct"/>
            <w:gridSpan w:val="4"/>
            <w:vAlign w:val="center"/>
          </w:tcPr>
          <w:p w14:paraId="5516FE46">
            <w:pPr>
              <w:widowControl/>
              <w:spacing w:line="260" w:lineRule="exact"/>
              <w:jc w:val="center"/>
              <w:rPr>
                <w:rFonts w:ascii="仿宋_GB2312"/>
                <w:kern w:val="0"/>
                <w:szCs w:val="21"/>
              </w:rPr>
            </w:pPr>
          </w:p>
        </w:tc>
        <w:tc>
          <w:tcPr>
            <w:tcW w:w="1272" w:type="pct"/>
            <w:gridSpan w:val="3"/>
            <w:noWrap/>
            <w:vAlign w:val="center"/>
          </w:tcPr>
          <w:p w14:paraId="38F9EAB0">
            <w:pPr>
              <w:widowControl/>
              <w:spacing w:line="260" w:lineRule="exact"/>
              <w:jc w:val="center"/>
              <w:rPr>
                <w:rFonts w:ascii="仿宋_GB2312"/>
                <w:color w:val="000000"/>
                <w:kern w:val="0"/>
                <w:szCs w:val="21"/>
              </w:rPr>
            </w:pPr>
          </w:p>
        </w:tc>
      </w:tr>
      <w:tr w14:paraId="7C9F3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253" w:type="pct"/>
            <w:vMerge w:val="continue"/>
            <w:vAlign w:val="center"/>
          </w:tcPr>
          <w:p w14:paraId="6440AB37">
            <w:pPr>
              <w:widowControl/>
              <w:spacing w:line="260" w:lineRule="exact"/>
              <w:jc w:val="center"/>
              <w:rPr>
                <w:rFonts w:ascii="仿宋_GB2312"/>
                <w:kern w:val="0"/>
                <w:szCs w:val="21"/>
              </w:rPr>
            </w:pPr>
          </w:p>
        </w:tc>
        <w:tc>
          <w:tcPr>
            <w:tcW w:w="445" w:type="pct"/>
            <w:vMerge w:val="continue"/>
            <w:vAlign w:val="center"/>
          </w:tcPr>
          <w:p w14:paraId="3633DED6">
            <w:pPr>
              <w:widowControl/>
              <w:spacing w:line="260" w:lineRule="exact"/>
              <w:jc w:val="center"/>
              <w:rPr>
                <w:rFonts w:ascii="仿宋_GB2312"/>
                <w:kern w:val="0"/>
                <w:szCs w:val="21"/>
              </w:rPr>
            </w:pPr>
          </w:p>
        </w:tc>
        <w:tc>
          <w:tcPr>
            <w:tcW w:w="760" w:type="pct"/>
            <w:gridSpan w:val="2"/>
            <w:vMerge w:val="restart"/>
            <w:vAlign w:val="center"/>
          </w:tcPr>
          <w:p w14:paraId="35EC0046">
            <w:pPr>
              <w:widowControl/>
              <w:spacing w:line="260" w:lineRule="exact"/>
              <w:jc w:val="center"/>
              <w:rPr>
                <w:rFonts w:ascii="仿宋_GB2312"/>
                <w:kern w:val="0"/>
                <w:szCs w:val="21"/>
              </w:rPr>
            </w:pPr>
            <w:r>
              <w:rPr>
                <w:rFonts w:hint="eastAsia" w:ascii="仿宋_GB2312"/>
                <w:kern w:val="0"/>
                <w:szCs w:val="21"/>
              </w:rPr>
              <w:t>可持续影响</w:t>
            </w:r>
            <w:r>
              <w:rPr>
                <w:rFonts w:hint="eastAsia" w:ascii="仿宋_GB2312"/>
                <w:kern w:val="0"/>
                <w:szCs w:val="21"/>
              </w:rPr>
              <w:br w:type="textWrapping"/>
            </w:r>
            <w:r>
              <w:rPr>
                <w:rFonts w:hint="eastAsia" w:ascii="仿宋_GB2312"/>
                <w:kern w:val="0"/>
                <w:szCs w:val="21"/>
              </w:rPr>
              <w:t>指标</w:t>
            </w:r>
          </w:p>
        </w:tc>
        <w:tc>
          <w:tcPr>
            <w:tcW w:w="1156" w:type="pct"/>
            <w:gridSpan w:val="2"/>
            <w:vAlign w:val="center"/>
          </w:tcPr>
          <w:p w14:paraId="660A9113">
            <w:pPr>
              <w:widowControl/>
              <w:spacing w:line="260" w:lineRule="exact"/>
              <w:rPr>
                <w:rFonts w:ascii="仿宋_GB2312"/>
                <w:kern w:val="0"/>
                <w:szCs w:val="21"/>
              </w:rPr>
            </w:pPr>
            <w:r>
              <w:rPr>
                <w:rFonts w:hint="eastAsia" w:ascii="仿宋_GB2312"/>
                <w:kern w:val="0"/>
                <w:szCs w:val="21"/>
              </w:rPr>
              <w:t>不断提升执法服务水平</w:t>
            </w:r>
          </w:p>
        </w:tc>
        <w:tc>
          <w:tcPr>
            <w:tcW w:w="1114" w:type="pct"/>
            <w:gridSpan w:val="4"/>
            <w:vAlign w:val="center"/>
          </w:tcPr>
          <w:p w14:paraId="255ADD59">
            <w:pPr>
              <w:widowControl/>
              <w:spacing w:line="260" w:lineRule="exact"/>
              <w:jc w:val="center"/>
              <w:rPr>
                <w:rFonts w:ascii="仿宋_GB2312"/>
                <w:kern w:val="0"/>
                <w:szCs w:val="21"/>
              </w:rPr>
            </w:pPr>
            <w:r>
              <w:rPr>
                <w:rFonts w:hint="eastAsia" w:ascii="仿宋_GB2312"/>
                <w:kern w:val="0"/>
                <w:szCs w:val="21"/>
              </w:rPr>
              <w:t>增强人民群众获得感、幸福感、安全感。</w:t>
            </w:r>
          </w:p>
        </w:tc>
        <w:tc>
          <w:tcPr>
            <w:tcW w:w="1272" w:type="pct"/>
            <w:gridSpan w:val="3"/>
            <w:noWrap/>
            <w:vAlign w:val="center"/>
          </w:tcPr>
          <w:p w14:paraId="1CD80DC2">
            <w:pPr>
              <w:widowControl/>
              <w:spacing w:line="260" w:lineRule="exact"/>
              <w:jc w:val="center"/>
              <w:rPr>
                <w:rFonts w:ascii="仿宋_GB2312"/>
                <w:color w:val="000000"/>
                <w:kern w:val="0"/>
                <w:szCs w:val="21"/>
              </w:rPr>
            </w:pPr>
            <w:r>
              <w:rPr>
                <w:rFonts w:hint="eastAsia" w:ascii="仿宋_GB2312"/>
                <w:kern w:val="0"/>
                <w:szCs w:val="21"/>
              </w:rPr>
              <w:t>增强人民群众获得感、幸福感、安全感。</w:t>
            </w:r>
          </w:p>
        </w:tc>
      </w:tr>
      <w:tr w14:paraId="7CDD4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253" w:type="pct"/>
            <w:vMerge w:val="continue"/>
            <w:vAlign w:val="center"/>
          </w:tcPr>
          <w:p w14:paraId="422284F8">
            <w:pPr>
              <w:widowControl/>
              <w:spacing w:line="260" w:lineRule="exact"/>
              <w:jc w:val="center"/>
              <w:rPr>
                <w:rFonts w:ascii="仿宋_GB2312"/>
                <w:kern w:val="0"/>
                <w:szCs w:val="21"/>
              </w:rPr>
            </w:pPr>
          </w:p>
        </w:tc>
        <w:tc>
          <w:tcPr>
            <w:tcW w:w="445" w:type="pct"/>
            <w:vMerge w:val="continue"/>
            <w:vAlign w:val="center"/>
          </w:tcPr>
          <w:p w14:paraId="07D4AD83">
            <w:pPr>
              <w:widowControl/>
              <w:spacing w:line="260" w:lineRule="exact"/>
              <w:jc w:val="center"/>
              <w:rPr>
                <w:rFonts w:ascii="仿宋_GB2312"/>
                <w:kern w:val="0"/>
                <w:szCs w:val="21"/>
              </w:rPr>
            </w:pPr>
          </w:p>
        </w:tc>
        <w:tc>
          <w:tcPr>
            <w:tcW w:w="760" w:type="pct"/>
            <w:gridSpan w:val="2"/>
            <w:vMerge w:val="continue"/>
            <w:vAlign w:val="center"/>
          </w:tcPr>
          <w:p w14:paraId="796CFF17">
            <w:pPr>
              <w:widowControl/>
              <w:spacing w:line="260" w:lineRule="exact"/>
              <w:jc w:val="center"/>
              <w:rPr>
                <w:rFonts w:ascii="仿宋_GB2312"/>
                <w:kern w:val="0"/>
                <w:szCs w:val="21"/>
              </w:rPr>
            </w:pPr>
          </w:p>
        </w:tc>
        <w:tc>
          <w:tcPr>
            <w:tcW w:w="1156" w:type="pct"/>
            <w:gridSpan w:val="2"/>
            <w:vAlign w:val="center"/>
          </w:tcPr>
          <w:p w14:paraId="395F3C27">
            <w:pPr>
              <w:widowControl/>
              <w:spacing w:line="260" w:lineRule="exact"/>
              <w:jc w:val="center"/>
              <w:rPr>
                <w:rFonts w:ascii="仿宋_GB2312"/>
                <w:kern w:val="0"/>
                <w:szCs w:val="21"/>
              </w:rPr>
            </w:pPr>
          </w:p>
        </w:tc>
        <w:tc>
          <w:tcPr>
            <w:tcW w:w="1114" w:type="pct"/>
            <w:gridSpan w:val="4"/>
            <w:vAlign w:val="center"/>
          </w:tcPr>
          <w:p w14:paraId="0611A502">
            <w:pPr>
              <w:widowControl/>
              <w:spacing w:line="260" w:lineRule="exact"/>
              <w:jc w:val="center"/>
              <w:rPr>
                <w:rFonts w:ascii="仿宋_GB2312"/>
                <w:kern w:val="0"/>
                <w:szCs w:val="21"/>
              </w:rPr>
            </w:pPr>
          </w:p>
        </w:tc>
        <w:tc>
          <w:tcPr>
            <w:tcW w:w="1272" w:type="pct"/>
            <w:gridSpan w:val="3"/>
            <w:noWrap/>
            <w:vAlign w:val="center"/>
          </w:tcPr>
          <w:p w14:paraId="712EAA6C">
            <w:pPr>
              <w:widowControl/>
              <w:spacing w:line="260" w:lineRule="exact"/>
              <w:jc w:val="center"/>
              <w:rPr>
                <w:rFonts w:ascii="仿宋_GB2312"/>
                <w:color w:val="000000"/>
                <w:kern w:val="0"/>
                <w:szCs w:val="21"/>
              </w:rPr>
            </w:pPr>
          </w:p>
        </w:tc>
      </w:tr>
      <w:tr w14:paraId="304C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253" w:type="pct"/>
            <w:vMerge w:val="continue"/>
            <w:vAlign w:val="center"/>
          </w:tcPr>
          <w:p w14:paraId="0A82516F">
            <w:pPr>
              <w:widowControl/>
              <w:spacing w:line="260" w:lineRule="exact"/>
              <w:jc w:val="center"/>
              <w:rPr>
                <w:rFonts w:ascii="仿宋_GB2312"/>
                <w:kern w:val="0"/>
                <w:szCs w:val="21"/>
              </w:rPr>
            </w:pPr>
          </w:p>
        </w:tc>
        <w:tc>
          <w:tcPr>
            <w:tcW w:w="445" w:type="pct"/>
            <w:vMerge w:val="restart"/>
            <w:vAlign w:val="center"/>
          </w:tcPr>
          <w:p w14:paraId="6645DD02">
            <w:pPr>
              <w:widowControl/>
              <w:spacing w:line="260" w:lineRule="exact"/>
              <w:jc w:val="center"/>
              <w:rPr>
                <w:rFonts w:ascii="仿宋_GB2312"/>
                <w:kern w:val="0"/>
                <w:szCs w:val="21"/>
              </w:rPr>
            </w:pPr>
            <w:r>
              <w:rPr>
                <w:rFonts w:hint="eastAsia" w:ascii="仿宋_GB2312"/>
                <w:kern w:val="0"/>
                <w:szCs w:val="21"/>
              </w:rPr>
              <w:t>满意度</w:t>
            </w:r>
            <w:r>
              <w:rPr>
                <w:rFonts w:hint="eastAsia" w:ascii="仿宋_GB2312"/>
                <w:kern w:val="0"/>
                <w:szCs w:val="21"/>
              </w:rPr>
              <w:br w:type="textWrapping"/>
            </w:r>
            <w:r>
              <w:rPr>
                <w:rFonts w:hint="eastAsia" w:ascii="仿宋_GB2312"/>
                <w:kern w:val="0"/>
                <w:szCs w:val="21"/>
              </w:rPr>
              <w:t>指标</w:t>
            </w:r>
          </w:p>
        </w:tc>
        <w:tc>
          <w:tcPr>
            <w:tcW w:w="760" w:type="pct"/>
            <w:gridSpan w:val="2"/>
            <w:vMerge w:val="restart"/>
            <w:vAlign w:val="center"/>
          </w:tcPr>
          <w:p w14:paraId="03B4E4B0">
            <w:pPr>
              <w:widowControl/>
              <w:spacing w:line="260" w:lineRule="exact"/>
              <w:jc w:val="center"/>
              <w:rPr>
                <w:rFonts w:ascii="仿宋_GB2312"/>
                <w:kern w:val="0"/>
                <w:szCs w:val="21"/>
              </w:rPr>
            </w:pPr>
            <w:r>
              <w:rPr>
                <w:rFonts w:hint="eastAsia" w:ascii="仿宋_GB2312"/>
                <w:kern w:val="0"/>
                <w:szCs w:val="21"/>
              </w:rPr>
              <w:t>满意度指标</w:t>
            </w:r>
          </w:p>
        </w:tc>
        <w:tc>
          <w:tcPr>
            <w:tcW w:w="1156" w:type="pct"/>
            <w:gridSpan w:val="2"/>
            <w:vAlign w:val="center"/>
          </w:tcPr>
          <w:p w14:paraId="1B7C4199">
            <w:pPr>
              <w:widowControl/>
              <w:spacing w:line="200" w:lineRule="exact"/>
              <w:jc w:val="center"/>
              <w:rPr>
                <w:rFonts w:ascii="仿宋_GB2312" w:hAnsi="宋体"/>
                <w:color w:val="000000"/>
                <w:szCs w:val="21"/>
              </w:rPr>
            </w:pPr>
            <w:r>
              <w:rPr>
                <w:rFonts w:hint="eastAsia" w:ascii="仿宋_GB2312" w:hAnsi="宋体"/>
                <w:color w:val="000000"/>
                <w:szCs w:val="21"/>
              </w:rPr>
              <w:t>人民群众对综合行政执法工作满意度</w:t>
            </w:r>
          </w:p>
        </w:tc>
        <w:tc>
          <w:tcPr>
            <w:tcW w:w="1114" w:type="pct"/>
            <w:gridSpan w:val="4"/>
            <w:vAlign w:val="center"/>
          </w:tcPr>
          <w:p w14:paraId="0F17C8E3">
            <w:pPr>
              <w:widowControl/>
              <w:spacing w:line="200" w:lineRule="exact"/>
              <w:rPr>
                <w:rFonts w:ascii="仿宋_GB2312" w:hAnsi="宋体"/>
                <w:color w:val="000000"/>
                <w:szCs w:val="21"/>
              </w:rPr>
            </w:pPr>
            <w:r>
              <w:rPr>
                <w:rFonts w:hint="eastAsia" w:ascii="仿宋_GB2312" w:hAnsi="宋体"/>
                <w:color w:val="000000"/>
                <w:szCs w:val="21"/>
              </w:rPr>
              <w:t>≥90%</w:t>
            </w:r>
          </w:p>
        </w:tc>
        <w:tc>
          <w:tcPr>
            <w:tcW w:w="1272" w:type="pct"/>
            <w:gridSpan w:val="3"/>
            <w:noWrap/>
            <w:vAlign w:val="center"/>
          </w:tcPr>
          <w:p w14:paraId="16C505B3">
            <w:pPr>
              <w:widowControl/>
              <w:spacing w:line="200" w:lineRule="exact"/>
              <w:rPr>
                <w:rFonts w:ascii="仿宋_GB2312" w:hAnsi="宋体"/>
                <w:color w:val="000000"/>
                <w:szCs w:val="21"/>
              </w:rPr>
            </w:pPr>
            <w:r>
              <w:rPr>
                <w:rFonts w:hint="eastAsia" w:ascii="仿宋_GB2312" w:hAnsi="宋体"/>
                <w:color w:val="000000"/>
                <w:szCs w:val="21"/>
              </w:rPr>
              <w:t>≥90%</w:t>
            </w:r>
          </w:p>
        </w:tc>
      </w:tr>
      <w:tr w14:paraId="7766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53" w:type="pct"/>
            <w:vMerge w:val="continue"/>
            <w:vAlign w:val="center"/>
          </w:tcPr>
          <w:p w14:paraId="5929E5AE">
            <w:pPr>
              <w:widowControl/>
              <w:spacing w:line="260" w:lineRule="exact"/>
              <w:jc w:val="center"/>
              <w:rPr>
                <w:rFonts w:ascii="仿宋_GB2312"/>
                <w:kern w:val="0"/>
                <w:szCs w:val="21"/>
              </w:rPr>
            </w:pPr>
          </w:p>
        </w:tc>
        <w:tc>
          <w:tcPr>
            <w:tcW w:w="445" w:type="pct"/>
            <w:vMerge w:val="continue"/>
            <w:vAlign w:val="center"/>
          </w:tcPr>
          <w:p w14:paraId="4B07947F">
            <w:pPr>
              <w:widowControl/>
              <w:spacing w:line="260" w:lineRule="exact"/>
              <w:jc w:val="center"/>
              <w:rPr>
                <w:rFonts w:ascii="仿宋_GB2312"/>
                <w:kern w:val="0"/>
                <w:szCs w:val="21"/>
              </w:rPr>
            </w:pPr>
          </w:p>
        </w:tc>
        <w:tc>
          <w:tcPr>
            <w:tcW w:w="760" w:type="pct"/>
            <w:gridSpan w:val="2"/>
            <w:vMerge w:val="continue"/>
            <w:vAlign w:val="center"/>
          </w:tcPr>
          <w:p w14:paraId="400E5582">
            <w:pPr>
              <w:widowControl/>
              <w:spacing w:line="260" w:lineRule="exact"/>
              <w:jc w:val="center"/>
              <w:rPr>
                <w:rFonts w:ascii="仿宋_GB2312"/>
                <w:kern w:val="0"/>
                <w:szCs w:val="21"/>
              </w:rPr>
            </w:pPr>
          </w:p>
        </w:tc>
        <w:tc>
          <w:tcPr>
            <w:tcW w:w="1156" w:type="pct"/>
            <w:gridSpan w:val="2"/>
            <w:vAlign w:val="center"/>
          </w:tcPr>
          <w:p w14:paraId="5F35A9B4">
            <w:pPr>
              <w:widowControl/>
              <w:spacing w:line="260" w:lineRule="exact"/>
              <w:jc w:val="center"/>
              <w:rPr>
                <w:rFonts w:ascii="仿宋_GB2312"/>
                <w:kern w:val="0"/>
                <w:szCs w:val="21"/>
              </w:rPr>
            </w:pPr>
            <w:r>
              <w:rPr>
                <w:rFonts w:hint="eastAsia" w:ascii="仿宋_GB2312"/>
                <w:kern w:val="0"/>
                <w:szCs w:val="21"/>
              </w:rPr>
              <w:t>社会公众或服务对象对部门履职效果的满意度</w:t>
            </w:r>
          </w:p>
        </w:tc>
        <w:tc>
          <w:tcPr>
            <w:tcW w:w="1114" w:type="pct"/>
            <w:gridSpan w:val="4"/>
            <w:vAlign w:val="center"/>
          </w:tcPr>
          <w:p w14:paraId="301E7649">
            <w:pPr>
              <w:widowControl/>
              <w:spacing w:line="200" w:lineRule="exact"/>
              <w:rPr>
                <w:rFonts w:ascii="仿宋_GB2312" w:hAnsi="宋体"/>
                <w:color w:val="000000"/>
                <w:szCs w:val="21"/>
              </w:rPr>
            </w:pPr>
            <w:r>
              <w:rPr>
                <w:rFonts w:hint="eastAsia" w:ascii="仿宋_GB2312" w:hAnsi="宋体"/>
                <w:color w:val="000000"/>
                <w:szCs w:val="21"/>
              </w:rPr>
              <w:t>≥90%</w:t>
            </w:r>
          </w:p>
        </w:tc>
        <w:tc>
          <w:tcPr>
            <w:tcW w:w="1272" w:type="pct"/>
            <w:gridSpan w:val="3"/>
            <w:noWrap/>
            <w:vAlign w:val="center"/>
          </w:tcPr>
          <w:p w14:paraId="1854223E">
            <w:pPr>
              <w:widowControl/>
              <w:spacing w:line="200" w:lineRule="exact"/>
              <w:rPr>
                <w:rFonts w:ascii="仿宋_GB2312" w:hAnsi="宋体"/>
                <w:color w:val="000000"/>
                <w:szCs w:val="21"/>
              </w:rPr>
            </w:pPr>
            <w:r>
              <w:rPr>
                <w:rFonts w:hint="eastAsia" w:ascii="仿宋_GB2312" w:hAnsi="宋体"/>
                <w:color w:val="000000"/>
                <w:szCs w:val="21"/>
              </w:rPr>
              <w:t>≥90%</w:t>
            </w:r>
          </w:p>
        </w:tc>
      </w:tr>
    </w:tbl>
    <w:p w14:paraId="37F013BF">
      <w:pPr>
        <w:pStyle w:val="2"/>
      </w:pPr>
    </w:p>
    <w:p w14:paraId="07C8C975">
      <w:pPr>
        <w:spacing w:line="600" w:lineRule="exact"/>
        <w:ind w:firstLine="640" w:firstLineChars="200"/>
        <w:rPr>
          <w:rFonts w:ascii="黑体" w:hAnsi="黑体" w:eastAsia="黑体"/>
          <w:sz w:val="32"/>
          <w:szCs w:val="32"/>
        </w:rPr>
      </w:pPr>
      <w:r>
        <w:rPr>
          <w:rFonts w:hint="eastAsia" w:ascii="黑体" w:hAnsi="黑体" w:eastAsia="黑体"/>
          <w:sz w:val="32"/>
          <w:szCs w:val="32"/>
        </w:rPr>
        <w:t>四、评价结论及建议</w:t>
      </w:r>
    </w:p>
    <w:p w14:paraId="76DAFCB8">
      <w:pPr>
        <w:spacing w:line="600" w:lineRule="exact"/>
        <w:ind w:firstLine="643" w:firstLineChars="200"/>
        <w:rPr>
          <w:rFonts w:ascii="楷体" w:hAnsi="楷体" w:eastAsia="楷体"/>
          <w:b/>
          <w:sz w:val="32"/>
          <w:szCs w:val="32"/>
        </w:rPr>
      </w:pPr>
      <w:r>
        <w:rPr>
          <w:rFonts w:hint="eastAsia" w:ascii="楷体" w:hAnsi="楷体" w:eastAsia="楷体"/>
          <w:b/>
          <w:sz w:val="32"/>
          <w:szCs w:val="32"/>
        </w:rPr>
        <w:t>(一)评价结论</w:t>
      </w:r>
    </w:p>
    <w:p w14:paraId="3C371CAD">
      <w:pPr>
        <w:spacing w:line="600" w:lineRule="exact"/>
        <w:ind w:firstLine="640" w:firstLineChars="200"/>
        <w:rPr>
          <w:rFonts w:ascii="仿宋_GB2312" w:hAnsi="宋体" w:eastAsia="仿宋_GB2312" w:cs="宋体"/>
          <w:sz w:val="32"/>
          <w:szCs w:val="32"/>
        </w:rPr>
      </w:pPr>
      <w:r>
        <w:rPr>
          <w:rFonts w:hint="eastAsia" w:ascii="仿宋_GB2312" w:hAnsi="仿宋_GB2312" w:eastAsia="仿宋_GB2312" w:cs="仿宋_GB2312"/>
          <w:sz w:val="32"/>
          <w:szCs w:val="32"/>
        </w:rPr>
        <w:t>我单位对2022年度部门整体支出和5个预算项目开展了自评工作，自评覆盖率100%。经自评，我局2022年度部门整体支出绩效自评得分为96分，绩效自评等级为“优”。整体</w:t>
      </w:r>
      <w:r>
        <w:rPr>
          <w:rFonts w:hint="eastAsia" w:ascii="仿宋_GB2312" w:hAnsi="宋体" w:eastAsia="仿宋_GB2312" w:cs="宋体"/>
          <w:sz w:val="32"/>
          <w:szCs w:val="32"/>
        </w:rPr>
        <w:t>支出得分明细如下所示：</w:t>
      </w:r>
    </w:p>
    <w:p w14:paraId="57CDC32F">
      <w:pPr>
        <w:kinsoku w:val="0"/>
        <w:overflowPunct w:val="0"/>
        <w:spacing w:line="360" w:lineRule="auto"/>
        <w:jc w:val="center"/>
        <w:rPr>
          <w:rFonts w:ascii="仿宋_GB2312" w:hAnsi="仿宋_GB2312" w:eastAsia="仿宋_GB2312" w:cs="仿宋_GB2312"/>
          <w:b/>
          <w:bCs/>
          <w:spacing w:val="1"/>
          <w:sz w:val="32"/>
          <w:szCs w:val="32"/>
        </w:rPr>
      </w:pPr>
      <w:r>
        <w:rPr>
          <w:rFonts w:hint="eastAsia" w:ascii="仿宋_GB2312" w:hAnsi="仿宋_GB2312" w:eastAsia="仿宋_GB2312" w:cs="仿宋_GB2312"/>
          <w:b/>
          <w:bCs/>
          <w:spacing w:val="1"/>
          <w:sz w:val="32"/>
          <w:szCs w:val="32"/>
        </w:rPr>
        <w:t>2022年度部门整体支出绩效评价指标体系</w:t>
      </w:r>
    </w:p>
    <w:tbl>
      <w:tblPr>
        <w:tblStyle w:val="14"/>
        <w:tblW w:w="50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585"/>
        <w:gridCol w:w="630"/>
        <w:gridCol w:w="471"/>
        <w:gridCol w:w="1571"/>
        <w:gridCol w:w="4162"/>
        <w:gridCol w:w="486"/>
      </w:tblGrid>
      <w:tr w14:paraId="55435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32" w:type="pct"/>
            <w:gridSpan w:val="3"/>
            <w:vAlign w:val="center"/>
          </w:tcPr>
          <w:p w14:paraId="243D49B1">
            <w:pPr>
              <w:jc w:val="center"/>
              <w:textAlignment w:val="center"/>
              <w:rPr>
                <w:b/>
                <w:bCs/>
                <w:color w:val="000000"/>
                <w:szCs w:val="21"/>
              </w:rPr>
            </w:pPr>
            <w:r>
              <w:rPr>
                <w:b/>
                <w:bCs/>
                <w:color w:val="000000"/>
                <w:szCs w:val="21"/>
              </w:rPr>
              <w:t>绩效指标</w:t>
            </w:r>
          </w:p>
        </w:tc>
        <w:tc>
          <w:tcPr>
            <w:tcW w:w="272" w:type="pct"/>
            <w:vMerge w:val="restart"/>
            <w:vAlign w:val="center"/>
          </w:tcPr>
          <w:p w14:paraId="77E652B1">
            <w:pPr>
              <w:jc w:val="center"/>
              <w:textAlignment w:val="center"/>
              <w:rPr>
                <w:b/>
                <w:bCs/>
                <w:color w:val="000000"/>
                <w:szCs w:val="21"/>
              </w:rPr>
            </w:pPr>
            <w:r>
              <w:rPr>
                <w:b/>
                <w:bCs/>
                <w:color w:val="000000"/>
                <w:szCs w:val="21"/>
              </w:rPr>
              <w:t>指标</w:t>
            </w:r>
          </w:p>
          <w:p w14:paraId="68F40053">
            <w:pPr>
              <w:jc w:val="center"/>
              <w:textAlignment w:val="center"/>
              <w:rPr>
                <w:b/>
                <w:bCs/>
                <w:color w:val="000000"/>
                <w:szCs w:val="21"/>
              </w:rPr>
            </w:pPr>
            <w:r>
              <w:rPr>
                <w:b/>
                <w:bCs/>
                <w:color w:val="000000"/>
                <w:szCs w:val="21"/>
              </w:rPr>
              <w:t>分值</w:t>
            </w:r>
          </w:p>
        </w:tc>
        <w:tc>
          <w:tcPr>
            <w:tcW w:w="907" w:type="pct"/>
            <w:vMerge w:val="restart"/>
            <w:vAlign w:val="center"/>
          </w:tcPr>
          <w:p w14:paraId="6CEB86DC">
            <w:pPr>
              <w:jc w:val="center"/>
              <w:textAlignment w:val="center"/>
              <w:rPr>
                <w:b/>
                <w:bCs/>
                <w:color w:val="000000"/>
                <w:szCs w:val="21"/>
              </w:rPr>
            </w:pPr>
            <w:r>
              <w:rPr>
                <w:b/>
                <w:bCs/>
                <w:color w:val="000000"/>
                <w:szCs w:val="21"/>
              </w:rPr>
              <w:t>指标解释</w:t>
            </w:r>
          </w:p>
        </w:tc>
        <w:tc>
          <w:tcPr>
            <w:tcW w:w="2405" w:type="pct"/>
            <w:vMerge w:val="restart"/>
            <w:vAlign w:val="center"/>
          </w:tcPr>
          <w:p w14:paraId="785B1A9D">
            <w:pPr>
              <w:jc w:val="center"/>
              <w:textAlignment w:val="center"/>
              <w:rPr>
                <w:b/>
                <w:bCs/>
                <w:color w:val="000000"/>
                <w:szCs w:val="21"/>
              </w:rPr>
            </w:pPr>
            <w:r>
              <w:rPr>
                <w:b/>
                <w:bCs/>
                <w:color w:val="000000"/>
                <w:szCs w:val="21"/>
              </w:rPr>
              <w:t>计分标准</w:t>
            </w:r>
          </w:p>
        </w:tc>
        <w:tc>
          <w:tcPr>
            <w:tcW w:w="281" w:type="pct"/>
            <w:vMerge w:val="restart"/>
            <w:vAlign w:val="center"/>
          </w:tcPr>
          <w:p w14:paraId="137CF122">
            <w:pPr>
              <w:jc w:val="center"/>
              <w:textAlignment w:val="center"/>
              <w:rPr>
                <w:b/>
                <w:bCs/>
                <w:color w:val="000000"/>
                <w:sz w:val="18"/>
                <w:szCs w:val="18"/>
              </w:rPr>
            </w:pPr>
            <w:r>
              <w:rPr>
                <w:b/>
                <w:bCs/>
                <w:color w:val="000000"/>
                <w:sz w:val="18"/>
                <w:szCs w:val="18"/>
              </w:rPr>
              <w:t>自评得分</w:t>
            </w:r>
          </w:p>
        </w:tc>
      </w:tr>
      <w:tr w14:paraId="206FB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430" w:type="pct"/>
            <w:vAlign w:val="center"/>
          </w:tcPr>
          <w:p w14:paraId="2E684AC4">
            <w:pPr>
              <w:jc w:val="center"/>
              <w:textAlignment w:val="center"/>
              <w:rPr>
                <w:b/>
                <w:bCs/>
                <w:color w:val="000000"/>
                <w:szCs w:val="21"/>
              </w:rPr>
            </w:pPr>
            <w:r>
              <w:rPr>
                <w:b/>
                <w:bCs/>
                <w:color w:val="000000"/>
                <w:szCs w:val="21"/>
              </w:rPr>
              <w:t>一级指标</w:t>
            </w:r>
          </w:p>
        </w:tc>
        <w:tc>
          <w:tcPr>
            <w:tcW w:w="338" w:type="pct"/>
            <w:vAlign w:val="center"/>
          </w:tcPr>
          <w:p w14:paraId="68602032">
            <w:pPr>
              <w:jc w:val="center"/>
              <w:textAlignment w:val="center"/>
              <w:rPr>
                <w:b/>
                <w:bCs/>
                <w:color w:val="000000"/>
                <w:szCs w:val="21"/>
              </w:rPr>
            </w:pPr>
            <w:r>
              <w:rPr>
                <w:b/>
                <w:bCs/>
                <w:color w:val="000000"/>
                <w:szCs w:val="21"/>
              </w:rPr>
              <w:t>二级指标</w:t>
            </w:r>
          </w:p>
        </w:tc>
        <w:tc>
          <w:tcPr>
            <w:tcW w:w="363" w:type="pct"/>
            <w:vAlign w:val="center"/>
          </w:tcPr>
          <w:p w14:paraId="1D3F0756">
            <w:pPr>
              <w:jc w:val="center"/>
              <w:textAlignment w:val="center"/>
              <w:rPr>
                <w:b/>
                <w:bCs/>
                <w:color w:val="000000"/>
                <w:szCs w:val="21"/>
              </w:rPr>
            </w:pPr>
            <w:r>
              <w:rPr>
                <w:b/>
                <w:bCs/>
                <w:color w:val="000000"/>
                <w:szCs w:val="21"/>
              </w:rPr>
              <w:t>三级指标</w:t>
            </w:r>
          </w:p>
        </w:tc>
        <w:tc>
          <w:tcPr>
            <w:tcW w:w="272" w:type="pct"/>
            <w:vMerge w:val="continue"/>
            <w:vAlign w:val="center"/>
          </w:tcPr>
          <w:p w14:paraId="57CBFE69">
            <w:pPr>
              <w:jc w:val="center"/>
              <w:rPr>
                <w:b/>
                <w:bCs/>
                <w:color w:val="000000"/>
                <w:szCs w:val="21"/>
              </w:rPr>
            </w:pPr>
          </w:p>
        </w:tc>
        <w:tc>
          <w:tcPr>
            <w:tcW w:w="907" w:type="pct"/>
            <w:vMerge w:val="continue"/>
            <w:vAlign w:val="center"/>
          </w:tcPr>
          <w:p w14:paraId="10BF8CA7">
            <w:pPr>
              <w:jc w:val="center"/>
              <w:rPr>
                <w:b/>
                <w:bCs/>
                <w:color w:val="000000"/>
                <w:szCs w:val="21"/>
              </w:rPr>
            </w:pPr>
          </w:p>
        </w:tc>
        <w:tc>
          <w:tcPr>
            <w:tcW w:w="2405" w:type="pct"/>
            <w:vMerge w:val="continue"/>
            <w:vAlign w:val="center"/>
          </w:tcPr>
          <w:p w14:paraId="5AEA4990">
            <w:pPr>
              <w:jc w:val="center"/>
              <w:rPr>
                <w:b/>
                <w:bCs/>
                <w:color w:val="000000"/>
                <w:szCs w:val="21"/>
              </w:rPr>
            </w:pPr>
          </w:p>
        </w:tc>
        <w:tc>
          <w:tcPr>
            <w:tcW w:w="281" w:type="pct"/>
            <w:vMerge w:val="continue"/>
            <w:vAlign w:val="center"/>
          </w:tcPr>
          <w:p w14:paraId="38BF071B">
            <w:pPr>
              <w:jc w:val="center"/>
              <w:rPr>
                <w:b/>
                <w:bCs/>
                <w:color w:val="000000"/>
                <w:sz w:val="18"/>
                <w:szCs w:val="18"/>
              </w:rPr>
            </w:pPr>
          </w:p>
        </w:tc>
      </w:tr>
      <w:tr w14:paraId="19102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0" w:type="pct"/>
            <w:vMerge w:val="restart"/>
            <w:vAlign w:val="center"/>
          </w:tcPr>
          <w:p w14:paraId="583B45C7">
            <w:pPr>
              <w:jc w:val="center"/>
              <w:textAlignment w:val="center"/>
              <w:rPr>
                <w:color w:val="000000"/>
                <w:szCs w:val="21"/>
              </w:rPr>
            </w:pPr>
            <w:r>
              <w:rPr>
                <w:color w:val="000000"/>
                <w:szCs w:val="21"/>
              </w:rPr>
              <w:t>部门预算管理(80分)</w:t>
            </w:r>
          </w:p>
        </w:tc>
        <w:tc>
          <w:tcPr>
            <w:tcW w:w="338" w:type="pct"/>
            <w:vMerge w:val="restart"/>
            <w:vAlign w:val="center"/>
          </w:tcPr>
          <w:p w14:paraId="223A5601">
            <w:pPr>
              <w:jc w:val="center"/>
              <w:textAlignment w:val="center"/>
              <w:rPr>
                <w:color w:val="000000"/>
                <w:szCs w:val="21"/>
              </w:rPr>
            </w:pPr>
            <w:r>
              <w:rPr>
                <w:color w:val="000000"/>
                <w:szCs w:val="21"/>
              </w:rPr>
              <w:t>预算编制(30分)</w:t>
            </w:r>
          </w:p>
        </w:tc>
        <w:tc>
          <w:tcPr>
            <w:tcW w:w="363" w:type="pct"/>
            <w:vAlign w:val="center"/>
          </w:tcPr>
          <w:p w14:paraId="0D2AFC67">
            <w:pPr>
              <w:jc w:val="center"/>
              <w:textAlignment w:val="center"/>
              <w:rPr>
                <w:color w:val="000000"/>
                <w:szCs w:val="21"/>
              </w:rPr>
            </w:pPr>
            <w:r>
              <w:rPr>
                <w:color w:val="000000"/>
                <w:szCs w:val="21"/>
              </w:rPr>
              <w:t>目标</w:t>
            </w:r>
          </w:p>
          <w:p w14:paraId="757EC8F5">
            <w:pPr>
              <w:jc w:val="center"/>
              <w:textAlignment w:val="center"/>
              <w:rPr>
                <w:color w:val="000000"/>
                <w:szCs w:val="21"/>
              </w:rPr>
            </w:pPr>
            <w:r>
              <w:rPr>
                <w:color w:val="000000"/>
                <w:szCs w:val="21"/>
              </w:rPr>
              <w:t>制定</w:t>
            </w:r>
          </w:p>
        </w:tc>
        <w:tc>
          <w:tcPr>
            <w:tcW w:w="272" w:type="pct"/>
            <w:vAlign w:val="center"/>
          </w:tcPr>
          <w:p w14:paraId="136930D7">
            <w:pPr>
              <w:jc w:val="center"/>
              <w:textAlignment w:val="center"/>
              <w:rPr>
                <w:color w:val="000000"/>
                <w:szCs w:val="21"/>
              </w:rPr>
            </w:pPr>
            <w:r>
              <w:rPr>
                <w:color w:val="000000"/>
                <w:szCs w:val="21"/>
              </w:rPr>
              <w:t>10</w:t>
            </w:r>
          </w:p>
        </w:tc>
        <w:tc>
          <w:tcPr>
            <w:tcW w:w="907" w:type="pct"/>
            <w:vAlign w:val="center"/>
          </w:tcPr>
          <w:p w14:paraId="543B9E0E">
            <w:pPr>
              <w:textAlignment w:val="center"/>
              <w:rPr>
                <w:color w:val="000000"/>
                <w:szCs w:val="21"/>
              </w:rPr>
            </w:pPr>
            <w:r>
              <w:rPr>
                <w:color w:val="000000"/>
                <w:szCs w:val="21"/>
              </w:rPr>
              <w:t>评价部门绩效目标是否要素完整、细化量化。</w:t>
            </w:r>
          </w:p>
        </w:tc>
        <w:tc>
          <w:tcPr>
            <w:tcW w:w="2405" w:type="pct"/>
            <w:vAlign w:val="center"/>
          </w:tcPr>
          <w:p w14:paraId="46FFD4D1">
            <w:pPr>
              <w:textAlignment w:val="center"/>
              <w:rPr>
                <w:color w:val="000000"/>
                <w:szCs w:val="21"/>
              </w:rPr>
            </w:pPr>
            <w:r>
              <w:rPr>
                <w:color w:val="000000"/>
                <w:szCs w:val="21"/>
              </w:rPr>
              <w:t>1.绩效目标编制要素完整的，得5分，否则酌情扣分。</w:t>
            </w:r>
          </w:p>
          <w:p w14:paraId="370755FD">
            <w:pPr>
              <w:textAlignment w:val="center"/>
              <w:rPr>
                <w:color w:val="000000"/>
                <w:szCs w:val="21"/>
              </w:rPr>
            </w:pPr>
            <w:r>
              <w:rPr>
                <w:color w:val="000000"/>
                <w:szCs w:val="21"/>
              </w:rPr>
              <w:t>2.绩效指标细化量化的，得5分，否则酌情扣分。</w:t>
            </w:r>
          </w:p>
          <w:p w14:paraId="5127F6AD">
            <w:pPr>
              <w:textAlignment w:val="center"/>
              <w:rPr>
                <w:color w:val="000000"/>
                <w:szCs w:val="21"/>
              </w:rPr>
            </w:pPr>
            <w:r>
              <w:rPr>
                <w:color w:val="000000"/>
                <w:szCs w:val="21"/>
              </w:rPr>
              <w:t>有项目绩效目标的部门，根据项目绩效目标编制质量打分，无项目绩效目标的部门，根据部门整体支出绩效目标打分。</w:t>
            </w:r>
          </w:p>
        </w:tc>
        <w:tc>
          <w:tcPr>
            <w:tcW w:w="281" w:type="pct"/>
            <w:vAlign w:val="center"/>
          </w:tcPr>
          <w:p w14:paraId="7DC77C9A">
            <w:pPr>
              <w:jc w:val="center"/>
              <w:rPr>
                <w:color w:val="000000"/>
                <w:sz w:val="18"/>
                <w:szCs w:val="18"/>
              </w:rPr>
            </w:pPr>
            <w:r>
              <w:rPr>
                <w:rFonts w:hint="eastAsia"/>
                <w:color w:val="000000"/>
                <w:sz w:val="18"/>
                <w:szCs w:val="18"/>
              </w:rPr>
              <w:t>10</w:t>
            </w:r>
          </w:p>
        </w:tc>
      </w:tr>
      <w:tr w14:paraId="49AF1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430" w:type="pct"/>
            <w:vMerge w:val="continue"/>
            <w:vAlign w:val="center"/>
          </w:tcPr>
          <w:p w14:paraId="054498E6">
            <w:pPr>
              <w:jc w:val="center"/>
              <w:rPr>
                <w:color w:val="000000"/>
                <w:szCs w:val="21"/>
              </w:rPr>
            </w:pPr>
          </w:p>
        </w:tc>
        <w:tc>
          <w:tcPr>
            <w:tcW w:w="338" w:type="pct"/>
            <w:vMerge w:val="continue"/>
            <w:vAlign w:val="center"/>
          </w:tcPr>
          <w:p w14:paraId="53DFEFD1">
            <w:pPr>
              <w:jc w:val="center"/>
              <w:rPr>
                <w:color w:val="000000"/>
                <w:szCs w:val="21"/>
              </w:rPr>
            </w:pPr>
          </w:p>
        </w:tc>
        <w:tc>
          <w:tcPr>
            <w:tcW w:w="363" w:type="pct"/>
            <w:vAlign w:val="center"/>
          </w:tcPr>
          <w:p w14:paraId="6E6F288D">
            <w:pPr>
              <w:jc w:val="center"/>
              <w:textAlignment w:val="center"/>
              <w:rPr>
                <w:color w:val="000000"/>
                <w:szCs w:val="21"/>
              </w:rPr>
            </w:pPr>
            <w:r>
              <w:rPr>
                <w:color w:val="000000"/>
                <w:szCs w:val="21"/>
              </w:rPr>
              <w:t>目标</w:t>
            </w:r>
          </w:p>
          <w:p w14:paraId="4E66F678">
            <w:pPr>
              <w:jc w:val="center"/>
              <w:textAlignment w:val="center"/>
              <w:rPr>
                <w:color w:val="000000"/>
                <w:szCs w:val="21"/>
              </w:rPr>
            </w:pPr>
            <w:r>
              <w:rPr>
                <w:color w:val="000000"/>
                <w:szCs w:val="21"/>
              </w:rPr>
              <w:t>实现</w:t>
            </w:r>
          </w:p>
        </w:tc>
        <w:tc>
          <w:tcPr>
            <w:tcW w:w="272" w:type="pct"/>
            <w:vAlign w:val="center"/>
          </w:tcPr>
          <w:p w14:paraId="2959A60D">
            <w:pPr>
              <w:jc w:val="center"/>
              <w:textAlignment w:val="center"/>
              <w:rPr>
                <w:color w:val="000000"/>
                <w:szCs w:val="21"/>
              </w:rPr>
            </w:pPr>
            <w:r>
              <w:rPr>
                <w:color w:val="000000"/>
                <w:szCs w:val="21"/>
              </w:rPr>
              <w:t>10</w:t>
            </w:r>
          </w:p>
        </w:tc>
        <w:tc>
          <w:tcPr>
            <w:tcW w:w="907" w:type="pct"/>
            <w:vAlign w:val="center"/>
          </w:tcPr>
          <w:p w14:paraId="65972778">
            <w:pPr>
              <w:textAlignment w:val="center"/>
              <w:rPr>
                <w:color w:val="000000"/>
                <w:szCs w:val="21"/>
              </w:rPr>
            </w:pPr>
            <w:r>
              <w:rPr>
                <w:color w:val="000000"/>
                <w:szCs w:val="21"/>
              </w:rPr>
              <w:t>评价部门绩效目标实际实现程度与预期目标的偏离度。</w:t>
            </w:r>
          </w:p>
        </w:tc>
        <w:tc>
          <w:tcPr>
            <w:tcW w:w="2405" w:type="pct"/>
            <w:vAlign w:val="center"/>
          </w:tcPr>
          <w:p w14:paraId="2ECF5A77">
            <w:pPr>
              <w:textAlignment w:val="center"/>
              <w:rPr>
                <w:color w:val="000000"/>
                <w:szCs w:val="21"/>
              </w:rPr>
            </w:pPr>
            <w:r>
              <w:rPr>
                <w:color w:val="000000"/>
                <w:szCs w:val="21"/>
              </w:rPr>
              <w:t>以项目完成数量为核心，评价项目实际完成情况与预期绩效目标偏离度，单个数量指标实际完成未达到预期指标或超过预期指标30%以上的，均不计分。该项指标得分=达到预期值的数量指标个数/全部数量指标个数(即评价选取的项目绩效目标包含的所有数量指标)</w:t>
            </w:r>
          </w:p>
        </w:tc>
        <w:tc>
          <w:tcPr>
            <w:tcW w:w="281" w:type="pct"/>
            <w:vAlign w:val="center"/>
          </w:tcPr>
          <w:p w14:paraId="1E664001">
            <w:pPr>
              <w:jc w:val="center"/>
              <w:rPr>
                <w:color w:val="000000"/>
                <w:sz w:val="18"/>
                <w:szCs w:val="18"/>
              </w:rPr>
            </w:pPr>
            <w:r>
              <w:rPr>
                <w:rFonts w:hint="eastAsia"/>
                <w:color w:val="000000"/>
                <w:sz w:val="18"/>
                <w:szCs w:val="18"/>
              </w:rPr>
              <w:t>10</w:t>
            </w:r>
          </w:p>
        </w:tc>
      </w:tr>
      <w:tr w14:paraId="60066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jc w:val="center"/>
        </w:trPr>
        <w:tc>
          <w:tcPr>
            <w:tcW w:w="430" w:type="pct"/>
            <w:vMerge w:val="continue"/>
            <w:vAlign w:val="center"/>
          </w:tcPr>
          <w:p w14:paraId="65C10667">
            <w:pPr>
              <w:jc w:val="center"/>
              <w:rPr>
                <w:color w:val="000000"/>
                <w:szCs w:val="21"/>
              </w:rPr>
            </w:pPr>
          </w:p>
        </w:tc>
        <w:tc>
          <w:tcPr>
            <w:tcW w:w="338" w:type="pct"/>
            <w:vMerge w:val="continue"/>
            <w:vAlign w:val="center"/>
          </w:tcPr>
          <w:p w14:paraId="278C3717">
            <w:pPr>
              <w:jc w:val="center"/>
              <w:rPr>
                <w:color w:val="000000"/>
                <w:szCs w:val="21"/>
              </w:rPr>
            </w:pPr>
          </w:p>
        </w:tc>
        <w:tc>
          <w:tcPr>
            <w:tcW w:w="363" w:type="pct"/>
            <w:vAlign w:val="center"/>
          </w:tcPr>
          <w:p w14:paraId="549554ED">
            <w:pPr>
              <w:jc w:val="center"/>
              <w:textAlignment w:val="center"/>
              <w:rPr>
                <w:color w:val="000000"/>
                <w:szCs w:val="21"/>
              </w:rPr>
            </w:pPr>
            <w:r>
              <w:rPr>
                <w:color w:val="000000"/>
                <w:szCs w:val="21"/>
              </w:rPr>
              <w:t>编制</w:t>
            </w:r>
          </w:p>
          <w:p w14:paraId="56CC1214">
            <w:pPr>
              <w:jc w:val="center"/>
              <w:textAlignment w:val="center"/>
              <w:rPr>
                <w:color w:val="000000"/>
                <w:szCs w:val="21"/>
              </w:rPr>
            </w:pPr>
            <w:r>
              <w:rPr>
                <w:color w:val="000000"/>
                <w:szCs w:val="21"/>
              </w:rPr>
              <w:t>准确</w:t>
            </w:r>
          </w:p>
        </w:tc>
        <w:tc>
          <w:tcPr>
            <w:tcW w:w="272" w:type="pct"/>
            <w:vAlign w:val="center"/>
          </w:tcPr>
          <w:p w14:paraId="059573A2">
            <w:pPr>
              <w:jc w:val="center"/>
              <w:textAlignment w:val="center"/>
              <w:rPr>
                <w:color w:val="000000"/>
                <w:szCs w:val="21"/>
              </w:rPr>
            </w:pPr>
            <w:r>
              <w:rPr>
                <w:color w:val="000000"/>
                <w:szCs w:val="21"/>
              </w:rPr>
              <w:t>10</w:t>
            </w:r>
          </w:p>
        </w:tc>
        <w:tc>
          <w:tcPr>
            <w:tcW w:w="907" w:type="pct"/>
            <w:vAlign w:val="center"/>
          </w:tcPr>
          <w:p w14:paraId="32991827">
            <w:pPr>
              <w:textAlignment w:val="center"/>
              <w:rPr>
                <w:color w:val="000000"/>
                <w:szCs w:val="21"/>
              </w:rPr>
            </w:pPr>
            <w:r>
              <w:rPr>
                <w:color w:val="000000"/>
                <w:szCs w:val="21"/>
              </w:rPr>
              <w:t>评价部门年初预算编制是否科学准确。</w:t>
            </w:r>
          </w:p>
        </w:tc>
        <w:tc>
          <w:tcPr>
            <w:tcW w:w="2405" w:type="pct"/>
            <w:vAlign w:val="center"/>
          </w:tcPr>
          <w:p w14:paraId="3562420B">
            <w:pPr>
              <w:textAlignment w:val="center"/>
              <w:rPr>
                <w:color w:val="000000"/>
                <w:szCs w:val="21"/>
              </w:rPr>
            </w:pPr>
            <w:r>
              <w:rPr>
                <w:color w:val="000000"/>
                <w:szCs w:val="21"/>
              </w:rPr>
              <w:t>指标得分=(1-(10×部门全年预算调剂金额/年初部门预算数))*指标分值。其中：若部门全年预算调剂金额/年初部门预算数&gt;0.1，此项得0分。</w:t>
            </w:r>
          </w:p>
        </w:tc>
        <w:tc>
          <w:tcPr>
            <w:tcW w:w="281" w:type="pct"/>
            <w:vAlign w:val="center"/>
          </w:tcPr>
          <w:p w14:paraId="2B1EEACD">
            <w:pPr>
              <w:jc w:val="center"/>
              <w:rPr>
                <w:color w:val="000000"/>
                <w:sz w:val="18"/>
                <w:szCs w:val="18"/>
              </w:rPr>
            </w:pPr>
            <w:r>
              <w:rPr>
                <w:rFonts w:hint="eastAsia"/>
                <w:color w:val="000000"/>
                <w:sz w:val="18"/>
                <w:szCs w:val="18"/>
              </w:rPr>
              <w:t>10</w:t>
            </w:r>
          </w:p>
        </w:tc>
      </w:tr>
      <w:tr w14:paraId="1FDE1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0" w:type="pct"/>
            <w:vMerge w:val="continue"/>
            <w:vAlign w:val="center"/>
          </w:tcPr>
          <w:p w14:paraId="45768664">
            <w:pPr>
              <w:jc w:val="center"/>
              <w:rPr>
                <w:color w:val="000000"/>
                <w:szCs w:val="21"/>
              </w:rPr>
            </w:pPr>
          </w:p>
        </w:tc>
        <w:tc>
          <w:tcPr>
            <w:tcW w:w="338" w:type="pct"/>
            <w:vMerge w:val="restart"/>
            <w:vAlign w:val="center"/>
          </w:tcPr>
          <w:p w14:paraId="3F8319F4">
            <w:pPr>
              <w:jc w:val="center"/>
              <w:textAlignment w:val="center"/>
              <w:rPr>
                <w:color w:val="000000"/>
                <w:szCs w:val="21"/>
              </w:rPr>
            </w:pPr>
            <w:r>
              <w:rPr>
                <w:color w:val="000000"/>
                <w:szCs w:val="21"/>
              </w:rPr>
              <w:t>预算执行(30分)</w:t>
            </w:r>
          </w:p>
        </w:tc>
        <w:tc>
          <w:tcPr>
            <w:tcW w:w="363" w:type="pct"/>
            <w:vAlign w:val="center"/>
          </w:tcPr>
          <w:p w14:paraId="2435AFC8">
            <w:pPr>
              <w:jc w:val="center"/>
              <w:textAlignment w:val="center"/>
              <w:rPr>
                <w:color w:val="000000"/>
                <w:szCs w:val="21"/>
              </w:rPr>
            </w:pPr>
            <w:r>
              <w:rPr>
                <w:color w:val="000000"/>
                <w:szCs w:val="21"/>
              </w:rPr>
              <w:t>支出</w:t>
            </w:r>
          </w:p>
          <w:p w14:paraId="15E2E7B9">
            <w:pPr>
              <w:jc w:val="center"/>
              <w:textAlignment w:val="center"/>
              <w:rPr>
                <w:color w:val="000000"/>
                <w:szCs w:val="21"/>
              </w:rPr>
            </w:pPr>
            <w:r>
              <w:rPr>
                <w:color w:val="000000"/>
                <w:szCs w:val="21"/>
              </w:rPr>
              <w:t>控制</w:t>
            </w:r>
          </w:p>
        </w:tc>
        <w:tc>
          <w:tcPr>
            <w:tcW w:w="272" w:type="pct"/>
            <w:vAlign w:val="center"/>
          </w:tcPr>
          <w:p w14:paraId="5C8717E1">
            <w:pPr>
              <w:jc w:val="center"/>
              <w:textAlignment w:val="center"/>
              <w:rPr>
                <w:color w:val="000000"/>
                <w:szCs w:val="21"/>
              </w:rPr>
            </w:pPr>
            <w:r>
              <w:rPr>
                <w:color w:val="000000"/>
                <w:szCs w:val="21"/>
              </w:rPr>
              <w:t>10</w:t>
            </w:r>
          </w:p>
        </w:tc>
        <w:tc>
          <w:tcPr>
            <w:tcW w:w="907" w:type="pct"/>
            <w:vAlign w:val="center"/>
          </w:tcPr>
          <w:p w14:paraId="2C749D69">
            <w:pPr>
              <w:textAlignment w:val="center"/>
              <w:rPr>
                <w:color w:val="000000"/>
                <w:szCs w:val="21"/>
              </w:rPr>
            </w:pPr>
            <w:r>
              <w:rPr>
                <w:color w:val="000000"/>
                <w:szCs w:val="21"/>
              </w:rPr>
              <w:t>部门公用经费及非定额公用支出控制情况。</w:t>
            </w:r>
          </w:p>
        </w:tc>
        <w:tc>
          <w:tcPr>
            <w:tcW w:w="2405" w:type="pct"/>
            <w:vAlign w:val="center"/>
          </w:tcPr>
          <w:p w14:paraId="408CC796">
            <w:pPr>
              <w:textAlignment w:val="center"/>
              <w:rPr>
                <w:color w:val="000000"/>
                <w:szCs w:val="21"/>
              </w:rPr>
            </w:pPr>
            <w:r>
              <w:rPr>
                <w:color w:val="000000"/>
                <w:szCs w:val="21"/>
              </w:rPr>
              <w:t>计算部门日常公用经费、项目支出中“办公费、印刷费、水费、电费、物业管理费”等科目年初预算数与决算数偏差程度预决算偏差程度在10%以内的，得10分。偏差度在10%-20%之间的，得5分，偏差度超过20%的，不得分。</w:t>
            </w:r>
          </w:p>
        </w:tc>
        <w:tc>
          <w:tcPr>
            <w:tcW w:w="281" w:type="pct"/>
            <w:vAlign w:val="center"/>
          </w:tcPr>
          <w:p w14:paraId="05B17FFD">
            <w:pPr>
              <w:jc w:val="center"/>
              <w:rPr>
                <w:color w:val="000000"/>
                <w:sz w:val="18"/>
                <w:szCs w:val="18"/>
              </w:rPr>
            </w:pPr>
            <w:r>
              <w:rPr>
                <w:rFonts w:hint="eastAsia"/>
                <w:color w:val="000000"/>
                <w:sz w:val="18"/>
                <w:szCs w:val="18"/>
              </w:rPr>
              <w:t>10</w:t>
            </w:r>
          </w:p>
        </w:tc>
      </w:tr>
      <w:tr w14:paraId="61C4A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1" w:hRule="atLeast"/>
          <w:jc w:val="center"/>
        </w:trPr>
        <w:tc>
          <w:tcPr>
            <w:tcW w:w="430" w:type="pct"/>
            <w:vMerge w:val="continue"/>
            <w:vAlign w:val="center"/>
          </w:tcPr>
          <w:p w14:paraId="314D9789">
            <w:pPr>
              <w:jc w:val="center"/>
              <w:rPr>
                <w:color w:val="000000"/>
                <w:szCs w:val="21"/>
              </w:rPr>
            </w:pPr>
          </w:p>
        </w:tc>
        <w:tc>
          <w:tcPr>
            <w:tcW w:w="338" w:type="pct"/>
            <w:vMerge w:val="continue"/>
            <w:vAlign w:val="center"/>
          </w:tcPr>
          <w:p w14:paraId="5D599299">
            <w:pPr>
              <w:jc w:val="center"/>
              <w:rPr>
                <w:color w:val="000000"/>
                <w:szCs w:val="21"/>
              </w:rPr>
            </w:pPr>
          </w:p>
        </w:tc>
        <w:tc>
          <w:tcPr>
            <w:tcW w:w="363" w:type="pct"/>
            <w:vAlign w:val="center"/>
          </w:tcPr>
          <w:p w14:paraId="2DB70F4B">
            <w:pPr>
              <w:jc w:val="center"/>
              <w:textAlignment w:val="center"/>
              <w:rPr>
                <w:color w:val="000000"/>
                <w:szCs w:val="21"/>
              </w:rPr>
            </w:pPr>
            <w:r>
              <w:rPr>
                <w:color w:val="000000"/>
                <w:szCs w:val="21"/>
              </w:rPr>
              <w:t>动态</w:t>
            </w:r>
          </w:p>
          <w:p w14:paraId="55211FB3">
            <w:pPr>
              <w:jc w:val="center"/>
              <w:textAlignment w:val="center"/>
              <w:rPr>
                <w:color w:val="000000"/>
                <w:szCs w:val="21"/>
              </w:rPr>
            </w:pPr>
            <w:r>
              <w:rPr>
                <w:color w:val="000000"/>
                <w:szCs w:val="21"/>
              </w:rPr>
              <w:t>调整</w:t>
            </w:r>
          </w:p>
        </w:tc>
        <w:tc>
          <w:tcPr>
            <w:tcW w:w="272" w:type="pct"/>
            <w:vAlign w:val="center"/>
          </w:tcPr>
          <w:p w14:paraId="4935C54F">
            <w:pPr>
              <w:jc w:val="center"/>
              <w:textAlignment w:val="center"/>
              <w:rPr>
                <w:color w:val="000000"/>
                <w:szCs w:val="21"/>
              </w:rPr>
            </w:pPr>
            <w:r>
              <w:rPr>
                <w:color w:val="000000"/>
                <w:szCs w:val="21"/>
              </w:rPr>
              <w:t>10</w:t>
            </w:r>
          </w:p>
        </w:tc>
        <w:tc>
          <w:tcPr>
            <w:tcW w:w="907" w:type="pct"/>
            <w:vAlign w:val="center"/>
          </w:tcPr>
          <w:p w14:paraId="67684B95">
            <w:pPr>
              <w:textAlignment w:val="center"/>
              <w:rPr>
                <w:color w:val="000000"/>
                <w:szCs w:val="21"/>
              </w:rPr>
            </w:pPr>
            <w:r>
              <w:rPr>
                <w:color w:val="000000"/>
                <w:szCs w:val="21"/>
              </w:rPr>
              <w:t>评价部门开展绩效运行监控后，将绩效监控结果应用到预算调整的情况。</w:t>
            </w:r>
          </w:p>
        </w:tc>
        <w:tc>
          <w:tcPr>
            <w:tcW w:w="2405" w:type="pct"/>
            <w:vAlign w:val="center"/>
          </w:tcPr>
          <w:p w14:paraId="18204057">
            <w:pPr>
              <w:textAlignment w:val="center"/>
              <w:rPr>
                <w:color w:val="000000"/>
                <w:szCs w:val="21"/>
              </w:rPr>
            </w:pPr>
            <w:r>
              <w:rPr>
                <w:color w:val="000000"/>
                <w:szCs w:val="21"/>
              </w:rPr>
              <w:t>1.当部门绩效监控调整取消额和结余注销额均不为零时，指标得分=部门项目支出绩效监控调整取消额÷(部门绩效监控调整取消额+预算结余注销额)*10。</w:t>
            </w:r>
          </w:p>
          <w:p w14:paraId="39092168">
            <w:pPr>
              <w:textAlignment w:val="center"/>
              <w:rPr>
                <w:color w:val="000000"/>
                <w:szCs w:val="21"/>
              </w:rPr>
            </w:pPr>
            <w:r>
              <w:rPr>
                <w:color w:val="000000"/>
                <w:szCs w:val="21"/>
              </w:rPr>
              <w:t>2.当部门绩效监控调整取消额为零，结余注销额不为零时，指标得分=(1-10*结余注销额/年度预算总额)*10，结余注销额超过部门年度预算总额10%的，指标不得分。</w:t>
            </w:r>
          </w:p>
          <w:p w14:paraId="4A278C26">
            <w:pPr>
              <w:textAlignment w:val="center"/>
              <w:rPr>
                <w:color w:val="000000"/>
                <w:szCs w:val="21"/>
              </w:rPr>
            </w:pPr>
            <w:r>
              <w:rPr>
                <w:color w:val="000000"/>
                <w:szCs w:val="21"/>
              </w:rPr>
              <w:t>3.当部门绩效监控调整取消额与结余注销额均为零时，得满分</w:t>
            </w:r>
          </w:p>
        </w:tc>
        <w:tc>
          <w:tcPr>
            <w:tcW w:w="281" w:type="pct"/>
            <w:vAlign w:val="center"/>
          </w:tcPr>
          <w:p w14:paraId="4CEC0602">
            <w:pPr>
              <w:jc w:val="center"/>
              <w:rPr>
                <w:color w:val="000000"/>
                <w:sz w:val="18"/>
                <w:szCs w:val="18"/>
              </w:rPr>
            </w:pPr>
            <w:r>
              <w:rPr>
                <w:rFonts w:hint="eastAsia"/>
                <w:color w:val="000000"/>
                <w:sz w:val="18"/>
                <w:szCs w:val="18"/>
              </w:rPr>
              <w:t>10</w:t>
            </w:r>
          </w:p>
        </w:tc>
      </w:tr>
      <w:tr w14:paraId="542F2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0" w:type="pct"/>
            <w:vMerge w:val="continue"/>
            <w:vAlign w:val="center"/>
          </w:tcPr>
          <w:p w14:paraId="1AB48A38">
            <w:pPr>
              <w:jc w:val="center"/>
              <w:rPr>
                <w:color w:val="000000"/>
                <w:szCs w:val="21"/>
              </w:rPr>
            </w:pPr>
          </w:p>
        </w:tc>
        <w:tc>
          <w:tcPr>
            <w:tcW w:w="338" w:type="pct"/>
            <w:vMerge w:val="continue"/>
            <w:vAlign w:val="center"/>
          </w:tcPr>
          <w:p w14:paraId="33E7DD88">
            <w:pPr>
              <w:jc w:val="center"/>
              <w:rPr>
                <w:color w:val="000000"/>
                <w:szCs w:val="21"/>
              </w:rPr>
            </w:pPr>
          </w:p>
        </w:tc>
        <w:tc>
          <w:tcPr>
            <w:tcW w:w="363" w:type="pct"/>
            <w:vAlign w:val="center"/>
          </w:tcPr>
          <w:p w14:paraId="37057D77">
            <w:pPr>
              <w:jc w:val="center"/>
              <w:textAlignment w:val="center"/>
              <w:rPr>
                <w:color w:val="000000"/>
                <w:szCs w:val="21"/>
              </w:rPr>
            </w:pPr>
            <w:r>
              <w:rPr>
                <w:color w:val="000000"/>
                <w:szCs w:val="21"/>
              </w:rPr>
              <w:t>执行进度</w:t>
            </w:r>
          </w:p>
        </w:tc>
        <w:tc>
          <w:tcPr>
            <w:tcW w:w="272" w:type="pct"/>
            <w:vAlign w:val="center"/>
          </w:tcPr>
          <w:p w14:paraId="77755309">
            <w:pPr>
              <w:jc w:val="center"/>
              <w:textAlignment w:val="center"/>
              <w:rPr>
                <w:color w:val="000000"/>
                <w:szCs w:val="21"/>
              </w:rPr>
            </w:pPr>
            <w:r>
              <w:rPr>
                <w:color w:val="000000"/>
                <w:szCs w:val="21"/>
              </w:rPr>
              <w:t>10</w:t>
            </w:r>
          </w:p>
        </w:tc>
        <w:tc>
          <w:tcPr>
            <w:tcW w:w="907" w:type="pct"/>
            <w:vAlign w:val="center"/>
          </w:tcPr>
          <w:p w14:paraId="563C0541">
            <w:pPr>
              <w:textAlignment w:val="center"/>
              <w:rPr>
                <w:color w:val="000000"/>
                <w:szCs w:val="21"/>
              </w:rPr>
            </w:pPr>
            <w:r>
              <w:rPr>
                <w:color w:val="000000"/>
                <w:szCs w:val="21"/>
              </w:rPr>
              <w:t>评价部门在6、9、11月的预算执行情况。</w:t>
            </w:r>
          </w:p>
        </w:tc>
        <w:tc>
          <w:tcPr>
            <w:tcW w:w="2405" w:type="pct"/>
            <w:vAlign w:val="center"/>
          </w:tcPr>
          <w:p w14:paraId="5B5C90EB">
            <w:pPr>
              <w:textAlignment w:val="center"/>
              <w:rPr>
                <w:color w:val="000000"/>
                <w:szCs w:val="21"/>
              </w:rPr>
            </w:pPr>
            <w:r>
              <w:rPr>
                <w:color w:val="000000"/>
                <w:szCs w:val="21"/>
              </w:rPr>
              <w:t>部门预算执行进度在6、9、11月应达到序时进度的80%、90%、90%，即实际支出进度分别达到40%、67.5%、82.5%。6、9、11月部门预算执行进度达到量化指标的分别得3、4、3分，未达到目标进度的的按其实际进度占目标进度的比重计算得分。</w:t>
            </w:r>
          </w:p>
        </w:tc>
        <w:tc>
          <w:tcPr>
            <w:tcW w:w="281" w:type="pct"/>
            <w:vAlign w:val="center"/>
          </w:tcPr>
          <w:p w14:paraId="1979C700">
            <w:pPr>
              <w:jc w:val="center"/>
              <w:rPr>
                <w:color w:val="000000"/>
                <w:sz w:val="18"/>
                <w:szCs w:val="18"/>
              </w:rPr>
            </w:pPr>
            <w:r>
              <w:rPr>
                <w:rFonts w:hint="eastAsia"/>
                <w:color w:val="000000"/>
                <w:sz w:val="18"/>
                <w:szCs w:val="18"/>
              </w:rPr>
              <w:t>8</w:t>
            </w:r>
          </w:p>
        </w:tc>
      </w:tr>
      <w:tr w14:paraId="079ED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jc w:val="center"/>
        </w:trPr>
        <w:tc>
          <w:tcPr>
            <w:tcW w:w="430" w:type="pct"/>
            <w:vMerge w:val="continue"/>
            <w:vAlign w:val="center"/>
          </w:tcPr>
          <w:p w14:paraId="7095544E">
            <w:pPr>
              <w:jc w:val="center"/>
              <w:rPr>
                <w:color w:val="000000"/>
                <w:szCs w:val="21"/>
              </w:rPr>
            </w:pPr>
          </w:p>
        </w:tc>
        <w:tc>
          <w:tcPr>
            <w:tcW w:w="338" w:type="pct"/>
            <w:vMerge w:val="restart"/>
            <w:vAlign w:val="center"/>
          </w:tcPr>
          <w:p w14:paraId="46092D6E">
            <w:pPr>
              <w:jc w:val="center"/>
              <w:textAlignment w:val="center"/>
              <w:rPr>
                <w:color w:val="000000"/>
                <w:szCs w:val="21"/>
              </w:rPr>
            </w:pPr>
            <w:r>
              <w:rPr>
                <w:color w:val="000000"/>
                <w:szCs w:val="21"/>
              </w:rPr>
              <w:t>完成结果(20分)</w:t>
            </w:r>
          </w:p>
        </w:tc>
        <w:tc>
          <w:tcPr>
            <w:tcW w:w="363" w:type="pct"/>
            <w:vAlign w:val="center"/>
          </w:tcPr>
          <w:p w14:paraId="15E3FE5F">
            <w:pPr>
              <w:jc w:val="center"/>
              <w:textAlignment w:val="center"/>
              <w:rPr>
                <w:color w:val="000000"/>
                <w:szCs w:val="21"/>
              </w:rPr>
            </w:pPr>
            <w:r>
              <w:rPr>
                <w:color w:val="000000"/>
                <w:szCs w:val="21"/>
              </w:rPr>
              <w:t>预算完成</w:t>
            </w:r>
          </w:p>
        </w:tc>
        <w:tc>
          <w:tcPr>
            <w:tcW w:w="272" w:type="pct"/>
            <w:vAlign w:val="center"/>
          </w:tcPr>
          <w:p w14:paraId="35EFFE6A">
            <w:pPr>
              <w:jc w:val="center"/>
              <w:textAlignment w:val="center"/>
              <w:rPr>
                <w:color w:val="000000"/>
                <w:szCs w:val="21"/>
              </w:rPr>
            </w:pPr>
            <w:r>
              <w:rPr>
                <w:color w:val="000000"/>
                <w:szCs w:val="21"/>
              </w:rPr>
              <w:t>10</w:t>
            </w:r>
          </w:p>
        </w:tc>
        <w:tc>
          <w:tcPr>
            <w:tcW w:w="907" w:type="pct"/>
            <w:vAlign w:val="center"/>
          </w:tcPr>
          <w:p w14:paraId="728755F9">
            <w:pPr>
              <w:textAlignment w:val="center"/>
              <w:rPr>
                <w:color w:val="000000"/>
                <w:szCs w:val="21"/>
              </w:rPr>
            </w:pPr>
            <w:r>
              <w:rPr>
                <w:color w:val="000000"/>
                <w:szCs w:val="21"/>
              </w:rPr>
              <w:t>评价部门预算项目年终预算执行情况。</w:t>
            </w:r>
          </w:p>
        </w:tc>
        <w:tc>
          <w:tcPr>
            <w:tcW w:w="2405" w:type="pct"/>
            <w:vAlign w:val="center"/>
          </w:tcPr>
          <w:p w14:paraId="39E88067">
            <w:pPr>
              <w:textAlignment w:val="center"/>
              <w:rPr>
                <w:color w:val="000000"/>
                <w:szCs w:val="21"/>
              </w:rPr>
            </w:pPr>
            <w:r>
              <w:rPr>
                <w:color w:val="000000"/>
                <w:szCs w:val="21"/>
              </w:rPr>
              <w:t>部门预算项目12月预算执行进度达到100%的，得10分，未达100%的，按照实际进度量化计算得分。</w:t>
            </w:r>
          </w:p>
        </w:tc>
        <w:tc>
          <w:tcPr>
            <w:tcW w:w="281" w:type="pct"/>
            <w:vAlign w:val="center"/>
          </w:tcPr>
          <w:p w14:paraId="03244381">
            <w:pPr>
              <w:jc w:val="center"/>
              <w:rPr>
                <w:color w:val="000000"/>
                <w:sz w:val="18"/>
                <w:szCs w:val="18"/>
              </w:rPr>
            </w:pPr>
            <w:r>
              <w:rPr>
                <w:rFonts w:hint="eastAsia"/>
                <w:color w:val="000000"/>
                <w:sz w:val="18"/>
                <w:szCs w:val="18"/>
              </w:rPr>
              <w:t>8</w:t>
            </w:r>
          </w:p>
        </w:tc>
      </w:tr>
      <w:tr w14:paraId="32A09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9" w:hRule="atLeast"/>
          <w:jc w:val="center"/>
        </w:trPr>
        <w:tc>
          <w:tcPr>
            <w:tcW w:w="430" w:type="pct"/>
            <w:vMerge w:val="continue"/>
            <w:vAlign w:val="center"/>
          </w:tcPr>
          <w:p w14:paraId="1ED27D91">
            <w:pPr>
              <w:jc w:val="center"/>
              <w:rPr>
                <w:color w:val="000000"/>
                <w:szCs w:val="21"/>
              </w:rPr>
            </w:pPr>
          </w:p>
        </w:tc>
        <w:tc>
          <w:tcPr>
            <w:tcW w:w="338" w:type="pct"/>
            <w:vMerge w:val="continue"/>
            <w:vAlign w:val="center"/>
          </w:tcPr>
          <w:p w14:paraId="1553C3FF">
            <w:pPr>
              <w:jc w:val="center"/>
              <w:rPr>
                <w:color w:val="000000"/>
                <w:szCs w:val="21"/>
              </w:rPr>
            </w:pPr>
          </w:p>
        </w:tc>
        <w:tc>
          <w:tcPr>
            <w:tcW w:w="363" w:type="pct"/>
            <w:vAlign w:val="center"/>
          </w:tcPr>
          <w:p w14:paraId="2A9461CB">
            <w:pPr>
              <w:jc w:val="center"/>
              <w:textAlignment w:val="center"/>
              <w:rPr>
                <w:color w:val="000000"/>
                <w:szCs w:val="21"/>
              </w:rPr>
            </w:pPr>
            <w:r>
              <w:rPr>
                <w:color w:val="000000"/>
                <w:szCs w:val="21"/>
              </w:rPr>
              <w:t>违规记录</w:t>
            </w:r>
          </w:p>
        </w:tc>
        <w:tc>
          <w:tcPr>
            <w:tcW w:w="272" w:type="pct"/>
            <w:vAlign w:val="center"/>
          </w:tcPr>
          <w:p w14:paraId="3051C11B">
            <w:pPr>
              <w:jc w:val="center"/>
              <w:textAlignment w:val="center"/>
              <w:rPr>
                <w:color w:val="000000"/>
                <w:szCs w:val="21"/>
              </w:rPr>
            </w:pPr>
            <w:r>
              <w:rPr>
                <w:color w:val="000000"/>
                <w:szCs w:val="21"/>
              </w:rPr>
              <w:t>10</w:t>
            </w:r>
          </w:p>
        </w:tc>
        <w:tc>
          <w:tcPr>
            <w:tcW w:w="907" w:type="pct"/>
            <w:vAlign w:val="center"/>
          </w:tcPr>
          <w:p w14:paraId="0BCEA0E3">
            <w:pPr>
              <w:textAlignment w:val="center"/>
              <w:rPr>
                <w:color w:val="000000"/>
                <w:szCs w:val="21"/>
              </w:rPr>
            </w:pPr>
            <w:r>
              <w:rPr>
                <w:color w:val="000000"/>
                <w:szCs w:val="21"/>
              </w:rPr>
              <w:t>根据审计监督、财政检查结果反映部门上一年度部门预算管理是否合规。</w:t>
            </w:r>
          </w:p>
        </w:tc>
        <w:tc>
          <w:tcPr>
            <w:tcW w:w="2405" w:type="pct"/>
            <w:vAlign w:val="center"/>
          </w:tcPr>
          <w:p w14:paraId="22DEA453">
            <w:pPr>
              <w:textAlignment w:val="center"/>
              <w:rPr>
                <w:color w:val="000000"/>
                <w:szCs w:val="21"/>
              </w:rPr>
            </w:pPr>
            <w:r>
              <w:rPr>
                <w:color w:val="000000"/>
                <w:szCs w:val="21"/>
              </w:rPr>
              <w:t>依据评价年度审计监督、财政检查结果，出现部门预算管理方面违纪违规问题的，每个问题扣0.5分，直至扣完。</w:t>
            </w:r>
          </w:p>
        </w:tc>
        <w:tc>
          <w:tcPr>
            <w:tcW w:w="281" w:type="pct"/>
            <w:vAlign w:val="center"/>
          </w:tcPr>
          <w:p w14:paraId="64A94D7B">
            <w:pPr>
              <w:jc w:val="center"/>
              <w:rPr>
                <w:color w:val="000000"/>
                <w:sz w:val="18"/>
                <w:szCs w:val="18"/>
              </w:rPr>
            </w:pPr>
            <w:r>
              <w:rPr>
                <w:rFonts w:hint="eastAsia"/>
                <w:color w:val="000000"/>
                <w:sz w:val="18"/>
                <w:szCs w:val="18"/>
              </w:rPr>
              <w:t>10</w:t>
            </w:r>
          </w:p>
        </w:tc>
      </w:tr>
      <w:tr w14:paraId="0CD42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0" w:type="pct"/>
            <w:vMerge w:val="restart"/>
            <w:vAlign w:val="center"/>
          </w:tcPr>
          <w:p w14:paraId="0E18702E">
            <w:pPr>
              <w:jc w:val="center"/>
              <w:textAlignment w:val="center"/>
              <w:rPr>
                <w:color w:val="000000"/>
                <w:szCs w:val="21"/>
              </w:rPr>
            </w:pPr>
            <w:r>
              <w:rPr>
                <w:color w:val="000000"/>
                <w:szCs w:val="21"/>
              </w:rPr>
              <w:t>绩效结果应用(10分)</w:t>
            </w:r>
          </w:p>
        </w:tc>
        <w:tc>
          <w:tcPr>
            <w:tcW w:w="338" w:type="pct"/>
            <w:vAlign w:val="center"/>
          </w:tcPr>
          <w:p w14:paraId="51CFD14A">
            <w:pPr>
              <w:jc w:val="center"/>
              <w:textAlignment w:val="center"/>
              <w:rPr>
                <w:color w:val="000000"/>
                <w:szCs w:val="21"/>
              </w:rPr>
            </w:pPr>
            <w:r>
              <w:rPr>
                <w:color w:val="000000"/>
                <w:szCs w:val="21"/>
              </w:rPr>
              <w:t>信息公开(2分)</w:t>
            </w:r>
          </w:p>
        </w:tc>
        <w:tc>
          <w:tcPr>
            <w:tcW w:w="363" w:type="pct"/>
            <w:vAlign w:val="center"/>
          </w:tcPr>
          <w:p w14:paraId="09FB6078">
            <w:pPr>
              <w:jc w:val="center"/>
              <w:textAlignment w:val="center"/>
              <w:rPr>
                <w:color w:val="000000"/>
                <w:szCs w:val="21"/>
              </w:rPr>
            </w:pPr>
            <w:r>
              <w:rPr>
                <w:color w:val="000000"/>
                <w:szCs w:val="21"/>
              </w:rPr>
              <w:t>自评公开</w:t>
            </w:r>
          </w:p>
        </w:tc>
        <w:tc>
          <w:tcPr>
            <w:tcW w:w="272" w:type="pct"/>
            <w:vAlign w:val="center"/>
          </w:tcPr>
          <w:p w14:paraId="34D42918">
            <w:pPr>
              <w:jc w:val="center"/>
              <w:textAlignment w:val="center"/>
              <w:rPr>
                <w:color w:val="000000"/>
                <w:szCs w:val="21"/>
              </w:rPr>
            </w:pPr>
            <w:r>
              <w:rPr>
                <w:color w:val="000000"/>
                <w:szCs w:val="21"/>
              </w:rPr>
              <w:t>2</w:t>
            </w:r>
          </w:p>
        </w:tc>
        <w:tc>
          <w:tcPr>
            <w:tcW w:w="907" w:type="pct"/>
            <w:vAlign w:val="center"/>
          </w:tcPr>
          <w:p w14:paraId="25684A23">
            <w:pPr>
              <w:textAlignment w:val="center"/>
              <w:rPr>
                <w:color w:val="000000"/>
                <w:szCs w:val="21"/>
              </w:rPr>
            </w:pPr>
            <w:r>
              <w:rPr>
                <w:color w:val="000000"/>
                <w:szCs w:val="21"/>
              </w:rPr>
              <w:t>评价部门是否按要求将部门整体绩效自评情况和自行组织的评价情况向社会公开。</w:t>
            </w:r>
          </w:p>
        </w:tc>
        <w:tc>
          <w:tcPr>
            <w:tcW w:w="2405" w:type="pct"/>
            <w:vAlign w:val="center"/>
          </w:tcPr>
          <w:p w14:paraId="1433B783">
            <w:pPr>
              <w:textAlignment w:val="center"/>
              <w:rPr>
                <w:color w:val="000000"/>
                <w:szCs w:val="21"/>
              </w:rPr>
            </w:pPr>
            <w:r>
              <w:rPr>
                <w:color w:val="000000"/>
                <w:szCs w:val="21"/>
              </w:rPr>
              <w:t>按要求将相关绩效信息随同决算公开的，得2分，否则不得分。</w:t>
            </w:r>
          </w:p>
        </w:tc>
        <w:tc>
          <w:tcPr>
            <w:tcW w:w="281" w:type="pct"/>
            <w:vAlign w:val="center"/>
          </w:tcPr>
          <w:p w14:paraId="4F7F19E0">
            <w:pPr>
              <w:jc w:val="center"/>
              <w:rPr>
                <w:color w:val="000000"/>
                <w:sz w:val="18"/>
                <w:szCs w:val="18"/>
              </w:rPr>
            </w:pPr>
            <w:r>
              <w:rPr>
                <w:rFonts w:hint="eastAsia"/>
                <w:color w:val="000000"/>
                <w:sz w:val="18"/>
                <w:szCs w:val="18"/>
              </w:rPr>
              <w:t>2</w:t>
            </w:r>
          </w:p>
        </w:tc>
      </w:tr>
      <w:tr w14:paraId="2ED10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9" w:hRule="atLeast"/>
          <w:jc w:val="center"/>
        </w:trPr>
        <w:tc>
          <w:tcPr>
            <w:tcW w:w="430" w:type="pct"/>
            <w:vMerge w:val="continue"/>
            <w:vAlign w:val="center"/>
          </w:tcPr>
          <w:p w14:paraId="0BD5C722">
            <w:pPr>
              <w:jc w:val="center"/>
              <w:rPr>
                <w:color w:val="000000"/>
                <w:szCs w:val="21"/>
              </w:rPr>
            </w:pPr>
          </w:p>
        </w:tc>
        <w:tc>
          <w:tcPr>
            <w:tcW w:w="338" w:type="pct"/>
            <w:vMerge w:val="restart"/>
            <w:vAlign w:val="center"/>
          </w:tcPr>
          <w:p w14:paraId="7E7EF8EC">
            <w:pPr>
              <w:jc w:val="center"/>
              <w:textAlignment w:val="center"/>
              <w:rPr>
                <w:color w:val="000000"/>
                <w:szCs w:val="21"/>
              </w:rPr>
            </w:pPr>
            <w:r>
              <w:rPr>
                <w:color w:val="000000"/>
                <w:szCs w:val="21"/>
              </w:rPr>
              <w:t>整改反馈(8分)</w:t>
            </w:r>
          </w:p>
        </w:tc>
        <w:tc>
          <w:tcPr>
            <w:tcW w:w="363" w:type="pct"/>
            <w:vAlign w:val="center"/>
          </w:tcPr>
          <w:p w14:paraId="579B9359">
            <w:pPr>
              <w:jc w:val="center"/>
              <w:textAlignment w:val="center"/>
              <w:rPr>
                <w:color w:val="000000"/>
                <w:szCs w:val="21"/>
              </w:rPr>
            </w:pPr>
            <w:r>
              <w:rPr>
                <w:color w:val="000000"/>
                <w:szCs w:val="21"/>
              </w:rPr>
              <w:t>结果整改</w:t>
            </w:r>
          </w:p>
        </w:tc>
        <w:tc>
          <w:tcPr>
            <w:tcW w:w="272" w:type="pct"/>
            <w:vAlign w:val="center"/>
          </w:tcPr>
          <w:p w14:paraId="71680EBF">
            <w:pPr>
              <w:jc w:val="center"/>
              <w:textAlignment w:val="center"/>
              <w:rPr>
                <w:color w:val="000000"/>
                <w:szCs w:val="21"/>
              </w:rPr>
            </w:pPr>
            <w:r>
              <w:rPr>
                <w:color w:val="000000"/>
                <w:szCs w:val="21"/>
              </w:rPr>
              <w:t>4</w:t>
            </w:r>
          </w:p>
        </w:tc>
        <w:tc>
          <w:tcPr>
            <w:tcW w:w="907" w:type="pct"/>
            <w:vAlign w:val="center"/>
          </w:tcPr>
          <w:p w14:paraId="2B779415">
            <w:pPr>
              <w:textAlignment w:val="center"/>
              <w:rPr>
                <w:color w:val="000000"/>
                <w:szCs w:val="21"/>
              </w:rPr>
            </w:pPr>
            <w:r>
              <w:rPr>
                <w:color w:val="000000"/>
                <w:szCs w:val="21"/>
              </w:rPr>
              <w:t>评价部门根据绩效管理结果整改问题、完善政策、改进管理的情况。</w:t>
            </w:r>
          </w:p>
        </w:tc>
        <w:tc>
          <w:tcPr>
            <w:tcW w:w="2405" w:type="pct"/>
            <w:vAlign w:val="center"/>
          </w:tcPr>
          <w:p w14:paraId="129F6CB6">
            <w:pPr>
              <w:textAlignment w:val="center"/>
              <w:rPr>
                <w:color w:val="000000"/>
                <w:szCs w:val="21"/>
              </w:rPr>
            </w:pPr>
            <w:r>
              <w:rPr>
                <w:color w:val="000000"/>
                <w:szCs w:val="21"/>
              </w:rPr>
              <w:t>针对绩效管理过程中(包括绩效目标核查、绩效监控核查和重点绩效评价)提出的问题进行整改，将绩效管理结果应用于完善政策、改进管理、预算挂钩等的，得4分。否则，酌情扣分。</w:t>
            </w:r>
          </w:p>
        </w:tc>
        <w:tc>
          <w:tcPr>
            <w:tcW w:w="281" w:type="pct"/>
            <w:vAlign w:val="center"/>
          </w:tcPr>
          <w:p w14:paraId="41373884">
            <w:pPr>
              <w:jc w:val="center"/>
              <w:rPr>
                <w:color w:val="000000"/>
                <w:sz w:val="18"/>
                <w:szCs w:val="18"/>
              </w:rPr>
            </w:pPr>
            <w:r>
              <w:rPr>
                <w:rFonts w:hint="eastAsia"/>
                <w:color w:val="000000"/>
                <w:sz w:val="18"/>
                <w:szCs w:val="18"/>
              </w:rPr>
              <w:t>4</w:t>
            </w:r>
          </w:p>
        </w:tc>
      </w:tr>
      <w:tr w14:paraId="55ABE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9" w:hRule="atLeast"/>
          <w:jc w:val="center"/>
        </w:trPr>
        <w:tc>
          <w:tcPr>
            <w:tcW w:w="430" w:type="pct"/>
            <w:vMerge w:val="continue"/>
            <w:vAlign w:val="center"/>
          </w:tcPr>
          <w:p w14:paraId="5D3FF7EB">
            <w:pPr>
              <w:jc w:val="center"/>
              <w:rPr>
                <w:color w:val="000000"/>
                <w:szCs w:val="21"/>
              </w:rPr>
            </w:pPr>
          </w:p>
        </w:tc>
        <w:tc>
          <w:tcPr>
            <w:tcW w:w="338" w:type="pct"/>
            <w:vMerge w:val="continue"/>
            <w:vAlign w:val="center"/>
          </w:tcPr>
          <w:p w14:paraId="13CACEE5">
            <w:pPr>
              <w:jc w:val="center"/>
              <w:rPr>
                <w:color w:val="000000"/>
                <w:szCs w:val="21"/>
              </w:rPr>
            </w:pPr>
          </w:p>
        </w:tc>
        <w:tc>
          <w:tcPr>
            <w:tcW w:w="363" w:type="pct"/>
            <w:vAlign w:val="center"/>
          </w:tcPr>
          <w:p w14:paraId="51AD38C8">
            <w:pPr>
              <w:jc w:val="center"/>
              <w:textAlignment w:val="center"/>
              <w:rPr>
                <w:color w:val="000000"/>
                <w:szCs w:val="21"/>
              </w:rPr>
            </w:pPr>
            <w:r>
              <w:rPr>
                <w:color w:val="000000"/>
                <w:szCs w:val="21"/>
              </w:rPr>
              <w:t>应用反馈</w:t>
            </w:r>
          </w:p>
        </w:tc>
        <w:tc>
          <w:tcPr>
            <w:tcW w:w="272" w:type="pct"/>
            <w:vAlign w:val="center"/>
          </w:tcPr>
          <w:p w14:paraId="2AFAA885">
            <w:pPr>
              <w:jc w:val="center"/>
              <w:textAlignment w:val="center"/>
              <w:rPr>
                <w:color w:val="000000"/>
                <w:szCs w:val="21"/>
              </w:rPr>
            </w:pPr>
            <w:r>
              <w:rPr>
                <w:color w:val="000000"/>
                <w:szCs w:val="21"/>
              </w:rPr>
              <w:t>4</w:t>
            </w:r>
          </w:p>
        </w:tc>
        <w:tc>
          <w:tcPr>
            <w:tcW w:w="907" w:type="pct"/>
            <w:vAlign w:val="center"/>
          </w:tcPr>
          <w:p w14:paraId="3A8AA739">
            <w:pPr>
              <w:textAlignment w:val="center"/>
              <w:rPr>
                <w:color w:val="000000"/>
                <w:szCs w:val="21"/>
              </w:rPr>
            </w:pPr>
            <w:r>
              <w:rPr>
                <w:color w:val="000000"/>
                <w:szCs w:val="21"/>
              </w:rPr>
              <w:t>评价部门按要求及时向财政部门反馈结果应用情况。</w:t>
            </w:r>
          </w:p>
        </w:tc>
        <w:tc>
          <w:tcPr>
            <w:tcW w:w="2405" w:type="pct"/>
            <w:vAlign w:val="center"/>
          </w:tcPr>
          <w:p w14:paraId="64481653">
            <w:pPr>
              <w:textAlignment w:val="center"/>
              <w:rPr>
                <w:color w:val="000000"/>
                <w:szCs w:val="21"/>
              </w:rPr>
            </w:pPr>
            <w:r>
              <w:rPr>
                <w:color w:val="000000"/>
                <w:szCs w:val="21"/>
              </w:rPr>
              <w:t>部门在规定时间内向财政部门反馈应用绩效结果报告的，得满分，否则不得分。</w:t>
            </w:r>
          </w:p>
        </w:tc>
        <w:tc>
          <w:tcPr>
            <w:tcW w:w="281" w:type="pct"/>
            <w:vAlign w:val="center"/>
          </w:tcPr>
          <w:p w14:paraId="4BD935AF">
            <w:pPr>
              <w:jc w:val="center"/>
              <w:rPr>
                <w:color w:val="000000"/>
                <w:sz w:val="18"/>
                <w:szCs w:val="18"/>
              </w:rPr>
            </w:pPr>
            <w:r>
              <w:rPr>
                <w:rFonts w:hint="eastAsia"/>
                <w:color w:val="000000"/>
                <w:sz w:val="18"/>
                <w:szCs w:val="18"/>
              </w:rPr>
              <w:t>4</w:t>
            </w:r>
          </w:p>
        </w:tc>
      </w:tr>
      <w:tr w14:paraId="04E8F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9" w:hRule="atLeast"/>
          <w:jc w:val="center"/>
        </w:trPr>
        <w:tc>
          <w:tcPr>
            <w:tcW w:w="430" w:type="pct"/>
            <w:vAlign w:val="center"/>
          </w:tcPr>
          <w:p w14:paraId="7A347DCC">
            <w:pPr>
              <w:jc w:val="center"/>
              <w:textAlignment w:val="center"/>
              <w:rPr>
                <w:color w:val="000000"/>
                <w:szCs w:val="21"/>
              </w:rPr>
            </w:pPr>
            <w:r>
              <w:rPr>
                <w:color w:val="000000"/>
                <w:szCs w:val="21"/>
              </w:rPr>
              <w:t>自评</w:t>
            </w:r>
          </w:p>
          <w:p w14:paraId="0441DD2B">
            <w:pPr>
              <w:jc w:val="center"/>
              <w:textAlignment w:val="center"/>
              <w:rPr>
                <w:color w:val="000000"/>
                <w:szCs w:val="21"/>
              </w:rPr>
            </w:pPr>
            <w:r>
              <w:rPr>
                <w:color w:val="000000"/>
                <w:szCs w:val="21"/>
              </w:rPr>
              <w:t>质量</w:t>
            </w:r>
          </w:p>
          <w:p w14:paraId="7A4F5526">
            <w:pPr>
              <w:jc w:val="center"/>
              <w:textAlignment w:val="center"/>
              <w:rPr>
                <w:color w:val="000000"/>
                <w:szCs w:val="21"/>
              </w:rPr>
            </w:pPr>
            <w:r>
              <w:rPr>
                <w:color w:val="000000"/>
                <w:szCs w:val="21"/>
              </w:rPr>
              <w:t>(10分)</w:t>
            </w:r>
          </w:p>
        </w:tc>
        <w:tc>
          <w:tcPr>
            <w:tcW w:w="338" w:type="pct"/>
            <w:vAlign w:val="center"/>
          </w:tcPr>
          <w:p w14:paraId="3C31C7CA">
            <w:pPr>
              <w:jc w:val="center"/>
              <w:textAlignment w:val="center"/>
              <w:rPr>
                <w:color w:val="000000"/>
                <w:szCs w:val="21"/>
              </w:rPr>
            </w:pPr>
            <w:r>
              <w:rPr>
                <w:color w:val="000000"/>
                <w:szCs w:val="21"/>
              </w:rPr>
              <w:t>自评质量(10分)</w:t>
            </w:r>
          </w:p>
        </w:tc>
        <w:tc>
          <w:tcPr>
            <w:tcW w:w="363" w:type="pct"/>
            <w:vAlign w:val="center"/>
          </w:tcPr>
          <w:p w14:paraId="06C91DAD">
            <w:pPr>
              <w:jc w:val="center"/>
              <w:textAlignment w:val="center"/>
              <w:rPr>
                <w:color w:val="000000"/>
                <w:szCs w:val="21"/>
              </w:rPr>
            </w:pPr>
            <w:r>
              <w:rPr>
                <w:color w:val="000000"/>
                <w:szCs w:val="21"/>
              </w:rPr>
              <w:t>自评准确</w:t>
            </w:r>
          </w:p>
        </w:tc>
        <w:tc>
          <w:tcPr>
            <w:tcW w:w="272" w:type="pct"/>
            <w:vAlign w:val="center"/>
          </w:tcPr>
          <w:p w14:paraId="48C5A5B3">
            <w:pPr>
              <w:jc w:val="center"/>
              <w:textAlignment w:val="center"/>
              <w:rPr>
                <w:color w:val="000000"/>
                <w:szCs w:val="21"/>
              </w:rPr>
            </w:pPr>
            <w:r>
              <w:rPr>
                <w:color w:val="000000"/>
                <w:szCs w:val="21"/>
              </w:rPr>
              <w:t>10</w:t>
            </w:r>
          </w:p>
        </w:tc>
        <w:tc>
          <w:tcPr>
            <w:tcW w:w="907" w:type="pct"/>
            <w:vAlign w:val="center"/>
          </w:tcPr>
          <w:p w14:paraId="0C25358E">
            <w:pPr>
              <w:textAlignment w:val="center"/>
              <w:rPr>
                <w:color w:val="000000"/>
                <w:szCs w:val="21"/>
              </w:rPr>
            </w:pPr>
            <w:r>
              <w:rPr>
                <w:color w:val="000000"/>
                <w:szCs w:val="21"/>
              </w:rPr>
              <w:t>评价部门整体支出自评准确率。</w:t>
            </w:r>
          </w:p>
        </w:tc>
        <w:tc>
          <w:tcPr>
            <w:tcW w:w="2405" w:type="pct"/>
            <w:vAlign w:val="center"/>
          </w:tcPr>
          <w:p w14:paraId="6CB14911">
            <w:pPr>
              <w:textAlignment w:val="center"/>
              <w:rPr>
                <w:color w:val="000000"/>
                <w:szCs w:val="21"/>
              </w:rPr>
            </w:pPr>
            <w:r>
              <w:rPr>
                <w:color w:val="000000"/>
                <w:szCs w:val="21"/>
              </w:rPr>
              <w:t>部门整体支出自评得分与评价组抽查得分差异在5%以内的，不扣分；在5%-10%之间的，扣4分，在10%-20%的，扣8分，在20%以上的，扣10分。(部门在自评时，此项指标无需打分，部门自评满分为90分)</w:t>
            </w:r>
          </w:p>
        </w:tc>
        <w:tc>
          <w:tcPr>
            <w:tcW w:w="281" w:type="pct"/>
            <w:vAlign w:val="center"/>
          </w:tcPr>
          <w:p w14:paraId="64BC74A4">
            <w:pPr>
              <w:jc w:val="center"/>
              <w:rPr>
                <w:color w:val="000000"/>
                <w:sz w:val="18"/>
                <w:szCs w:val="18"/>
              </w:rPr>
            </w:pPr>
            <w:r>
              <w:rPr>
                <w:rFonts w:hint="eastAsia"/>
                <w:color w:val="000000"/>
                <w:sz w:val="18"/>
                <w:szCs w:val="18"/>
              </w:rPr>
              <w:t>10</w:t>
            </w:r>
          </w:p>
        </w:tc>
      </w:tr>
    </w:tbl>
    <w:p w14:paraId="60B29772">
      <w:pPr>
        <w:spacing w:line="600" w:lineRule="exact"/>
        <w:ind w:firstLine="643" w:firstLineChars="200"/>
        <w:rPr>
          <w:rFonts w:ascii="楷体" w:hAnsi="楷体" w:eastAsia="楷体"/>
          <w:b/>
          <w:sz w:val="32"/>
          <w:szCs w:val="32"/>
        </w:rPr>
      </w:pPr>
      <w:r>
        <w:rPr>
          <w:rFonts w:hint="eastAsia" w:ascii="楷体" w:hAnsi="楷体" w:eastAsia="楷体"/>
          <w:b/>
          <w:sz w:val="32"/>
          <w:szCs w:val="32"/>
        </w:rPr>
        <w:t xml:space="preserve"> (二)存在问题</w:t>
      </w:r>
    </w:p>
    <w:p w14:paraId="4E267130">
      <w:pPr>
        <w:spacing w:line="600" w:lineRule="exact"/>
        <w:ind w:firstLine="640" w:firstLineChars="200"/>
        <w:rPr>
          <w:rFonts w:ascii="Courier New" w:hAnsi="Courier New" w:eastAsia="仿宋_GB2312" w:cs="Courier New"/>
          <w:sz w:val="32"/>
          <w:szCs w:val="32"/>
        </w:rPr>
      </w:pPr>
      <w:r>
        <w:rPr>
          <w:rFonts w:hint="eastAsia" w:ascii="Courier New" w:hAnsi="Courier New" w:eastAsia="仿宋_GB2312" w:cs="Courier New"/>
          <w:sz w:val="32"/>
          <w:szCs w:val="32"/>
        </w:rPr>
        <w:t>一是预算绩效管理具有专业性和复杂性，工作人员业务水平有待提高；二是项目绩效管理工作有待加强；三是内控制度需进一步完善。</w:t>
      </w:r>
    </w:p>
    <w:p w14:paraId="76B41454">
      <w:pPr>
        <w:spacing w:line="600" w:lineRule="exact"/>
        <w:ind w:firstLine="643" w:firstLineChars="200"/>
        <w:rPr>
          <w:rFonts w:ascii="楷体" w:hAnsi="楷体" w:eastAsia="楷体"/>
          <w:b/>
          <w:sz w:val="32"/>
          <w:szCs w:val="32"/>
        </w:rPr>
      </w:pPr>
      <w:r>
        <w:rPr>
          <w:rFonts w:hint="eastAsia" w:ascii="楷体" w:hAnsi="楷体" w:eastAsia="楷体"/>
          <w:b/>
          <w:sz w:val="32"/>
          <w:szCs w:val="32"/>
        </w:rPr>
        <w:t>(三)改进建议</w:t>
      </w:r>
    </w:p>
    <w:p w14:paraId="2AB339BC">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1.加强工作人员对预算绩效管理方面的业务培训，提高绩效管理工作水平。</w:t>
      </w:r>
    </w:p>
    <w:p w14:paraId="69F93D2B">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2.优化预算编制，加强预算执行力；加强预算绩效管理，增强预算约束力，做好预算项目支出绩效目标及各项绩效指标的细化、量化工作，提高财政资金使用效益。</w:t>
      </w:r>
    </w:p>
    <w:p w14:paraId="33038E33">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3.进一步完善内部管理制度，提高管理效能。</w:t>
      </w:r>
    </w:p>
    <w:p w14:paraId="7BD4BA9C">
      <w:pPr>
        <w:pStyle w:val="2"/>
        <w:spacing w:line="600" w:lineRule="exact"/>
        <w:rPr>
          <w:rFonts w:ascii="仿宋_GB2312" w:hAnsi="仿宋_GB2312" w:eastAsia="仿宋_GB2312" w:cs="仿宋_GB2312"/>
          <w:sz w:val="32"/>
          <w:szCs w:val="32"/>
        </w:rPr>
      </w:pPr>
    </w:p>
    <w:p w14:paraId="0380B721">
      <w:pPr>
        <w:pStyle w:val="2"/>
        <w:rPr>
          <w:rFonts w:ascii="仿宋_GB2312" w:hAnsi="仿宋_GB2312" w:eastAsia="仿宋_GB2312" w:cs="仿宋_GB2312"/>
          <w:sz w:val="32"/>
          <w:szCs w:val="32"/>
        </w:rPr>
      </w:pPr>
    </w:p>
    <w:p w14:paraId="4CD43B71">
      <w:pPr>
        <w:pStyle w:val="2"/>
        <w:rPr>
          <w:rFonts w:ascii="仿宋_GB2312" w:hAnsi="仿宋_GB2312" w:eastAsia="仿宋_GB2312" w:cs="仿宋_GB2312"/>
          <w:sz w:val="32"/>
          <w:szCs w:val="32"/>
        </w:rPr>
      </w:pPr>
    </w:p>
    <w:p w14:paraId="30E16B26">
      <w:pPr>
        <w:pStyle w:val="2"/>
        <w:rPr>
          <w:rFonts w:ascii="仿宋_GB2312" w:hAnsi="仿宋_GB2312" w:eastAsia="仿宋_GB2312" w:cs="仿宋_GB2312"/>
          <w:sz w:val="32"/>
          <w:szCs w:val="32"/>
        </w:rPr>
      </w:pPr>
    </w:p>
    <w:p w14:paraId="7FAC80D6">
      <w:pPr>
        <w:kinsoku w:val="0"/>
        <w:overflowPunct w:val="0"/>
        <w:spacing w:line="600" w:lineRule="exact"/>
        <w:rPr>
          <w:rFonts w:ascii="仿宋_GB2312" w:hAnsi="仿宋_GB2312" w:eastAsia="仿宋_GB2312" w:cs="仿宋_GB2312"/>
          <w:b/>
          <w:bCs/>
          <w:spacing w:val="1"/>
          <w:sz w:val="24"/>
        </w:rPr>
      </w:pPr>
    </w:p>
    <w:p w14:paraId="2EF54D19">
      <w:pPr>
        <w:pStyle w:val="2"/>
        <w:rPr>
          <w:rFonts w:ascii="仿宋_GB2312" w:hAnsi="仿宋_GB2312" w:eastAsia="仿宋_GB2312" w:cs="仿宋_GB2312"/>
          <w:b/>
          <w:bCs/>
          <w:spacing w:val="1"/>
          <w:sz w:val="24"/>
          <w:szCs w:val="24"/>
        </w:rPr>
      </w:pPr>
    </w:p>
    <w:p w14:paraId="7DBF828A">
      <w:pPr>
        <w:pStyle w:val="2"/>
        <w:rPr>
          <w:rFonts w:ascii="仿宋_GB2312" w:hAnsi="仿宋_GB2312" w:eastAsia="仿宋_GB2312" w:cs="仿宋_GB2312"/>
          <w:b/>
          <w:bCs/>
          <w:spacing w:val="1"/>
          <w:sz w:val="32"/>
          <w:szCs w:val="32"/>
        </w:rPr>
      </w:pPr>
      <w:r>
        <w:rPr>
          <w:rFonts w:hint="eastAsia" w:ascii="仿宋_GB2312" w:hAnsi="仿宋_GB2312" w:eastAsia="仿宋_GB2312" w:cs="仿宋_GB2312"/>
          <w:b/>
          <w:bCs/>
          <w:spacing w:val="1"/>
          <w:sz w:val="32"/>
          <w:szCs w:val="32"/>
        </w:rPr>
        <w:t>附件2</w:t>
      </w:r>
    </w:p>
    <w:p w14:paraId="5F1F94B6">
      <w:pPr>
        <w:pStyle w:val="2"/>
        <w:ind w:firstLine="1293" w:firstLineChars="400"/>
        <w:rPr>
          <w:rFonts w:ascii="仿宋_GB2312" w:hAnsi="仿宋_GB2312" w:eastAsia="仿宋_GB2312" w:cs="仿宋_GB2312"/>
          <w:b/>
          <w:bCs/>
          <w:spacing w:val="1"/>
          <w:sz w:val="32"/>
          <w:szCs w:val="32"/>
        </w:rPr>
      </w:pPr>
      <w:r>
        <w:rPr>
          <w:rFonts w:hint="eastAsia" w:ascii="仿宋_GB2312" w:hAnsi="仿宋_GB2312" w:eastAsia="仿宋_GB2312" w:cs="仿宋_GB2312"/>
          <w:b/>
          <w:bCs/>
          <w:spacing w:val="1"/>
          <w:sz w:val="32"/>
          <w:szCs w:val="32"/>
        </w:rPr>
        <w:t>2022年度部门预算项目支出绩效自评报告</w:t>
      </w:r>
    </w:p>
    <w:p w14:paraId="5E5F07C3">
      <w:pPr>
        <w:pStyle w:val="2"/>
        <w:rPr>
          <w:rFonts w:ascii="仿宋_GB2312" w:hAnsi="仿宋_GB2312" w:eastAsia="仿宋_GB2312" w:cs="仿宋_GB2312"/>
          <w:b/>
          <w:bCs/>
          <w:spacing w:val="1"/>
          <w:sz w:val="32"/>
          <w:szCs w:val="32"/>
        </w:rPr>
      </w:pPr>
    </w:p>
    <w:p w14:paraId="33EDF33C">
      <w:pPr>
        <w:pStyle w:val="2"/>
        <w:rPr>
          <w:rFonts w:ascii="仿宋_GB2312" w:hAnsi="仿宋_GB2312" w:eastAsia="仿宋_GB2312" w:cs="仿宋_GB2312"/>
          <w:b/>
          <w:bCs/>
          <w:spacing w:val="1"/>
          <w:sz w:val="32"/>
          <w:szCs w:val="32"/>
        </w:rPr>
      </w:pPr>
    </w:p>
    <w:p w14:paraId="353DB670">
      <w:pPr>
        <w:pStyle w:val="2"/>
        <w:rPr>
          <w:rFonts w:ascii="仿宋_GB2312" w:hAnsi="仿宋_GB2312" w:eastAsia="仿宋_GB2312" w:cs="仿宋_GB2312"/>
          <w:b/>
          <w:bCs/>
          <w:spacing w:val="1"/>
          <w:sz w:val="32"/>
          <w:szCs w:val="32"/>
        </w:rPr>
      </w:pPr>
    </w:p>
    <w:p w14:paraId="7AF45814">
      <w:pPr>
        <w:pStyle w:val="2"/>
        <w:rPr>
          <w:rFonts w:ascii="仿宋_GB2312" w:hAnsi="仿宋_GB2312" w:eastAsia="仿宋_GB2312" w:cs="仿宋_GB2312"/>
          <w:b/>
          <w:bCs/>
          <w:spacing w:val="1"/>
          <w:sz w:val="32"/>
          <w:szCs w:val="32"/>
        </w:rPr>
      </w:pPr>
    </w:p>
    <w:p w14:paraId="18691608">
      <w:pPr>
        <w:pStyle w:val="2"/>
        <w:rPr>
          <w:rFonts w:ascii="仿宋_GB2312" w:hAnsi="仿宋_GB2312" w:eastAsia="仿宋_GB2312" w:cs="仿宋_GB2312"/>
          <w:b/>
          <w:bCs/>
          <w:spacing w:val="1"/>
          <w:sz w:val="32"/>
          <w:szCs w:val="32"/>
        </w:rPr>
      </w:pPr>
    </w:p>
    <w:p w14:paraId="7F9C1EA1">
      <w:pPr>
        <w:pStyle w:val="2"/>
        <w:rPr>
          <w:rFonts w:ascii="仿宋_GB2312" w:hAnsi="仿宋_GB2312" w:eastAsia="仿宋_GB2312" w:cs="仿宋_GB2312"/>
          <w:b/>
          <w:bCs/>
          <w:spacing w:val="1"/>
          <w:sz w:val="32"/>
          <w:szCs w:val="32"/>
        </w:rPr>
      </w:pPr>
    </w:p>
    <w:p w14:paraId="73C3006C">
      <w:pPr>
        <w:pStyle w:val="2"/>
        <w:rPr>
          <w:rFonts w:ascii="仿宋_GB2312" w:hAnsi="仿宋_GB2312" w:eastAsia="仿宋_GB2312" w:cs="仿宋_GB2312"/>
          <w:b/>
          <w:bCs/>
          <w:spacing w:val="1"/>
          <w:sz w:val="32"/>
          <w:szCs w:val="32"/>
        </w:rPr>
      </w:pPr>
    </w:p>
    <w:p w14:paraId="5DCC6EAC">
      <w:pPr>
        <w:pStyle w:val="2"/>
        <w:rPr>
          <w:rFonts w:ascii="仿宋_GB2312" w:hAnsi="仿宋_GB2312" w:eastAsia="仿宋_GB2312" w:cs="仿宋_GB2312"/>
          <w:b/>
          <w:bCs/>
          <w:spacing w:val="1"/>
          <w:sz w:val="32"/>
          <w:szCs w:val="32"/>
        </w:rPr>
      </w:pPr>
    </w:p>
    <w:p w14:paraId="6CB62F30">
      <w:pPr>
        <w:pStyle w:val="2"/>
        <w:rPr>
          <w:rFonts w:ascii="仿宋_GB2312" w:hAnsi="仿宋_GB2312" w:eastAsia="仿宋_GB2312" w:cs="仿宋_GB2312"/>
          <w:b/>
          <w:bCs/>
          <w:spacing w:val="1"/>
          <w:sz w:val="32"/>
          <w:szCs w:val="32"/>
        </w:rPr>
      </w:pPr>
    </w:p>
    <w:p w14:paraId="429D24C0">
      <w:pPr>
        <w:pStyle w:val="2"/>
        <w:rPr>
          <w:rFonts w:ascii="仿宋_GB2312" w:hAnsi="仿宋_GB2312" w:eastAsia="仿宋_GB2312" w:cs="仿宋_GB2312"/>
          <w:b/>
          <w:bCs/>
          <w:spacing w:val="1"/>
          <w:sz w:val="32"/>
          <w:szCs w:val="32"/>
        </w:rPr>
      </w:pPr>
    </w:p>
    <w:p w14:paraId="5759FE2E">
      <w:pPr>
        <w:pStyle w:val="2"/>
        <w:rPr>
          <w:rFonts w:ascii="仿宋_GB2312" w:hAnsi="仿宋_GB2312" w:eastAsia="仿宋_GB2312" w:cs="仿宋_GB2312"/>
          <w:b/>
          <w:bCs/>
          <w:spacing w:val="1"/>
          <w:sz w:val="32"/>
          <w:szCs w:val="32"/>
        </w:rPr>
      </w:pPr>
    </w:p>
    <w:p w14:paraId="583BD838">
      <w:pPr>
        <w:pStyle w:val="2"/>
        <w:rPr>
          <w:rFonts w:ascii="仿宋_GB2312" w:hAnsi="仿宋_GB2312" w:eastAsia="仿宋_GB2312" w:cs="仿宋_GB2312"/>
          <w:b/>
          <w:bCs/>
          <w:spacing w:val="1"/>
          <w:sz w:val="32"/>
          <w:szCs w:val="32"/>
        </w:rPr>
      </w:pPr>
    </w:p>
    <w:p w14:paraId="4DDFDA1C">
      <w:pPr>
        <w:pStyle w:val="2"/>
        <w:rPr>
          <w:rFonts w:ascii="仿宋_GB2312" w:hAnsi="仿宋_GB2312" w:eastAsia="仿宋_GB2312" w:cs="仿宋_GB2312"/>
          <w:b/>
          <w:bCs/>
          <w:spacing w:val="1"/>
          <w:sz w:val="32"/>
          <w:szCs w:val="32"/>
        </w:rPr>
      </w:pPr>
    </w:p>
    <w:p w14:paraId="012EBE76">
      <w:pPr>
        <w:pStyle w:val="2"/>
        <w:rPr>
          <w:rFonts w:ascii="仿宋_GB2312" w:hAnsi="仿宋_GB2312" w:eastAsia="仿宋_GB2312" w:cs="仿宋_GB2312"/>
          <w:b/>
          <w:bCs/>
          <w:spacing w:val="1"/>
          <w:sz w:val="32"/>
          <w:szCs w:val="32"/>
        </w:rPr>
      </w:pPr>
    </w:p>
    <w:p w14:paraId="09B6572B">
      <w:pPr>
        <w:pStyle w:val="2"/>
        <w:rPr>
          <w:rFonts w:ascii="仿宋_GB2312" w:hAnsi="仿宋_GB2312" w:eastAsia="仿宋_GB2312" w:cs="仿宋_GB2312"/>
          <w:b/>
          <w:bCs/>
          <w:spacing w:val="1"/>
          <w:sz w:val="32"/>
          <w:szCs w:val="32"/>
        </w:rPr>
      </w:pPr>
    </w:p>
    <w:p w14:paraId="2B553A59">
      <w:pPr>
        <w:pStyle w:val="2"/>
        <w:rPr>
          <w:rFonts w:ascii="仿宋_GB2312" w:hAnsi="仿宋_GB2312" w:eastAsia="仿宋_GB2312" w:cs="仿宋_GB2312"/>
          <w:b/>
          <w:bCs/>
          <w:spacing w:val="1"/>
          <w:sz w:val="32"/>
          <w:szCs w:val="32"/>
        </w:rPr>
      </w:pPr>
    </w:p>
    <w:p w14:paraId="6706DEAD">
      <w:pPr>
        <w:pStyle w:val="2"/>
        <w:rPr>
          <w:rFonts w:ascii="仿宋_GB2312" w:hAnsi="仿宋_GB2312" w:eastAsia="仿宋_GB2312" w:cs="仿宋_GB2312"/>
          <w:b/>
          <w:bCs/>
          <w:spacing w:val="1"/>
          <w:sz w:val="32"/>
          <w:szCs w:val="32"/>
        </w:rPr>
      </w:pPr>
    </w:p>
    <w:p w14:paraId="0DD2264D">
      <w:pPr>
        <w:pStyle w:val="2"/>
        <w:rPr>
          <w:rFonts w:ascii="仿宋_GB2312" w:hAnsi="仿宋_GB2312" w:eastAsia="仿宋_GB2312" w:cs="仿宋_GB2312"/>
          <w:b/>
          <w:bCs/>
          <w:spacing w:val="1"/>
          <w:sz w:val="32"/>
          <w:szCs w:val="32"/>
        </w:rPr>
      </w:pPr>
    </w:p>
    <w:p w14:paraId="50FB3AE2">
      <w:pPr>
        <w:pStyle w:val="2"/>
        <w:rPr>
          <w:rFonts w:ascii="仿宋_GB2312" w:hAnsi="仿宋_GB2312" w:eastAsia="仿宋_GB2312" w:cs="仿宋_GB2312"/>
          <w:b/>
          <w:bCs/>
          <w:spacing w:val="1"/>
          <w:sz w:val="32"/>
          <w:szCs w:val="32"/>
        </w:rPr>
      </w:pPr>
    </w:p>
    <w:p w14:paraId="295C4DC8">
      <w:pPr>
        <w:pStyle w:val="2"/>
        <w:rPr>
          <w:rFonts w:ascii="仿宋_GB2312" w:hAnsi="仿宋_GB2312" w:eastAsia="仿宋_GB2312" w:cs="仿宋_GB2312"/>
          <w:b/>
          <w:bCs/>
          <w:spacing w:val="1"/>
          <w:sz w:val="32"/>
          <w:szCs w:val="32"/>
        </w:rPr>
      </w:pPr>
    </w:p>
    <w:p w14:paraId="30528A76">
      <w:pPr>
        <w:pStyle w:val="2"/>
        <w:rPr>
          <w:rFonts w:ascii="仿宋_GB2312" w:hAnsi="仿宋_GB2312" w:eastAsia="仿宋_GB2312" w:cs="仿宋_GB2312"/>
          <w:b/>
          <w:bCs/>
          <w:spacing w:val="1"/>
          <w:sz w:val="32"/>
          <w:szCs w:val="32"/>
        </w:rPr>
      </w:pPr>
      <w:r>
        <w:rPr>
          <w:rFonts w:hint="eastAsia" w:ascii="仿宋_GB2312" w:hAnsi="仿宋_GB2312" w:eastAsia="仿宋_GB2312" w:cs="仿宋_GB2312"/>
          <w:b/>
          <w:bCs/>
          <w:spacing w:val="1"/>
          <w:sz w:val="32"/>
          <w:szCs w:val="32"/>
        </w:rPr>
        <w:t>附件2-1</w:t>
      </w:r>
    </w:p>
    <w:p w14:paraId="7BF2A855">
      <w:pPr>
        <w:kinsoku w:val="0"/>
        <w:overflowPunct w:val="0"/>
        <w:spacing w:line="520" w:lineRule="exact"/>
        <w:ind w:firstLine="724" w:firstLineChars="200"/>
        <w:jc w:val="center"/>
        <w:rPr>
          <w:rFonts w:ascii="方正小标宋简体" w:eastAsia="方正小标宋简体"/>
          <w:spacing w:val="1"/>
          <w:sz w:val="36"/>
          <w:szCs w:val="36"/>
        </w:rPr>
      </w:pPr>
      <w:r>
        <w:rPr>
          <w:rFonts w:hint="eastAsia" w:ascii="方正小标宋简体" w:eastAsia="方正小标宋简体"/>
          <w:spacing w:val="1"/>
          <w:sz w:val="36"/>
          <w:szCs w:val="36"/>
        </w:rPr>
        <w:t>沐川县综合行政执法局</w:t>
      </w:r>
    </w:p>
    <w:p w14:paraId="3E43FBDB">
      <w:pPr>
        <w:kinsoku w:val="0"/>
        <w:overflowPunct w:val="0"/>
        <w:spacing w:line="520" w:lineRule="exact"/>
        <w:ind w:firstLine="724" w:firstLineChars="200"/>
        <w:jc w:val="center"/>
        <w:rPr>
          <w:rFonts w:ascii="方正小标宋简体" w:eastAsia="方正小标宋简体"/>
          <w:spacing w:val="1"/>
          <w:sz w:val="36"/>
          <w:szCs w:val="36"/>
        </w:rPr>
      </w:pPr>
      <w:r>
        <w:rPr>
          <w:rFonts w:hint="eastAsia" w:ascii="方正小标宋简体" w:eastAsia="方正小标宋简体"/>
          <w:spacing w:val="1"/>
          <w:sz w:val="36"/>
          <w:szCs w:val="36"/>
        </w:rPr>
        <w:t>2022年度21名安置人员工资及保险费用项目</w:t>
      </w:r>
    </w:p>
    <w:p w14:paraId="3E427AF8">
      <w:pPr>
        <w:kinsoku w:val="0"/>
        <w:overflowPunct w:val="0"/>
        <w:spacing w:line="520" w:lineRule="exact"/>
        <w:ind w:firstLine="724" w:firstLineChars="200"/>
        <w:jc w:val="center"/>
        <w:rPr>
          <w:rFonts w:ascii="方正小标宋简体" w:eastAsia="方正小标宋简体"/>
          <w:spacing w:val="1"/>
          <w:sz w:val="36"/>
          <w:szCs w:val="36"/>
        </w:rPr>
      </w:pPr>
      <w:r>
        <w:rPr>
          <w:rFonts w:hint="eastAsia" w:ascii="方正小标宋简体" w:eastAsia="方正小标宋简体"/>
          <w:spacing w:val="1"/>
          <w:sz w:val="36"/>
          <w:szCs w:val="36"/>
        </w:rPr>
        <w:t>支出绩效自评报告</w:t>
      </w:r>
    </w:p>
    <w:p w14:paraId="3D364CC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480" w:firstLineChars="200"/>
        <w:jc w:val="left"/>
        <w:rPr>
          <w:rFonts w:ascii="宋体" w:hAnsi="宋体" w:cs="宋体"/>
          <w:sz w:val="24"/>
        </w:rPr>
      </w:pPr>
    </w:p>
    <w:p w14:paraId="3BE38841">
      <w:pPr>
        <w:spacing w:line="600" w:lineRule="exact"/>
        <w:ind w:firstLine="640" w:firstLineChars="200"/>
        <w:rPr>
          <w:rFonts w:eastAsia="黑体"/>
          <w:bCs/>
          <w:sz w:val="32"/>
          <w:szCs w:val="32"/>
        </w:rPr>
      </w:pPr>
      <w:r>
        <w:rPr>
          <w:rFonts w:eastAsia="黑体"/>
          <w:bCs/>
          <w:sz w:val="32"/>
          <w:szCs w:val="32"/>
        </w:rPr>
        <w:t>一、项目基本情况</w:t>
      </w:r>
    </w:p>
    <w:p w14:paraId="2737DE03">
      <w:pPr>
        <w:spacing w:line="600" w:lineRule="exact"/>
        <w:ind w:firstLine="643" w:firstLineChars="200"/>
        <w:outlineLvl w:val="0"/>
        <w:rPr>
          <w:rFonts w:eastAsia="楷体_GB2312"/>
          <w:b/>
          <w:sz w:val="32"/>
          <w:szCs w:val="32"/>
        </w:rPr>
      </w:pPr>
      <w:r>
        <w:rPr>
          <w:rFonts w:eastAsia="楷体_GB2312"/>
          <w:b/>
          <w:sz w:val="32"/>
          <w:szCs w:val="32"/>
        </w:rPr>
        <w:t>（一）绩效目标情况。</w:t>
      </w:r>
    </w:p>
    <w:p w14:paraId="3E6A1572">
      <w:pPr>
        <w:spacing w:line="600" w:lineRule="exact"/>
        <w:ind w:firstLine="640" w:firstLineChars="200"/>
        <w:outlineLvl w:val="0"/>
        <w:rPr>
          <w:rFonts w:eastAsia="楷体_GB2312"/>
          <w:sz w:val="32"/>
          <w:szCs w:val="32"/>
        </w:rPr>
      </w:pPr>
      <w:r>
        <w:rPr>
          <w:rFonts w:hint="eastAsia" w:ascii="仿宋_GB2312" w:hAnsi="宋体" w:eastAsia="仿宋_GB2312" w:cs="宋体"/>
          <w:sz w:val="32"/>
          <w:szCs w:val="32"/>
        </w:rPr>
        <w:t>21名安置人员工资及保险费用为政务专项类项目，该项目主要用于保障交通国省干线体制改革安置人员工资、社会保险缴费等支出。通过项目实施，加强了本单位协助执法辅助工作的力量，保障了综合执法工作持续有效开展。</w:t>
      </w:r>
    </w:p>
    <w:p w14:paraId="3D93366D">
      <w:pPr>
        <w:spacing w:line="600" w:lineRule="exact"/>
        <w:ind w:firstLine="643" w:firstLineChars="200"/>
        <w:outlineLvl w:val="0"/>
        <w:rPr>
          <w:rFonts w:eastAsia="楷体_GB2312"/>
          <w:b/>
          <w:sz w:val="32"/>
          <w:szCs w:val="32"/>
        </w:rPr>
      </w:pPr>
      <w:r>
        <w:rPr>
          <w:rFonts w:eastAsia="楷体_GB2312"/>
          <w:b/>
          <w:sz w:val="32"/>
          <w:szCs w:val="32"/>
        </w:rPr>
        <w:t>（二）资金安排情况。</w:t>
      </w:r>
    </w:p>
    <w:p w14:paraId="73A0B8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rPr>
      </w:pPr>
      <w:r>
        <w:rPr>
          <w:rFonts w:hint="eastAsia" w:ascii="仿宋_GB2312" w:hAnsi="宋体" w:eastAsia="仿宋_GB2312" w:cs="宋体"/>
          <w:color w:val="000000"/>
          <w:kern w:val="0"/>
          <w:sz w:val="32"/>
          <w:szCs w:val="32"/>
          <w:shd w:val="clear" w:color="auto" w:fill="FFFFFF"/>
          <w:lang w:val="zh-CN"/>
        </w:rPr>
        <w:t>根据《沐川县财政局关于批复2022年部门预算的通知》（沐财发〔2022〕23号）文件，县财政局下达我单位</w:t>
      </w:r>
      <w:r>
        <w:rPr>
          <w:rFonts w:hint="eastAsia" w:ascii="仿宋_GB2312" w:hAnsi="宋体" w:eastAsia="仿宋_GB2312" w:cs="宋体"/>
          <w:sz w:val="32"/>
          <w:szCs w:val="32"/>
        </w:rPr>
        <w:t>21名安置人员工资及保险费用项目年初预算收入124.00万元，该项目资金均为县级财政资金，</w:t>
      </w:r>
      <w:r>
        <w:rPr>
          <w:rFonts w:ascii="仿宋_GB2312" w:hAnsi="宋体" w:eastAsia="仿宋_GB2312" w:cs="宋体"/>
          <w:sz w:val="32"/>
          <w:szCs w:val="32"/>
        </w:rPr>
        <w:t>主要是一般公共预算</w:t>
      </w:r>
      <w:r>
        <w:rPr>
          <w:rFonts w:hint="eastAsia" w:ascii="仿宋_GB2312" w:hAnsi="宋体" w:eastAsia="仿宋_GB2312" w:cs="宋体"/>
          <w:sz w:val="32"/>
          <w:szCs w:val="32"/>
        </w:rPr>
        <w:t>财政</w:t>
      </w:r>
      <w:r>
        <w:rPr>
          <w:rFonts w:ascii="仿宋_GB2312" w:hAnsi="宋体" w:eastAsia="仿宋_GB2312" w:cs="宋体"/>
          <w:sz w:val="32"/>
          <w:szCs w:val="32"/>
        </w:rPr>
        <w:t>拨款收入</w:t>
      </w:r>
      <w:r>
        <w:rPr>
          <w:rFonts w:hint="eastAsia" w:ascii="仿宋_GB2312" w:hAnsi="宋体" w:eastAsia="仿宋_GB2312" w:cs="宋体"/>
          <w:sz w:val="32"/>
          <w:szCs w:val="32"/>
        </w:rPr>
        <w:t xml:space="preserve">。 </w:t>
      </w:r>
    </w:p>
    <w:p w14:paraId="7EA89E9F">
      <w:pPr>
        <w:spacing w:line="600" w:lineRule="exact"/>
        <w:ind w:firstLine="640" w:firstLineChars="200"/>
        <w:rPr>
          <w:rFonts w:eastAsia="黑体"/>
          <w:bCs/>
          <w:sz w:val="32"/>
          <w:szCs w:val="32"/>
        </w:rPr>
      </w:pPr>
      <w:r>
        <w:rPr>
          <w:rFonts w:eastAsia="黑体"/>
          <w:bCs/>
          <w:sz w:val="32"/>
          <w:szCs w:val="32"/>
        </w:rPr>
        <w:t>二、绩效目标完成情况分析</w:t>
      </w:r>
    </w:p>
    <w:p w14:paraId="7C9C6836">
      <w:pPr>
        <w:spacing w:line="600" w:lineRule="exact"/>
        <w:ind w:firstLine="643" w:firstLineChars="200"/>
        <w:outlineLvl w:val="0"/>
        <w:rPr>
          <w:rFonts w:eastAsia="楷体_GB2312"/>
          <w:b/>
          <w:sz w:val="32"/>
          <w:szCs w:val="32"/>
        </w:rPr>
      </w:pPr>
      <w:r>
        <w:rPr>
          <w:rFonts w:eastAsia="楷体_GB2312"/>
          <w:b/>
          <w:sz w:val="32"/>
          <w:szCs w:val="32"/>
        </w:rPr>
        <w:t>（一）预算执行进度情况分析。</w:t>
      </w:r>
    </w:p>
    <w:p w14:paraId="4287AD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rPr>
      </w:pPr>
      <w:r>
        <w:rPr>
          <w:rFonts w:ascii="仿宋_GB2312" w:hAnsi="宋体" w:eastAsia="仿宋_GB2312" w:cs="宋体"/>
          <w:sz w:val="32"/>
          <w:szCs w:val="32"/>
        </w:rPr>
        <w:t>本单位</w:t>
      </w:r>
      <w:r>
        <w:rPr>
          <w:rFonts w:hint="eastAsia" w:ascii="仿宋_GB2312" w:hAnsi="宋体" w:eastAsia="仿宋_GB2312" w:cs="宋体"/>
          <w:sz w:val="32"/>
          <w:szCs w:val="32"/>
        </w:rPr>
        <w:t>2022年按预算批复文件合理安排支出，按月申报用款计划，项目资金申报与实际实施内容相符，申报目标合理可行。截止2022年底，21名安置人员工资及保险费用项目支出决算数122.54万元，主要用于其他工资福利支出。资金支付与预算相符。在预算执行过程中，我单位严格按相关规定和要求执行，无无预算、无用款计划、超预算和超计划拨付资金的情况。认真做好项目前期准备工作，及时向财政提交相关资料审核，加强项目支出进度。在完善预算动态监控的情况下，确保项目的实施。</w:t>
      </w:r>
    </w:p>
    <w:p w14:paraId="0992B19A">
      <w:pPr>
        <w:spacing w:line="600" w:lineRule="exact"/>
        <w:ind w:firstLine="643" w:firstLineChars="200"/>
        <w:outlineLvl w:val="0"/>
        <w:rPr>
          <w:rFonts w:eastAsia="仿宋_GB2312"/>
          <w:sz w:val="32"/>
          <w:szCs w:val="32"/>
        </w:rPr>
      </w:pPr>
      <w:r>
        <w:rPr>
          <w:rFonts w:eastAsia="楷体_GB2312"/>
          <w:b/>
          <w:sz w:val="32"/>
          <w:szCs w:val="32"/>
        </w:rPr>
        <w:t>（二）总体绩效目标完成情况分析。</w:t>
      </w:r>
    </w:p>
    <w:p w14:paraId="094692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rPr>
      </w:pPr>
      <w:r>
        <w:rPr>
          <w:rFonts w:ascii="仿宋_GB2312" w:hAnsi="宋体" w:eastAsia="仿宋_GB2312" w:cs="宋体"/>
          <w:sz w:val="32"/>
          <w:szCs w:val="32"/>
        </w:rPr>
        <w:t>年度内全面完成</w:t>
      </w:r>
      <w:r>
        <w:rPr>
          <w:rFonts w:hint="eastAsia" w:ascii="仿宋_GB2312" w:hAnsi="宋体" w:eastAsia="仿宋_GB2312" w:cs="宋体"/>
          <w:sz w:val="32"/>
          <w:szCs w:val="32"/>
        </w:rPr>
        <w:t>21名安置人员工资、社会保障等费用支出，无拖欠、截留、挪用项目资金的情况。项目的实施，加强了本单位协助执法辅助工作的力量，全面推进了综合行政执法工作，保障综合执法工作持续有效开展，行业监管效能明显提高。</w:t>
      </w:r>
    </w:p>
    <w:p w14:paraId="22103C6D">
      <w:pPr>
        <w:adjustRightInd w:val="0"/>
        <w:snapToGrid w:val="0"/>
        <w:spacing w:line="600" w:lineRule="exact"/>
        <w:ind w:firstLine="643" w:firstLineChars="200"/>
        <w:rPr>
          <w:rFonts w:eastAsia="仿宋_GB2312"/>
          <w:sz w:val="32"/>
          <w:szCs w:val="32"/>
          <w:lang w:val="zh-CN"/>
        </w:rPr>
      </w:pPr>
      <w:r>
        <w:rPr>
          <w:rFonts w:eastAsia="楷体_GB2312"/>
          <w:b/>
          <w:sz w:val="32"/>
          <w:szCs w:val="32"/>
        </w:rPr>
        <w:t>（三）绩效指标完成情况分析。</w:t>
      </w:r>
    </w:p>
    <w:p w14:paraId="15F20A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该项目年初预算收入124.00万元，</w:t>
      </w:r>
      <w:r>
        <w:rPr>
          <w:rFonts w:hint="eastAsia" w:ascii="仿宋_GB2312" w:hAnsi="宋体" w:eastAsia="仿宋_GB2312" w:cs="宋体"/>
          <w:sz w:val="32"/>
          <w:szCs w:val="32"/>
        </w:rPr>
        <w:t>实际申报使用项目资金122.54万元。预算执行率98.82%，年末无结转结余。项目支出</w:t>
      </w:r>
      <w:r>
        <w:rPr>
          <w:rFonts w:hint="eastAsia" w:ascii="仿宋_GB2312" w:hAnsi="宋体" w:eastAsia="仿宋_GB2312" w:cs="宋体"/>
          <w:bCs/>
          <w:sz w:val="32"/>
          <w:szCs w:val="32"/>
        </w:rPr>
        <w:t>绩效良好，无违规记录。产出指标完成情况如下：</w:t>
      </w:r>
    </w:p>
    <w:p w14:paraId="0599E3D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1.数量指标</w:t>
      </w:r>
    </w:p>
    <w:p w14:paraId="50D8D9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安置</w:t>
      </w:r>
      <w:r>
        <w:rPr>
          <w:rFonts w:hint="eastAsia" w:ascii="仿宋_GB2312" w:hAnsi="宋体" w:eastAsia="仿宋_GB2312" w:cs="宋体"/>
          <w:sz w:val="32"/>
          <w:szCs w:val="32"/>
        </w:rPr>
        <w:t>交通国省干线体制改革人员</w:t>
      </w:r>
      <w:r>
        <w:rPr>
          <w:rFonts w:hint="eastAsia" w:ascii="仿宋_GB2312" w:hAnsi="宋体" w:eastAsia="仿宋_GB2312" w:cs="宋体"/>
          <w:sz w:val="32"/>
          <w:szCs w:val="32"/>
          <w:lang w:val="zh-CN"/>
        </w:rPr>
        <w:t>21人，实际完成指标值100%。</w:t>
      </w:r>
    </w:p>
    <w:p w14:paraId="0853D3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2.质量指标</w:t>
      </w:r>
    </w:p>
    <w:p w14:paraId="0C64C0C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协助执法辅助工作完成达标。</w:t>
      </w:r>
    </w:p>
    <w:p w14:paraId="05CA983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3.时效指标</w:t>
      </w:r>
    </w:p>
    <w:p w14:paraId="673106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按月申报项目资金，资金支付及时，无拖欠人员工资情况。</w:t>
      </w:r>
    </w:p>
    <w:p w14:paraId="312F84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4.成本指标</w:t>
      </w:r>
    </w:p>
    <w:p w14:paraId="743B4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 xml:space="preserve">人均费用5.90万元/人*年。经费保障100%。 </w:t>
      </w:r>
    </w:p>
    <w:p w14:paraId="06666531">
      <w:pPr>
        <w:spacing w:line="600" w:lineRule="exact"/>
        <w:ind w:firstLine="643" w:firstLineChars="200"/>
        <w:outlineLvl w:val="0"/>
        <w:rPr>
          <w:rFonts w:eastAsia="仿宋_GB2312"/>
          <w:sz w:val="32"/>
          <w:szCs w:val="32"/>
        </w:rPr>
      </w:pPr>
      <w:r>
        <w:rPr>
          <w:rFonts w:eastAsia="楷体_GB2312"/>
          <w:b/>
          <w:sz w:val="32"/>
          <w:szCs w:val="32"/>
        </w:rPr>
        <w:t>（四）项目效益分析。</w:t>
      </w:r>
    </w:p>
    <w:p w14:paraId="3C17902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效益指标完成情况如下：</w:t>
      </w:r>
    </w:p>
    <w:p w14:paraId="4159E4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1.社会效益指标</w:t>
      </w:r>
    </w:p>
    <w:p w14:paraId="6C23D8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增加了就业人口数量。</w:t>
      </w:r>
    </w:p>
    <w:p w14:paraId="6A3398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2.经济效益指标</w:t>
      </w:r>
    </w:p>
    <w:p w14:paraId="0B5DAD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有效降低行政执法成本。</w:t>
      </w:r>
    </w:p>
    <w:p w14:paraId="640C1E3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3.可持续性影响指标</w:t>
      </w:r>
    </w:p>
    <w:p w14:paraId="3CC60EB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保障了综合执法工作持续有效开展，行业执法监管效能明显提高。</w:t>
      </w:r>
    </w:p>
    <w:p w14:paraId="57F3BB71">
      <w:pPr>
        <w:spacing w:line="600" w:lineRule="exact"/>
        <w:ind w:firstLine="640" w:firstLineChars="200"/>
        <w:rPr>
          <w:rFonts w:eastAsia="仿宋_GB2312"/>
          <w:sz w:val="32"/>
          <w:szCs w:val="32"/>
        </w:rPr>
      </w:pPr>
      <w:r>
        <w:rPr>
          <w:rFonts w:eastAsia="黑体"/>
          <w:bCs/>
          <w:sz w:val="32"/>
          <w:szCs w:val="32"/>
        </w:rPr>
        <w:t>三、偏离绩效目标的原因和下一步改进措施</w:t>
      </w:r>
    </w:p>
    <w:p w14:paraId="473D30C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项目偏离在合理范围内，基本完成预设目标。</w:t>
      </w:r>
    </w:p>
    <w:p w14:paraId="5C42ADB9">
      <w:pPr>
        <w:spacing w:line="600" w:lineRule="exact"/>
        <w:ind w:firstLine="640" w:firstLineChars="200"/>
        <w:rPr>
          <w:rFonts w:eastAsia="黑体"/>
          <w:bCs/>
          <w:sz w:val="32"/>
          <w:szCs w:val="32"/>
        </w:rPr>
      </w:pPr>
      <w:r>
        <w:rPr>
          <w:rFonts w:eastAsia="黑体"/>
          <w:bCs/>
          <w:sz w:val="32"/>
          <w:szCs w:val="32"/>
        </w:rPr>
        <w:t>四、绩效自评结果拟应用和公开情况</w:t>
      </w:r>
    </w:p>
    <w:p w14:paraId="5579D05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rPr>
          <w:rFonts w:ascii="仿宋_GB2312" w:hAnsi="宋体" w:eastAsia="仿宋_GB2312" w:cs="宋体"/>
          <w:sz w:val="32"/>
          <w:szCs w:val="32"/>
        </w:rPr>
      </w:pPr>
      <w:r>
        <w:rPr>
          <w:rFonts w:eastAsia="仿宋_GB2312"/>
          <w:sz w:val="32"/>
          <w:szCs w:val="32"/>
        </w:rPr>
        <w:t>从总体上看</w:t>
      </w:r>
      <w:r>
        <w:rPr>
          <w:rFonts w:hint="eastAsia" w:eastAsia="仿宋_GB2312"/>
          <w:sz w:val="32"/>
          <w:szCs w:val="32"/>
        </w:rPr>
        <w:t>，</w:t>
      </w:r>
      <w:r>
        <w:rPr>
          <w:rFonts w:eastAsia="仿宋_GB2312"/>
          <w:sz w:val="32"/>
          <w:szCs w:val="32"/>
        </w:rPr>
        <w:t>该项目的设立经过严格的评估论证</w:t>
      </w:r>
      <w:r>
        <w:rPr>
          <w:rFonts w:hint="eastAsia" w:eastAsia="仿宋_GB2312"/>
          <w:sz w:val="32"/>
          <w:szCs w:val="32"/>
        </w:rPr>
        <w:t>，</w:t>
      </w:r>
      <w:r>
        <w:rPr>
          <w:rFonts w:eastAsia="仿宋_GB2312"/>
          <w:sz w:val="32"/>
          <w:szCs w:val="32"/>
        </w:rPr>
        <w:t>制度完备</w:t>
      </w:r>
      <w:r>
        <w:rPr>
          <w:rFonts w:hint="eastAsia" w:eastAsia="仿宋_GB2312"/>
          <w:sz w:val="32"/>
          <w:szCs w:val="32"/>
        </w:rPr>
        <w:t>、</w:t>
      </w:r>
      <w:r>
        <w:rPr>
          <w:rFonts w:eastAsia="仿宋_GB2312"/>
          <w:sz w:val="32"/>
          <w:szCs w:val="32"/>
        </w:rPr>
        <w:t>规划合理</w:t>
      </w:r>
      <w:r>
        <w:rPr>
          <w:rFonts w:hint="eastAsia" w:eastAsia="仿宋_GB2312"/>
          <w:sz w:val="32"/>
          <w:szCs w:val="32"/>
        </w:rPr>
        <w:t>、与部门职责相适应，分配要素均衡，对象公平。</w:t>
      </w:r>
      <w:r>
        <w:rPr>
          <w:rFonts w:hint="eastAsia" w:ascii="仿宋_GB2312" w:hAnsi="宋体" w:eastAsia="仿宋_GB2312" w:cs="宋体"/>
          <w:sz w:val="32"/>
          <w:szCs w:val="32"/>
        </w:rPr>
        <w:t>经自评，21名安置人员工资及保险费用项目自评得分 97分，评价等级为“优 ”。2023年由于社保基数调整等原因预计安排预算126.00万元。项目自评结果按规定时间于政府网站公开。项目支出得分明细如下所示：</w:t>
      </w:r>
    </w:p>
    <w:p w14:paraId="5C439611">
      <w:pPr>
        <w:pStyle w:val="2"/>
        <w:rPr>
          <w:rFonts w:ascii="仿宋_GB2312" w:hAnsi="宋体" w:eastAsia="仿宋_GB2312" w:cs="宋体"/>
          <w:sz w:val="32"/>
          <w:szCs w:val="32"/>
        </w:rPr>
      </w:pPr>
    </w:p>
    <w:p w14:paraId="5CAB7F26">
      <w:pPr>
        <w:pStyle w:val="2"/>
        <w:rPr>
          <w:rFonts w:ascii="仿宋_GB2312" w:hAnsi="宋体" w:eastAsia="仿宋_GB2312" w:cs="宋体"/>
          <w:sz w:val="32"/>
          <w:szCs w:val="32"/>
        </w:rPr>
      </w:pPr>
    </w:p>
    <w:p w14:paraId="4F48426D">
      <w:pPr>
        <w:pStyle w:val="2"/>
        <w:rPr>
          <w:rFonts w:ascii="仿宋_GB2312" w:hAnsi="宋体" w:eastAsia="仿宋_GB2312" w:cs="宋体"/>
          <w:sz w:val="32"/>
          <w:szCs w:val="32"/>
        </w:rPr>
      </w:pPr>
    </w:p>
    <w:p w14:paraId="40B634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21名安置人员工资及保险费用项目支出得分表</w:t>
      </w:r>
    </w:p>
    <w:tbl>
      <w:tblPr>
        <w:tblStyle w:val="1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04"/>
        <w:gridCol w:w="1704"/>
        <w:gridCol w:w="1945"/>
        <w:gridCol w:w="1464"/>
        <w:gridCol w:w="1705"/>
      </w:tblGrid>
      <w:tr w14:paraId="17673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trPr>
        <w:tc>
          <w:tcPr>
            <w:tcW w:w="5353" w:type="dxa"/>
            <w:gridSpan w:val="3"/>
            <w:vAlign w:val="center"/>
          </w:tcPr>
          <w:p w14:paraId="702F94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b/>
                <w:sz w:val="28"/>
                <w:szCs w:val="28"/>
              </w:rPr>
            </w:pPr>
            <w:r>
              <w:rPr>
                <w:rFonts w:ascii="Calibri" w:hAnsi="Calibri" w:eastAsia="仿宋_GB2312"/>
                <w:b/>
                <w:sz w:val="28"/>
                <w:szCs w:val="28"/>
              </w:rPr>
              <w:t>绩效指标</w:t>
            </w:r>
          </w:p>
        </w:tc>
        <w:tc>
          <w:tcPr>
            <w:tcW w:w="1464" w:type="dxa"/>
            <w:vMerge w:val="restart"/>
            <w:vAlign w:val="center"/>
          </w:tcPr>
          <w:p w14:paraId="5CDEA7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b/>
                <w:sz w:val="28"/>
                <w:szCs w:val="28"/>
              </w:rPr>
            </w:pPr>
            <w:r>
              <w:rPr>
                <w:rFonts w:ascii="Calibri" w:hAnsi="Calibri" w:eastAsia="仿宋_GB2312"/>
                <w:b/>
                <w:sz w:val="28"/>
                <w:szCs w:val="28"/>
              </w:rPr>
              <w:t>指标</w:t>
            </w:r>
          </w:p>
          <w:p w14:paraId="5E630D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b/>
                <w:sz w:val="28"/>
                <w:szCs w:val="28"/>
              </w:rPr>
            </w:pPr>
            <w:r>
              <w:rPr>
                <w:rFonts w:ascii="Calibri" w:hAnsi="Calibri" w:eastAsia="仿宋_GB2312"/>
                <w:b/>
                <w:sz w:val="28"/>
                <w:szCs w:val="28"/>
              </w:rPr>
              <w:t>分值</w:t>
            </w:r>
          </w:p>
        </w:tc>
        <w:tc>
          <w:tcPr>
            <w:tcW w:w="1705" w:type="dxa"/>
            <w:vMerge w:val="restart"/>
            <w:vAlign w:val="center"/>
          </w:tcPr>
          <w:p w14:paraId="208757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b/>
                <w:sz w:val="28"/>
                <w:szCs w:val="28"/>
              </w:rPr>
            </w:pPr>
            <w:r>
              <w:rPr>
                <w:rFonts w:ascii="Calibri" w:hAnsi="Calibri" w:eastAsia="仿宋_GB2312"/>
                <w:b/>
                <w:sz w:val="28"/>
                <w:szCs w:val="28"/>
              </w:rPr>
              <w:t>得分</w:t>
            </w:r>
          </w:p>
        </w:tc>
      </w:tr>
      <w:tr w14:paraId="7E2098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4" w:hRule="atLeast"/>
        </w:trPr>
        <w:tc>
          <w:tcPr>
            <w:tcW w:w="1704" w:type="dxa"/>
            <w:vAlign w:val="center"/>
          </w:tcPr>
          <w:p w14:paraId="4B66D87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b/>
                <w:sz w:val="28"/>
                <w:szCs w:val="28"/>
              </w:rPr>
            </w:pPr>
            <w:r>
              <w:rPr>
                <w:rFonts w:ascii="Calibri" w:hAnsi="Calibri" w:eastAsia="仿宋_GB2312"/>
                <w:b/>
                <w:sz w:val="28"/>
                <w:szCs w:val="28"/>
              </w:rPr>
              <w:t>一级指标</w:t>
            </w:r>
          </w:p>
        </w:tc>
        <w:tc>
          <w:tcPr>
            <w:tcW w:w="1704" w:type="dxa"/>
            <w:vAlign w:val="center"/>
          </w:tcPr>
          <w:p w14:paraId="7A9F59A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b/>
                <w:sz w:val="28"/>
                <w:szCs w:val="28"/>
              </w:rPr>
            </w:pPr>
            <w:r>
              <w:rPr>
                <w:rFonts w:ascii="Calibri" w:hAnsi="Calibri" w:eastAsia="仿宋_GB2312"/>
                <w:b/>
                <w:sz w:val="28"/>
                <w:szCs w:val="28"/>
              </w:rPr>
              <w:t>二级指标</w:t>
            </w:r>
          </w:p>
        </w:tc>
        <w:tc>
          <w:tcPr>
            <w:tcW w:w="1945" w:type="dxa"/>
            <w:vAlign w:val="center"/>
          </w:tcPr>
          <w:p w14:paraId="0CA1FA1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b/>
                <w:sz w:val="28"/>
                <w:szCs w:val="28"/>
              </w:rPr>
            </w:pPr>
            <w:r>
              <w:rPr>
                <w:rFonts w:ascii="Calibri" w:hAnsi="Calibri" w:eastAsia="仿宋_GB2312"/>
                <w:b/>
                <w:sz w:val="28"/>
                <w:szCs w:val="28"/>
              </w:rPr>
              <w:t>三级指标</w:t>
            </w:r>
          </w:p>
        </w:tc>
        <w:tc>
          <w:tcPr>
            <w:tcW w:w="1464" w:type="dxa"/>
            <w:vMerge w:val="continue"/>
            <w:vAlign w:val="center"/>
          </w:tcPr>
          <w:p w14:paraId="4E27F4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p>
        </w:tc>
        <w:tc>
          <w:tcPr>
            <w:tcW w:w="1705" w:type="dxa"/>
            <w:vMerge w:val="continue"/>
            <w:vAlign w:val="center"/>
          </w:tcPr>
          <w:p w14:paraId="2CBC7AE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p>
        </w:tc>
      </w:tr>
      <w:tr w14:paraId="2F012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restart"/>
            <w:vAlign w:val="center"/>
          </w:tcPr>
          <w:p w14:paraId="7826C7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ascii="Calibri" w:hAnsi="Calibri" w:eastAsia="仿宋_GB2312"/>
                <w:sz w:val="28"/>
                <w:szCs w:val="28"/>
              </w:rPr>
              <w:t>通用指标（</w:t>
            </w:r>
            <w:r>
              <w:rPr>
                <w:rFonts w:hint="eastAsia" w:ascii="Calibri" w:hAnsi="Calibri" w:eastAsia="仿宋_GB2312"/>
                <w:sz w:val="28"/>
                <w:szCs w:val="28"/>
              </w:rPr>
              <w:t>30分）</w:t>
            </w:r>
          </w:p>
        </w:tc>
        <w:tc>
          <w:tcPr>
            <w:tcW w:w="1704" w:type="dxa"/>
            <w:vMerge w:val="restart"/>
            <w:vAlign w:val="center"/>
          </w:tcPr>
          <w:p w14:paraId="2E24F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ascii="Calibri" w:hAnsi="Calibri" w:eastAsia="仿宋_GB2312"/>
                <w:sz w:val="28"/>
                <w:szCs w:val="28"/>
              </w:rPr>
              <w:t>项目决策</w:t>
            </w:r>
          </w:p>
        </w:tc>
        <w:tc>
          <w:tcPr>
            <w:tcW w:w="1945" w:type="dxa"/>
            <w:vAlign w:val="center"/>
          </w:tcPr>
          <w:p w14:paraId="6C01CC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ascii="Calibri" w:hAnsi="Calibri" w:eastAsia="仿宋_GB2312"/>
                <w:sz w:val="28"/>
                <w:szCs w:val="28"/>
              </w:rPr>
              <w:t>程序严密</w:t>
            </w:r>
          </w:p>
        </w:tc>
        <w:tc>
          <w:tcPr>
            <w:tcW w:w="1464" w:type="dxa"/>
            <w:vAlign w:val="center"/>
          </w:tcPr>
          <w:p w14:paraId="74E031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4</w:t>
            </w:r>
          </w:p>
        </w:tc>
        <w:tc>
          <w:tcPr>
            <w:tcW w:w="1705" w:type="dxa"/>
            <w:vAlign w:val="center"/>
          </w:tcPr>
          <w:p w14:paraId="5D23D3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4</w:t>
            </w:r>
          </w:p>
        </w:tc>
      </w:tr>
      <w:tr w14:paraId="22000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22230C3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p>
        </w:tc>
        <w:tc>
          <w:tcPr>
            <w:tcW w:w="1704" w:type="dxa"/>
            <w:vMerge w:val="continue"/>
            <w:vAlign w:val="center"/>
          </w:tcPr>
          <w:p w14:paraId="41A9AE6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p>
        </w:tc>
        <w:tc>
          <w:tcPr>
            <w:tcW w:w="1945" w:type="dxa"/>
            <w:vAlign w:val="center"/>
          </w:tcPr>
          <w:p w14:paraId="64D954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ascii="Calibri" w:hAnsi="Calibri" w:eastAsia="仿宋_GB2312"/>
                <w:sz w:val="28"/>
                <w:szCs w:val="28"/>
              </w:rPr>
              <w:t>规划合理</w:t>
            </w:r>
          </w:p>
        </w:tc>
        <w:tc>
          <w:tcPr>
            <w:tcW w:w="1464" w:type="dxa"/>
            <w:vAlign w:val="center"/>
          </w:tcPr>
          <w:p w14:paraId="585800A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4</w:t>
            </w:r>
          </w:p>
        </w:tc>
        <w:tc>
          <w:tcPr>
            <w:tcW w:w="1705" w:type="dxa"/>
            <w:vAlign w:val="center"/>
          </w:tcPr>
          <w:p w14:paraId="680251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4</w:t>
            </w:r>
          </w:p>
        </w:tc>
      </w:tr>
      <w:tr w14:paraId="7B6F5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66B8F4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p>
        </w:tc>
        <w:tc>
          <w:tcPr>
            <w:tcW w:w="1704" w:type="dxa"/>
            <w:vMerge w:val="restart"/>
            <w:vAlign w:val="center"/>
          </w:tcPr>
          <w:p w14:paraId="0086636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ascii="Calibri" w:hAnsi="Calibri" w:eastAsia="仿宋_GB2312"/>
                <w:sz w:val="28"/>
                <w:szCs w:val="28"/>
              </w:rPr>
              <w:t>项目实施</w:t>
            </w:r>
          </w:p>
        </w:tc>
        <w:tc>
          <w:tcPr>
            <w:tcW w:w="1945" w:type="dxa"/>
            <w:vAlign w:val="center"/>
          </w:tcPr>
          <w:p w14:paraId="04BE66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ascii="Calibri" w:hAnsi="Calibri" w:eastAsia="仿宋_GB2312"/>
                <w:sz w:val="28"/>
                <w:szCs w:val="28"/>
              </w:rPr>
              <w:t>分配合理</w:t>
            </w:r>
          </w:p>
        </w:tc>
        <w:tc>
          <w:tcPr>
            <w:tcW w:w="1464" w:type="dxa"/>
            <w:vAlign w:val="center"/>
          </w:tcPr>
          <w:p w14:paraId="5ED00F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4</w:t>
            </w:r>
          </w:p>
        </w:tc>
        <w:tc>
          <w:tcPr>
            <w:tcW w:w="1705" w:type="dxa"/>
            <w:vAlign w:val="center"/>
          </w:tcPr>
          <w:p w14:paraId="7B067A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3</w:t>
            </w:r>
          </w:p>
        </w:tc>
      </w:tr>
      <w:tr w14:paraId="625DD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229EC4A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p>
        </w:tc>
        <w:tc>
          <w:tcPr>
            <w:tcW w:w="1704" w:type="dxa"/>
            <w:vMerge w:val="continue"/>
            <w:vAlign w:val="center"/>
          </w:tcPr>
          <w:p w14:paraId="6D47148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p>
        </w:tc>
        <w:tc>
          <w:tcPr>
            <w:tcW w:w="1945" w:type="dxa"/>
            <w:vAlign w:val="center"/>
          </w:tcPr>
          <w:p w14:paraId="3BA08E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ascii="Calibri" w:hAnsi="Calibri" w:eastAsia="仿宋_GB2312"/>
                <w:sz w:val="28"/>
                <w:szCs w:val="28"/>
              </w:rPr>
              <w:t>使用合规</w:t>
            </w:r>
          </w:p>
        </w:tc>
        <w:tc>
          <w:tcPr>
            <w:tcW w:w="1464" w:type="dxa"/>
            <w:vAlign w:val="center"/>
          </w:tcPr>
          <w:p w14:paraId="22ADC55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4</w:t>
            </w:r>
          </w:p>
        </w:tc>
        <w:tc>
          <w:tcPr>
            <w:tcW w:w="1705" w:type="dxa"/>
            <w:vAlign w:val="center"/>
          </w:tcPr>
          <w:p w14:paraId="578F10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4</w:t>
            </w:r>
          </w:p>
        </w:tc>
      </w:tr>
      <w:tr w14:paraId="20D05E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3A2669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p>
        </w:tc>
        <w:tc>
          <w:tcPr>
            <w:tcW w:w="1704" w:type="dxa"/>
            <w:vMerge w:val="continue"/>
            <w:vAlign w:val="center"/>
          </w:tcPr>
          <w:p w14:paraId="6C1DC7D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p>
        </w:tc>
        <w:tc>
          <w:tcPr>
            <w:tcW w:w="1945" w:type="dxa"/>
            <w:vAlign w:val="center"/>
          </w:tcPr>
          <w:p w14:paraId="2C7F73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ascii="Calibri" w:hAnsi="Calibri" w:eastAsia="仿宋_GB2312"/>
                <w:sz w:val="28"/>
                <w:szCs w:val="28"/>
              </w:rPr>
              <w:t>执行有效</w:t>
            </w:r>
          </w:p>
        </w:tc>
        <w:tc>
          <w:tcPr>
            <w:tcW w:w="1464" w:type="dxa"/>
            <w:vAlign w:val="center"/>
          </w:tcPr>
          <w:p w14:paraId="2F713C4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4</w:t>
            </w:r>
          </w:p>
        </w:tc>
        <w:tc>
          <w:tcPr>
            <w:tcW w:w="1705" w:type="dxa"/>
            <w:vAlign w:val="center"/>
          </w:tcPr>
          <w:p w14:paraId="22C7D0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4</w:t>
            </w:r>
          </w:p>
        </w:tc>
      </w:tr>
      <w:tr w14:paraId="37D25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76A99D3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p>
        </w:tc>
        <w:tc>
          <w:tcPr>
            <w:tcW w:w="1704" w:type="dxa"/>
            <w:vMerge w:val="restart"/>
            <w:vAlign w:val="center"/>
          </w:tcPr>
          <w:p w14:paraId="7DD1AB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ascii="Calibri" w:hAnsi="Calibri" w:eastAsia="仿宋_GB2312"/>
                <w:sz w:val="28"/>
                <w:szCs w:val="28"/>
              </w:rPr>
              <w:t>完成结果</w:t>
            </w:r>
          </w:p>
        </w:tc>
        <w:tc>
          <w:tcPr>
            <w:tcW w:w="1945" w:type="dxa"/>
            <w:vAlign w:val="center"/>
          </w:tcPr>
          <w:p w14:paraId="14FD75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ascii="Calibri" w:hAnsi="Calibri" w:eastAsia="仿宋_GB2312"/>
                <w:sz w:val="28"/>
                <w:szCs w:val="28"/>
              </w:rPr>
              <w:t>预算完成</w:t>
            </w:r>
          </w:p>
        </w:tc>
        <w:tc>
          <w:tcPr>
            <w:tcW w:w="1464" w:type="dxa"/>
            <w:vAlign w:val="center"/>
          </w:tcPr>
          <w:p w14:paraId="09681D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4</w:t>
            </w:r>
          </w:p>
        </w:tc>
        <w:tc>
          <w:tcPr>
            <w:tcW w:w="1705" w:type="dxa"/>
            <w:vAlign w:val="center"/>
          </w:tcPr>
          <w:p w14:paraId="513F2C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3</w:t>
            </w:r>
          </w:p>
        </w:tc>
      </w:tr>
      <w:tr w14:paraId="284D4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381E3A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p>
        </w:tc>
        <w:tc>
          <w:tcPr>
            <w:tcW w:w="1704" w:type="dxa"/>
            <w:vMerge w:val="continue"/>
            <w:vAlign w:val="center"/>
          </w:tcPr>
          <w:p w14:paraId="4FE27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p>
        </w:tc>
        <w:tc>
          <w:tcPr>
            <w:tcW w:w="1945" w:type="dxa"/>
            <w:vAlign w:val="center"/>
          </w:tcPr>
          <w:p w14:paraId="63A4060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ascii="Calibri" w:hAnsi="Calibri" w:eastAsia="仿宋_GB2312"/>
                <w:sz w:val="28"/>
                <w:szCs w:val="28"/>
              </w:rPr>
              <w:t>目标完成</w:t>
            </w:r>
          </w:p>
        </w:tc>
        <w:tc>
          <w:tcPr>
            <w:tcW w:w="1464" w:type="dxa"/>
            <w:vAlign w:val="center"/>
          </w:tcPr>
          <w:p w14:paraId="189D48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4</w:t>
            </w:r>
          </w:p>
        </w:tc>
        <w:tc>
          <w:tcPr>
            <w:tcW w:w="1705" w:type="dxa"/>
            <w:vAlign w:val="center"/>
          </w:tcPr>
          <w:p w14:paraId="089E510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4</w:t>
            </w:r>
          </w:p>
        </w:tc>
      </w:tr>
      <w:tr w14:paraId="5E04D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384B1E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p>
        </w:tc>
        <w:tc>
          <w:tcPr>
            <w:tcW w:w="1704" w:type="dxa"/>
            <w:vMerge w:val="continue"/>
            <w:vAlign w:val="center"/>
          </w:tcPr>
          <w:p w14:paraId="25AED5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p>
        </w:tc>
        <w:tc>
          <w:tcPr>
            <w:tcW w:w="1945" w:type="dxa"/>
            <w:vAlign w:val="center"/>
          </w:tcPr>
          <w:p w14:paraId="52201D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ascii="Calibri" w:hAnsi="Calibri" w:eastAsia="仿宋_GB2312"/>
                <w:sz w:val="28"/>
                <w:szCs w:val="28"/>
              </w:rPr>
              <w:t>违规记录</w:t>
            </w:r>
          </w:p>
        </w:tc>
        <w:tc>
          <w:tcPr>
            <w:tcW w:w="1464" w:type="dxa"/>
            <w:vAlign w:val="center"/>
          </w:tcPr>
          <w:p w14:paraId="693C5C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2</w:t>
            </w:r>
          </w:p>
        </w:tc>
        <w:tc>
          <w:tcPr>
            <w:tcW w:w="1705" w:type="dxa"/>
            <w:vAlign w:val="center"/>
          </w:tcPr>
          <w:p w14:paraId="6E88BB2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2</w:t>
            </w:r>
          </w:p>
        </w:tc>
      </w:tr>
      <w:tr w14:paraId="6A12C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restart"/>
            <w:vAlign w:val="center"/>
          </w:tcPr>
          <w:p w14:paraId="31BD58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ascii="Calibri" w:hAnsi="Calibri" w:eastAsia="仿宋_GB2312"/>
                <w:sz w:val="28"/>
                <w:szCs w:val="28"/>
              </w:rPr>
              <w:t>共性指标（</w:t>
            </w:r>
            <w:r>
              <w:rPr>
                <w:rFonts w:hint="eastAsia" w:ascii="Calibri" w:hAnsi="Calibri" w:eastAsia="仿宋_GB2312"/>
                <w:sz w:val="28"/>
                <w:szCs w:val="28"/>
              </w:rPr>
              <w:t>20分）</w:t>
            </w:r>
          </w:p>
        </w:tc>
        <w:tc>
          <w:tcPr>
            <w:tcW w:w="1704" w:type="dxa"/>
            <w:vMerge w:val="restart"/>
            <w:vAlign w:val="center"/>
          </w:tcPr>
          <w:p w14:paraId="302924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ascii="Calibri" w:hAnsi="Calibri" w:eastAsia="仿宋_GB2312"/>
                <w:sz w:val="28"/>
                <w:szCs w:val="28"/>
              </w:rPr>
              <w:t>项目效果</w:t>
            </w:r>
          </w:p>
        </w:tc>
        <w:tc>
          <w:tcPr>
            <w:tcW w:w="1945" w:type="dxa"/>
            <w:vAlign w:val="center"/>
          </w:tcPr>
          <w:p w14:paraId="37F3A9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ascii="Calibri" w:hAnsi="Calibri" w:eastAsia="仿宋_GB2312"/>
                <w:sz w:val="28"/>
                <w:szCs w:val="28"/>
              </w:rPr>
              <w:t>区域均衡性</w:t>
            </w:r>
          </w:p>
        </w:tc>
        <w:tc>
          <w:tcPr>
            <w:tcW w:w="1464" w:type="dxa"/>
            <w:vAlign w:val="center"/>
          </w:tcPr>
          <w:p w14:paraId="237765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6</w:t>
            </w:r>
          </w:p>
        </w:tc>
        <w:tc>
          <w:tcPr>
            <w:tcW w:w="1705" w:type="dxa"/>
            <w:vAlign w:val="center"/>
          </w:tcPr>
          <w:p w14:paraId="603D3E4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6</w:t>
            </w:r>
          </w:p>
        </w:tc>
      </w:tr>
      <w:tr w14:paraId="6F64A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6AD08F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p>
        </w:tc>
        <w:tc>
          <w:tcPr>
            <w:tcW w:w="1704" w:type="dxa"/>
            <w:vMerge w:val="continue"/>
            <w:vAlign w:val="center"/>
          </w:tcPr>
          <w:p w14:paraId="2B2D14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p>
        </w:tc>
        <w:tc>
          <w:tcPr>
            <w:tcW w:w="1945" w:type="dxa"/>
            <w:vAlign w:val="center"/>
          </w:tcPr>
          <w:p w14:paraId="343DAD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ascii="Calibri" w:hAnsi="Calibri" w:eastAsia="仿宋_GB2312"/>
                <w:sz w:val="28"/>
                <w:szCs w:val="28"/>
              </w:rPr>
              <w:t>对象公平性</w:t>
            </w:r>
          </w:p>
        </w:tc>
        <w:tc>
          <w:tcPr>
            <w:tcW w:w="1464" w:type="dxa"/>
            <w:vAlign w:val="center"/>
          </w:tcPr>
          <w:p w14:paraId="658891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8</w:t>
            </w:r>
          </w:p>
        </w:tc>
        <w:tc>
          <w:tcPr>
            <w:tcW w:w="1705" w:type="dxa"/>
            <w:vAlign w:val="center"/>
          </w:tcPr>
          <w:p w14:paraId="7C8838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8</w:t>
            </w:r>
          </w:p>
        </w:tc>
      </w:tr>
      <w:tr w14:paraId="413D3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704" w:type="dxa"/>
            <w:vMerge w:val="continue"/>
            <w:vAlign w:val="center"/>
          </w:tcPr>
          <w:p w14:paraId="3D9D1F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p>
        </w:tc>
        <w:tc>
          <w:tcPr>
            <w:tcW w:w="1704" w:type="dxa"/>
            <w:vMerge w:val="continue"/>
            <w:vAlign w:val="center"/>
          </w:tcPr>
          <w:p w14:paraId="501F49E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p>
        </w:tc>
        <w:tc>
          <w:tcPr>
            <w:tcW w:w="1945" w:type="dxa"/>
            <w:vAlign w:val="center"/>
          </w:tcPr>
          <w:p w14:paraId="520BAC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ascii="Calibri" w:hAnsi="Calibri" w:eastAsia="仿宋_GB2312"/>
                <w:sz w:val="28"/>
                <w:szCs w:val="28"/>
              </w:rPr>
              <w:t>社会满意度</w:t>
            </w:r>
          </w:p>
        </w:tc>
        <w:tc>
          <w:tcPr>
            <w:tcW w:w="1464" w:type="dxa"/>
            <w:vAlign w:val="center"/>
          </w:tcPr>
          <w:p w14:paraId="4DA88C4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6</w:t>
            </w:r>
          </w:p>
        </w:tc>
        <w:tc>
          <w:tcPr>
            <w:tcW w:w="1705" w:type="dxa"/>
            <w:vAlign w:val="center"/>
          </w:tcPr>
          <w:p w14:paraId="76A84AB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5</w:t>
            </w:r>
          </w:p>
        </w:tc>
      </w:tr>
      <w:tr w14:paraId="350DE8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restart"/>
          </w:tcPr>
          <w:p w14:paraId="0FA819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rPr>
                <w:rFonts w:ascii="Calibri" w:hAnsi="Calibri" w:eastAsia="仿宋_GB2312"/>
                <w:sz w:val="28"/>
                <w:szCs w:val="28"/>
              </w:rPr>
            </w:pPr>
            <w:r>
              <w:rPr>
                <w:rFonts w:ascii="Calibri" w:hAnsi="Calibri" w:eastAsia="仿宋_GB2312"/>
                <w:sz w:val="28"/>
                <w:szCs w:val="28"/>
              </w:rPr>
              <w:t>特性指标（</w:t>
            </w:r>
            <w:r>
              <w:rPr>
                <w:rFonts w:hint="eastAsia" w:ascii="Calibri" w:hAnsi="Calibri" w:eastAsia="仿宋_GB2312"/>
                <w:sz w:val="28"/>
                <w:szCs w:val="28"/>
              </w:rPr>
              <w:t>50分）</w:t>
            </w:r>
          </w:p>
        </w:tc>
        <w:tc>
          <w:tcPr>
            <w:tcW w:w="1704" w:type="dxa"/>
          </w:tcPr>
          <w:p w14:paraId="66AD25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rPr>
                <w:rFonts w:ascii="Calibri" w:hAnsi="Calibri" w:eastAsia="仿宋_GB2312"/>
                <w:sz w:val="28"/>
                <w:szCs w:val="28"/>
              </w:rPr>
            </w:pPr>
            <w:r>
              <w:rPr>
                <w:rFonts w:ascii="Calibri" w:hAnsi="Calibri" w:eastAsia="仿宋_GB2312"/>
                <w:sz w:val="28"/>
                <w:szCs w:val="28"/>
              </w:rPr>
              <w:t>基础管理</w:t>
            </w:r>
          </w:p>
        </w:tc>
        <w:tc>
          <w:tcPr>
            <w:tcW w:w="1945" w:type="dxa"/>
          </w:tcPr>
          <w:p w14:paraId="372A0EA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rPr>
                <w:rFonts w:ascii="Calibri" w:hAnsi="Calibri" w:eastAsia="仿宋_GB2312"/>
                <w:sz w:val="28"/>
                <w:szCs w:val="28"/>
              </w:rPr>
            </w:pPr>
            <w:r>
              <w:rPr>
                <w:rFonts w:ascii="Calibri" w:hAnsi="Calibri" w:eastAsia="仿宋_GB2312"/>
                <w:sz w:val="28"/>
                <w:szCs w:val="28"/>
              </w:rPr>
              <w:t>审核把关</w:t>
            </w:r>
          </w:p>
        </w:tc>
        <w:tc>
          <w:tcPr>
            <w:tcW w:w="1464" w:type="dxa"/>
            <w:vAlign w:val="center"/>
          </w:tcPr>
          <w:p w14:paraId="3EB6EAE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25</w:t>
            </w:r>
          </w:p>
        </w:tc>
        <w:tc>
          <w:tcPr>
            <w:tcW w:w="1705" w:type="dxa"/>
            <w:vAlign w:val="center"/>
          </w:tcPr>
          <w:p w14:paraId="4B39754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25</w:t>
            </w:r>
          </w:p>
        </w:tc>
      </w:tr>
      <w:tr w14:paraId="4E6D9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tcPr>
          <w:p w14:paraId="66EA1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rPr>
                <w:rFonts w:ascii="Calibri" w:hAnsi="Calibri" w:eastAsia="仿宋_GB2312"/>
                <w:sz w:val="28"/>
                <w:szCs w:val="28"/>
              </w:rPr>
            </w:pPr>
          </w:p>
        </w:tc>
        <w:tc>
          <w:tcPr>
            <w:tcW w:w="1704" w:type="dxa"/>
          </w:tcPr>
          <w:p w14:paraId="5C5BF88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rPr>
                <w:rFonts w:ascii="Calibri" w:hAnsi="Calibri" w:eastAsia="仿宋_GB2312"/>
                <w:sz w:val="28"/>
                <w:szCs w:val="28"/>
              </w:rPr>
            </w:pPr>
            <w:r>
              <w:rPr>
                <w:rFonts w:ascii="Calibri" w:hAnsi="Calibri" w:eastAsia="仿宋_GB2312"/>
                <w:sz w:val="28"/>
                <w:szCs w:val="28"/>
              </w:rPr>
              <w:t>社会效益</w:t>
            </w:r>
          </w:p>
        </w:tc>
        <w:tc>
          <w:tcPr>
            <w:tcW w:w="1945" w:type="dxa"/>
          </w:tcPr>
          <w:p w14:paraId="24529D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rPr>
                <w:rFonts w:ascii="Calibri" w:hAnsi="Calibri" w:eastAsia="仿宋_GB2312"/>
                <w:sz w:val="28"/>
                <w:szCs w:val="28"/>
              </w:rPr>
            </w:pPr>
            <w:r>
              <w:rPr>
                <w:rFonts w:ascii="Calibri" w:hAnsi="Calibri" w:eastAsia="仿宋_GB2312"/>
                <w:sz w:val="28"/>
                <w:szCs w:val="28"/>
              </w:rPr>
              <w:t>资金使用率</w:t>
            </w:r>
          </w:p>
        </w:tc>
        <w:tc>
          <w:tcPr>
            <w:tcW w:w="1464" w:type="dxa"/>
            <w:vAlign w:val="center"/>
          </w:tcPr>
          <w:p w14:paraId="52029C6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25</w:t>
            </w:r>
          </w:p>
        </w:tc>
        <w:tc>
          <w:tcPr>
            <w:tcW w:w="1705" w:type="dxa"/>
            <w:vAlign w:val="center"/>
          </w:tcPr>
          <w:p w14:paraId="33624F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25</w:t>
            </w:r>
          </w:p>
        </w:tc>
      </w:tr>
      <w:tr w14:paraId="59E7C6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4" w:hRule="atLeast"/>
        </w:trPr>
        <w:tc>
          <w:tcPr>
            <w:tcW w:w="5353" w:type="dxa"/>
            <w:gridSpan w:val="3"/>
            <w:vAlign w:val="center"/>
          </w:tcPr>
          <w:p w14:paraId="242B28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ascii="Calibri" w:hAnsi="Calibri" w:eastAsia="仿宋_GB2312"/>
                <w:sz w:val="28"/>
                <w:szCs w:val="28"/>
              </w:rPr>
              <w:t>合计</w:t>
            </w:r>
          </w:p>
        </w:tc>
        <w:tc>
          <w:tcPr>
            <w:tcW w:w="1464" w:type="dxa"/>
            <w:vAlign w:val="center"/>
          </w:tcPr>
          <w:p w14:paraId="4901951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100</w:t>
            </w:r>
          </w:p>
        </w:tc>
        <w:tc>
          <w:tcPr>
            <w:tcW w:w="1705" w:type="dxa"/>
            <w:vAlign w:val="center"/>
          </w:tcPr>
          <w:p w14:paraId="175B081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200"/>
              <w:jc w:val="center"/>
              <w:rPr>
                <w:rFonts w:ascii="Calibri" w:hAnsi="Calibri" w:eastAsia="仿宋_GB2312"/>
                <w:sz w:val="28"/>
                <w:szCs w:val="28"/>
              </w:rPr>
            </w:pPr>
            <w:r>
              <w:rPr>
                <w:rFonts w:hint="eastAsia" w:ascii="Calibri" w:hAnsi="Calibri" w:eastAsia="仿宋_GB2312"/>
                <w:sz w:val="28"/>
                <w:szCs w:val="28"/>
              </w:rPr>
              <w:t>97</w:t>
            </w:r>
          </w:p>
        </w:tc>
      </w:tr>
    </w:tbl>
    <w:p w14:paraId="35D70EF5">
      <w:pPr>
        <w:spacing w:line="600" w:lineRule="exact"/>
        <w:ind w:firstLine="640" w:firstLineChars="200"/>
        <w:rPr>
          <w:rFonts w:eastAsia="黑体"/>
          <w:bCs/>
          <w:sz w:val="32"/>
          <w:szCs w:val="32"/>
        </w:rPr>
      </w:pPr>
      <w:r>
        <w:rPr>
          <w:rFonts w:eastAsia="黑体"/>
          <w:bCs/>
          <w:sz w:val="32"/>
          <w:szCs w:val="32"/>
        </w:rPr>
        <w:t>五、其他需要说明的问题</w:t>
      </w:r>
    </w:p>
    <w:p w14:paraId="7E641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无。</w:t>
      </w:r>
    </w:p>
    <w:p w14:paraId="456D297E">
      <w:pPr>
        <w:spacing w:line="600" w:lineRule="exact"/>
        <w:ind w:firstLine="4160" w:firstLineChars="1300"/>
        <w:rPr>
          <w:rFonts w:ascii="Courier New" w:hAnsi="Courier New" w:eastAsia="仿宋_GB2312" w:cs="Courier New"/>
          <w:sz w:val="32"/>
          <w:szCs w:val="32"/>
        </w:rPr>
      </w:pPr>
    </w:p>
    <w:p w14:paraId="0D06CC66">
      <w:pPr>
        <w:pStyle w:val="6"/>
        <w:spacing w:before="93"/>
        <w:rPr>
          <w:rFonts w:hAnsi="宋体" w:cs="宋体"/>
          <w:sz w:val="32"/>
          <w:szCs w:val="32"/>
          <w:shd w:val="clear" w:color="auto" w:fill="FFFFFF"/>
          <w:lang w:val="zh-CN"/>
        </w:rPr>
      </w:pPr>
    </w:p>
    <w:p w14:paraId="1281AA8F">
      <w:pPr>
        <w:pStyle w:val="2"/>
        <w:rPr>
          <w:rFonts w:hAnsi="宋体" w:cs="宋体"/>
          <w:b/>
          <w:bCs/>
          <w:kern w:val="0"/>
          <w:sz w:val="32"/>
          <w:szCs w:val="32"/>
          <w:shd w:val="clear" w:color="auto" w:fill="FFFFFF"/>
        </w:rPr>
      </w:pPr>
      <w:r>
        <w:rPr>
          <w:rFonts w:hint="eastAsia" w:ascii="仿宋_GB2312" w:hAnsi="仿宋_GB2312" w:eastAsia="仿宋_GB2312" w:cs="仿宋_GB2312"/>
          <w:b/>
          <w:bCs/>
          <w:spacing w:val="1"/>
          <w:sz w:val="32"/>
          <w:szCs w:val="32"/>
        </w:rPr>
        <w:t>附件2-2</w:t>
      </w:r>
    </w:p>
    <w:p w14:paraId="60A7AEED">
      <w:pPr>
        <w:kinsoku w:val="0"/>
        <w:overflowPunct w:val="0"/>
        <w:spacing w:line="560" w:lineRule="exact"/>
        <w:ind w:firstLine="724" w:firstLineChars="200"/>
        <w:jc w:val="center"/>
        <w:rPr>
          <w:rFonts w:ascii="方正小标宋简体" w:eastAsia="方正小标宋简体"/>
          <w:spacing w:val="1"/>
          <w:sz w:val="36"/>
          <w:szCs w:val="36"/>
        </w:rPr>
      </w:pPr>
      <w:r>
        <w:rPr>
          <w:rFonts w:hint="eastAsia" w:ascii="方正小标宋简体" w:eastAsia="方正小标宋简体"/>
          <w:spacing w:val="1"/>
          <w:sz w:val="36"/>
          <w:szCs w:val="36"/>
        </w:rPr>
        <w:t>沐川县综合行政执法局</w:t>
      </w:r>
    </w:p>
    <w:p w14:paraId="63BA567C">
      <w:pPr>
        <w:kinsoku w:val="0"/>
        <w:overflowPunct w:val="0"/>
        <w:spacing w:line="560" w:lineRule="exact"/>
        <w:ind w:firstLine="724" w:firstLineChars="200"/>
        <w:jc w:val="center"/>
        <w:rPr>
          <w:rFonts w:ascii="方正小标宋简体" w:eastAsia="方正小标宋简体"/>
          <w:spacing w:val="1"/>
          <w:sz w:val="36"/>
          <w:szCs w:val="36"/>
        </w:rPr>
      </w:pPr>
      <w:r>
        <w:rPr>
          <w:rFonts w:hint="eastAsia" w:ascii="方正小标宋简体" w:eastAsia="方正小标宋简体"/>
          <w:spacing w:val="1"/>
          <w:sz w:val="36"/>
          <w:szCs w:val="36"/>
        </w:rPr>
        <w:t>2022年度政务运转工作经费项目支出绩效</w:t>
      </w:r>
    </w:p>
    <w:p w14:paraId="40D84670">
      <w:pPr>
        <w:kinsoku w:val="0"/>
        <w:overflowPunct w:val="0"/>
        <w:spacing w:line="560" w:lineRule="exact"/>
        <w:ind w:firstLine="724" w:firstLineChars="200"/>
        <w:jc w:val="center"/>
        <w:rPr>
          <w:rFonts w:ascii="方正小标宋简体" w:eastAsia="方正小标宋简体"/>
          <w:spacing w:val="1"/>
          <w:sz w:val="36"/>
          <w:szCs w:val="36"/>
        </w:rPr>
      </w:pPr>
      <w:r>
        <w:rPr>
          <w:rFonts w:hint="eastAsia" w:ascii="方正小标宋简体" w:eastAsia="方正小标宋简体"/>
          <w:spacing w:val="1"/>
          <w:sz w:val="36"/>
          <w:szCs w:val="36"/>
        </w:rPr>
        <w:t>自评报告</w:t>
      </w:r>
    </w:p>
    <w:p w14:paraId="73E517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firstLine="480" w:firstLineChars="200"/>
        <w:jc w:val="left"/>
        <w:rPr>
          <w:rFonts w:ascii="宋体" w:hAnsi="宋体" w:cs="宋体"/>
          <w:sz w:val="24"/>
        </w:rPr>
      </w:pPr>
    </w:p>
    <w:p w14:paraId="2734B683">
      <w:pPr>
        <w:spacing w:line="600" w:lineRule="exact"/>
        <w:ind w:firstLine="640" w:firstLineChars="200"/>
        <w:rPr>
          <w:rFonts w:eastAsia="黑体"/>
          <w:bCs/>
          <w:sz w:val="32"/>
          <w:szCs w:val="32"/>
        </w:rPr>
      </w:pPr>
      <w:r>
        <w:rPr>
          <w:rFonts w:eastAsia="黑体"/>
          <w:bCs/>
          <w:sz w:val="32"/>
          <w:szCs w:val="32"/>
        </w:rPr>
        <w:t>一、项目基本情况</w:t>
      </w:r>
    </w:p>
    <w:p w14:paraId="1D4CDD3F">
      <w:pPr>
        <w:spacing w:line="600" w:lineRule="exact"/>
        <w:ind w:firstLine="643" w:firstLineChars="200"/>
        <w:outlineLvl w:val="0"/>
        <w:rPr>
          <w:rFonts w:eastAsia="楷体_GB2312"/>
          <w:b/>
          <w:sz w:val="32"/>
          <w:szCs w:val="32"/>
        </w:rPr>
      </w:pPr>
      <w:r>
        <w:rPr>
          <w:rFonts w:eastAsia="楷体_GB2312"/>
          <w:b/>
          <w:sz w:val="32"/>
          <w:szCs w:val="32"/>
        </w:rPr>
        <w:t>（一）绩效目标情况。</w:t>
      </w:r>
    </w:p>
    <w:p w14:paraId="570082E9">
      <w:pPr>
        <w:spacing w:line="600" w:lineRule="exact"/>
        <w:ind w:firstLine="640" w:firstLineChars="200"/>
        <w:outlineLvl w:val="0"/>
        <w:rPr>
          <w:rFonts w:eastAsia="楷体_GB2312"/>
          <w:sz w:val="32"/>
          <w:szCs w:val="32"/>
        </w:rPr>
      </w:pPr>
      <w:r>
        <w:rPr>
          <w:rFonts w:hint="eastAsia" w:ascii="仿宋_GB2312" w:hAnsi="宋体" w:eastAsia="仿宋_GB2312" w:cs="宋体"/>
          <w:sz w:val="32"/>
          <w:szCs w:val="32"/>
        </w:rPr>
        <w:t>政务运转工作经费为政务运转类项目，该项目主要用于临聘协助执法人员工资、社会保险缴费和弥补综合行政执法公用经费不足。通过项目实施，稳步推进综合行政执法改革，切实履行综合行政执法职责，完善执法体系建设，积极参与县重点工作的推进，全面扎实推进了党建工作。</w:t>
      </w:r>
    </w:p>
    <w:p w14:paraId="72BF8C64">
      <w:pPr>
        <w:spacing w:line="600" w:lineRule="exact"/>
        <w:ind w:firstLine="643" w:firstLineChars="200"/>
        <w:outlineLvl w:val="0"/>
        <w:rPr>
          <w:rFonts w:eastAsia="楷体_GB2312"/>
          <w:b/>
          <w:sz w:val="32"/>
          <w:szCs w:val="32"/>
        </w:rPr>
      </w:pPr>
      <w:r>
        <w:rPr>
          <w:rFonts w:eastAsia="楷体_GB2312"/>
          <w:b/>
          <w:sz w:val="32"/>
          <w:szCs w:val="32"/>
        </w:rPr>
        <w:t>（二）资金安排情况。</w:t>
      </w:r>
    </w:p>
    <w:p w14:paraId="7263F2D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rPr>
      </w:pPr>
      <w:r>
        <w:rPr>
          <w:rFonts w:hint="eastAsia" w:ascii="仿宋_GB2312" w:hAnsi="宋体" w:eastAsia="仿宋_GB2312" w:cs="宋体"/>
          <w:color w:val="000000"/>
          <w:kern w:val="0"/>
          <w:sz w:val="32"/>
          <w:szCs w:val="32"/>
          <w:shd w:val="clear" w:color="auto" w:fill="FFFFFF"/>
          <w:lang w:val="zh-CN"/>
        </w:rPr>
        <w:t>根据《沐川县财政局关于批复2022年部门预算的通知》（沐财发〔2022〕23号）文件，县财政局下达我单位</w:t>
      </w:r>
      <w:r>
        <w:rPr>
          <w:rFonts w:hint="eastAsia" w:ascii="仿宋_GB2312" w:hAnsi="宋体" w:eastAsia="仿宋_GB2312" w:cs="宋体"/>
          <w:sz w:val="32"/>
          <w:szCs w:val="32"/>
        </w:rPr>
        <w:t>政务运转工作经费项目年初预算收入108.00万元，该项目资金均为县级财政资金，</w:t>
      </w:r>
      <w:r>
        <w:rPr>
          <w:rFonts w:ascii="仿宋_GB2312" w:hAnsi="宋体" w:eastAsia="仿宋_GB2312" w:cs="宋体"/>
          <w:sz w:val="32"/>
          <w:szCs w:val="32"/>
        </w:rPr>
        <w:t>主要是一般公共预算</w:t>
      </w:r>
      <w:r>
        <w:rPr>
          <w:rFonts w:hint="eastAsia" w:ascii="仿宋_GB2312" w:hAnsi="宋体" w:eastAsia="仿宋_GB2312" w:cs="宋体"/>
          <w:sz w:val="32"/>
          <w:szCs w:val="32"/>
        </w:rPr>
        <w:t>财政</w:t>
      </w:r>
      <w:r>
        <w:rPr>
          <w:rFonts w:ascii="仿宋_GB2312" w:hAnsi="宋体" w:eastAsia="仿宋_GB2312" w:cs="宋体"/>
          <w:sz w:val="32"/>
          <w:szCs w:val="32"/>
        </w:rPr>
        <w:t>拨款收入</w:t>
      </w:r>
      <w:r>
        <w:rPr>
          <w:rFonts w:hint="eastAsia" w:ascii="仿宋_GB2312" w:hAnsi="宋体" w:eastAsia="仿宋_GB2312" w:cs="宋体"/>
          <w:sz w:val="32"/>
          <w:szCs w:val="32"/>
        </w:rPr>
        <w:t xml:space="preserve">。 </w:t>
      </w:r>
    </w:p>
    <w:p w14:paraId="373FC094">
      <w:pPr>
        <w:spacing w:line="600" w:lineRule="exact"/>
        <w:ind w:firstLine="640" w:firstLineChars="200"/>
        <w:rPr>
          <w:rFonts w:eastAsia="黑体"/>
          <w:bCs/>
          <w:sz w:val="32"/>
          <w:szCs w:val="32"/>
        </w:rPr>
      </w:pPr>
      <w:r>
        <w:rPr>
          <w:rFonts w:eastAsia="黑体"/>
          <w:bCs/>
          <w:sz w:val="32"/>
          <w:szCs w:val="32"/>
        </w:rPr>
        <w:t>二、绩效目标完成情况分析</w:t>
      </w:r>
    </w:p>
    <w:p w14:paraId="3CED62C5">
      <w:pPr>
        <w:spacing w:line="600" w:lineRule="exact"/>
        <w:ind w:firstLine="643" w:firstLineChars="200"/>
        <w:outlineLvl w:val="0"/>
        <w:rPr>
          <w:rFonts w:eastAsia="楷体_GB2312"/>
          <w:b/>
          <w:sz w:val="32"/>
          <w:szCs w:val="32"/>
        </w:rPr>
      </w:pPr>
      <w:r>
        <w:rPr>
          <w:rFonts w:eastAsia="楷体_GB2312"/>
          <w:b/>
          <w:sz w:val="32"/>
          <w:szCs w:val="32"/>
        </w:rPr>
        <w:t>（一）预算执行进度情况分析。</w:t>
      </w:r>
    </w:p>
    <w:p w14:paraId="55E2FA1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rPr>
      </w:pPr>
      <w:r>
        <w:rPr>
          <w:rFonts w:ascii="仿宋_GB2312" w:hAnsi="宋体" w:eastAsia="仿宋_GB2312" w:cs="宋体"/>
          <w:sz w:val="32"/>
          <w:szCs w:val="32"/>
        </w:rPr>
        <w:t>本单位</w:t>
      </w:r>
      <w:r>
        <w:rPr>
          <w:rFonts w:hint="eastAsia" w:ascii="仿宋_GB2312" w:hAnsi="宋体" w:eastAsia="仿宋_GB2312" w:cs="宋体"/>
          <w:sz w:val="32"/>
          <w:szCs w:val="32"/>
        </w:rPr>
        <w:t>2022年按预算批复文件合理安排支出，按月申报用款计划，项目资金申报与实际实施内容相符，申报目标合理可行。截止2022年底，政务运转工作经费项目支出决算数98.31万元，主要用于其他工资福利支出、办公费、差旅费、委托业务费、工会经费、其他商品服务支出、办公设备和专用设备购置等。资金支付与预算相符。在预算执行过程中，我单位严格按相关规定和要求执行，无无预算、无用款计划、超预算和超计划拨付资金的情况。认真做好项目前期准备工作，及时向财政提交相关资料审核，加强项目支出进度。在完善预算动态监控的情况下，确保项目的实施。</w:t>
      </w:r>
    </w:p>
    <w:p w14:paraId="0C110E20">
      <w:pPr>
        <w:spacing w:line="600" w:lineRule="exact"/>
        <w:ind w:firstLine="643" w:firstLineChars="200"/>
        <w:outlineLvl w:val="0"/>
        <w:rPr>
          <w:rFonts w:eastAsia="仿宋_GB2312"/>
          <w:sz w:val="32"/>
          <w:szCs w:val="32"/>
        </w:rPr>
      </w:pPr>
      <w:r>
        <w:rPr>
          <w:rFonts w:eastAsia="楷体_GB2312"/>
          <w:b/>
          <w:sz w:val="32"/>
          <w:szCs w:val="32"/>
        </w:rPr>
        <w:t>（二）总体绩效目标完成情况分析。</w:t>
      </w:r>
    </w:p>
    <w:p w14:paraId="5FF2DF7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rPr>
      </w:pPr>
      <w:r>
        <w:rPr>
          <w:rFonts w:ascii="仿宋_GB2312" w:hAnsi="宋体" w:eastAsia="仿宋_GB2312" w:cs="宋体"/>
          <w:sz w:val="32"/>
          <w:szCs w:val="32"/>
        </w:rPr>
        <w:t>年度内全面完成</w:t>
      </w:r>
      <w:r>
        <w:rPr>
          <w:rFonts w:hint="eastAsia" w:ascii="仿宋_GB2312" w:hAnsi="宋体" w:eastAsia="仿宋_GB2312" w:cs="宋体"/>
          <w:sz w:val="32"/>
          <w:szCs w:val="32"/>
        </w:rPr>
        <w:t>政务运转工作经费项目年初预算各项费用支出，无拖欠、截留、挪用项目资金的情况。项目的实施，稳步推进综合行政执法改革，全面加强干部队伍建设，着力提升行政执法能力，促进了市场监管、交通、城市管理、农业、林业、文化旅游六个领域的依法行政工作顺利开展，圆满完成单位年度各项目标任务，基本得到既定目标，社会效益和可持续性效益显著，社会满意度较高。</w:t>
      </w:r>
    </w:p>
    <w:p w14:paraId="4ED1CA85">
      <w:pPr>
        <w:adjustRightInd w:val="0"/>
        <w:snapToGrid w:val="0"/>
        <w:spacing w:line="600" w:lineRule="exact"/>
        <w:ind w:firstLine="643" w:firstLineChars="200"/>
        <w:rPr>
          <w:rFonts w:eastAsia="仿宋_GB2312"/>
          <w:sz w:val="32"/>
          <w:szCs w:val="32"/>
          <w:lang w:val="zh-CN"/>
        </w:rPr>
      </w:pPr>
      <w:r>
        <w:rPr>
          <w:rFonts w:eastAsia="楷体_GB2312"/>
          <w:b/>
          <w:sz w:val="32"/>
          <w:szCs w:val="32"/>
        </w:rPr>
        <w:t>（三）绩效指标完成情况分析。</w:t>
      </w:r>
    </w:p>
    <w:p w14:paraId="6D6BBBD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该项目年初预算收入108.00万元，</w:t>
      </w:r>
      <w:r>
        <w:rPr>
          <w:rFonts w:hint="eastAsia" w:ascii="仿宋_GB2312" w:hAnsi="宋体" w:eastAsia="仿宋_GB2312" w:cs="宋体"/>
          <w:sz w:val="32"/>
          <w:szCs w:val="32"/>
        </w:rPr>
        <w:t>实际申报使用项目资金98.31万元。预算执行率91.03%，年末无结转结余。项目支出</w:t>
      </w:r>
      <w:r>
        <w:rPr>
          <w:rFonts w:hint="eastAsia" w:ascii="仿宋_GB2312" w:hAnsi="宋体" w:eastAsia="仿宋_GB2312" w:cs="宋体"/>
          <w:bCs/>
          <w:sz w:val="32"/>
          <w:szCs w:val="32"/>
        </w:rPr>
        <w:t>绩效良好，无违规记录。产出指标完成情况如下：</w:t>
      </w:r>
    </w:p>
    <w:p w14:paraId="4B4E5E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1.数量指标</w:t>
      </w:r>
    </w:p>
    <w:p w14:paraId="768ABB6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（1）全年查处各项行政违法行为1000余起。（2）行政执法日常巡查完成率100%。（3）行政执法违法案件查处率100%。（4）全年投入执法人员约14000人/次。</w:t>
      </w:r>
    </w:p>
    <w:p w14:paraId="126BB4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2.质量指标</w:t>
      </w:r>
    </w:p>
    <w:p w14:paraId="358D3F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（1）全年安全事故发生率为0。（2）工作完成达标率100%。</w:t>
      </w:r>
    </w:p>
    <w:p w14:paraId="5F3343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3.时效指标</w:t>
      </w:r>
    </w:p>
    <w:p w14:paraId="099D96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行政案件查处及时率100%</w:t>
      </w:r>
    </w:p>
    <w:p w14:paraId="2BA859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4.成本指标</w:t>
      </w:r>
    </w:p>
    <w:p w14:paraId="6C557DB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 xml:space="preserve">综合执法运转经费保障100%。 </w:t>
      </w:r>
    </w:p>
    <w:p w14:paraId="424544ED">
      <w:pPr>
        <w:spacing w:line="600" w:lineRule="exact"/>
        <w:ind w:firstLine="643" w:firstLineChars="200"/>
        <w:outlineLvl w:val="0"/>
        <w:rPr>
          <w:rFonts w:eastAsia="仿宋_GB2312"/>
          <w:sz w:val="32"/>
          <w:szCs w:val="32"/>
        </w:rPr>
      </w:pPr>
      <w:r>
        <w:rPr>
          <w:rFonts w:eastAsia="楷体_GB2312"/>
          <w:b/>
          <w:sz w:val="32"/>
          <w:szCs w:val="32"/>
        </w:rPr>
        <w:t>（四）项目效益分析。</w:t>
      </w:r>
    </w:p>
    <w:p w14:paraId="3ACC57E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效益指标完成情况如下：</w:t>
      </w:r>
    </w:p>
    <w:p w14:paraId="7C739B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1.社会效益指标</w:t>
      </w:r>
    </w:p>
    <w:p w14:paraId="7BE435C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（1）对行政违法行为打击作用增强。（2）规范市场、交通、城市管理、农业、林业、文旅领域执法监管，共建和谐社会长期有效。</w:t>
      </w:r>
    </w:p>
    <w:p w14:paraId="29BC3B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2.经济效益指标</w:t>
      </w:r>
    </w:p>
    <w:p w14:paraId="07A4DB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有效降低行政执法成本。</w:t>
      </w:r>
    </w:p>
    <w:p w14:paraId="67249B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3.可持续性影响指标</w:t>
      </w:r>
    </w:p>
    <w:p w14:paraId="30D0A6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保障了综合执法工作持续有效开展，行业执法监管效能明显提高。</w:t>
      </w:r>
    </w:p>
    <w:p w14:paraId="119AEB12">
      <w:pPr>
        <w:spacing w:line="600" w:lineRule="exact"/>
        <w:ind w:firstLine="640" w:firstLineChars="200"/>
        <w:rPr>
          <w:rFonts w:eastAsia="仿宋_GB2312"/>
          <w:sz w:val="32"/>
          <w:szCs w:val="32"/>
        </w:rPr>
      </w:pPr>
      <w:r>
        <w:rPr>
          <w:rFonts w:eastAsia="黑体"/>
          <w:bCs/>
          <w:sz w:val="32"/>
          <w:szCs w:val="32"/>
        </w:rPr>
        <w:t>三、偏离绩效目标的原因和下一步改进措施</w:t>
      </w:r>
    </w:p>
    <w:p w14:paraId="0073DEE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项目偏离在合理范围内，基本完成预设目标。</w:t>
      </w:r>
    </w:p>
    <w:p w14:paraId="77299421">
      <w:pPr>
        <w:spacing w:line="600" w:lineRule="exact"/>
        <w:ind w:firstLine="640" w:firstLineChars="200"/>
        <w:rPr>
          <w:rFonts w:eastAsia="黑体"/>
          <w:bCs/>
          <w:sz w:val="32"/>
          <w:szCs w:val="32"/>
        </w:rPr>
      </w:pPr>
      <w:r>
        <w:rPr>
          <w:rFonts w:eastAsia="黑体"/>
          <w:bCs/>
          <w:sz w:val="32"/>
          <w:szCs w:val="32"/>
        </w:rPr>
        <w:t>四、绩效自评结果拟应用和公开情况</w:t>
      </w:r>
    </w:p>
    <w:p w14:paraId="6358F13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rPr>
          <w:rFonts w:ascii="仿宋_GB2312" w:hAnsi="宋体" w:eastAsia="仿宋_GB2312" w:cs="宋体"/>
          <w:sz w:val="32"/>
          <w:szCs w:val="32"/>
        </w:rPr>
      </w:pPr>
      <w:r>
        <w:rPr>
          <w:rFonts w:eastAsia="仿宋_GB2312"/>
          <w:sz w:val="32"/>
          <w:szCs w:val="32"/>
        </w:rPr>
        <w:t>从总体上看</w:t>
      </w:r>
      <w:r>
        <w:rPr>
          <w:rFonts w:hint="eastAsia" w:eastAsia="仿宋_GB2312"/>
          <w:sz w:val="32"/>
          <w:szCs w:val="32"/>
        </w:rPr>
        <w:t>，</w:t>
      </w:r>
      <w:r>
        <w:rPr>
          <w:rFonts w:eastAsia="仿宋_GB2312"/>
          <w:sz w:val="32"/>
          <w:szCs w:val="32"/>
        </w:rPr>
        <w:t>该项目政策依据充分</w:t>
      </w:r>
      <w:r>
        <w:rPr>
          <w:rFonts w:hint="eastAsia" w:eastAsia="仿宋_GB2312"/>
          <w:sz w:val="32"/>
          <w:szCs w:val="32"/>
        </w:rPr>
        <w:t>，</w:t>
      </w:r>
      <w:r>
        <w:rPr>
          <w:rFonts w:eastAsia="仿宋_GB2312"/>
          <w:sz w:val="32"/>
          <w:szCs w:val="32"/>
        </w:rPr>
        <w:t>项目的设立经过严格的评估论证</w:t>
      </w:r>
      <w:r>
        <w:rPr>
          <w:rFonts w:hint="eastAsia" w:eastAsia="仿宋_GB2312"/>
          <w:sz w:val="32"/>
          <w:szCs w:val="32"/>
        </w:rPr>
        <w:t>，与部门职责相适应；项目规划符合年度目标；项目资金使用符合相关财务管理的规定；实施程序符合项目方案。</w:t>
      </w:r>
      <w:r>
        <w:rPr>
          <w:rFonts w:hint="eastAsia" w:ascii="仿宋_GB2312" w:hAnsi="宋体" w:eastAsia="仿宋_GB2312" w:cs="宋体"/>
          <w:sz w:val="32"/>
          <w:szCs w:val="32"/>
        </w:rPr>
        <w:t>经自评，政务运转工作经费项目自评得分96分，评价等级为“优 ”。2023年该项目继续使用，预计安排预算108.00万元。项目自评结果按规定时间于政府网站公开。项目支出得分明细如下所示：</w:t>
      </w:r>
    </w:p>
    <w:p w14:paraId="68492D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1606" w:firstLineChars="500"/>
        <w:rPr>
          <w:rFonts w:ascii="仿宋_GB2312" w:hAnsi="宋体" w:eastAsia="仿宋_GB2312" w:cs="宋体"/>
          <w:b/>
          <w:sz w:val="32"/>
          <w:szCs w:val="32"/>
        </w:rPr>
      </w:pPr>
      <w:r>
        <w:rPr>
          <w:rFonts w:hint="eastAsia" w:ascii="仿宋_GB2312" w:hAnsi="宋体" w:eastAsia="仿宋_GB2312" w:cs="宋体"/>
          <w:b/>
          <w:sz w:val="32"/>
          <w:szCs w:val="32"/>
        </w:rPr>
        <w:t>政务运转工作经费项目支出得分表</w:t>
      </w:r>
    </w:p>
    <w:tbl>
      <w:tblPr>
        <w:tblStyle w:val="1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04"/>
        <w:gridCol w:w="1704"/>
        <w:gridCol w:w="1945"/>
        <w:gridCol w:w="1464"/>
        <w:gridCol w:w="1705"/>
      </w:tblGrid>
      <w:tr w14:paraId="4C017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trPr>
        <w:tc>
          <w:tcPr>
            <w:tcW w:w="5353" w:type="dxa"/>
            <w:gridSpan w:val="3"/>
            <w:vAlign w:val="center"/>
          </w:tcPr>
          <w:p w14:paraId="052B6C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b/>
                <w:sz w:val="32"/>
                <w:szCs w:val="32"/>
              </w:rPr>
            </w:pPr>
            <w:r>
              <w:rPr>
                <w:rFonts w:hint="eastAsia" w:ascii="仿宋_GB2312" w:hAnsi="Calibri" w:eastAsia="仿宋_GB2312"/>
                <w:b/>
                <w:sz w:val="32"/>
                <w:szCs w:val="32"/>
              </w:rPr>
              <w:t>绩效指标</w:t>
            </w:r>
          </w:p>
        </w:tc>
        <w:tc>
          <w:tcPr>
            <w:tcW w:w="1464" w:type="dxa"/>
            <w:vMerge w:val="restart"/>
            <w:vAlign w:val="center"/>
          </w:tcPr>
          <w:p w14:paraId="4950A6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b/>
                <w:sz w:val="32"/>
                <w:szCs w:val="32"/>
              </w:rPr>
            </w:pPr>
            <w:r>
              <w:rPr>
                <w:rFonts w:hint="eastAsia" w:ascii="仿宋_GB2312" w:hAnsi="Calibri" w:eastAsia="仿宋_GB2312"/>
                <w:b/>
                <w:sz w:val="32"/>
                <w:szCs w:val="32"/>
              </w:rPr>
              <w:t>指标分值</w:t>
            </w:r>
          </w:p>
        </w:tc>
        <w:tc>
          <w:tcPr>
            <w:tcW w:w="1705" w:type="dxa"/>
            <w:vMerge w:val="restart"/>
            <w:vAlign w:val="center"/>
          </w:tcPr>
          <w:p w14:paraId="0CBA66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b/>
                <w:sz w:val="32"/>
                <w:szCs w:val="32"/>
              </w:rPr>
            </w:pPr>
            <w:r>
              <w:rPr>
                <w:rFonts w:hint="eastAsia" w:ascii="仿宋_GB2312" w:hAnsi="Calibri" w:eastAsia="仿宋_GB2312"/>
                <w:b/>
                <w:sz w:val="32"/>
                <w:szCs w:val="32"/>
              </w:rPr>
              <w:t>得分</w:t>
            </w:r>
          </w:p>
        </w:tc>
      </w:tr>
      <w:tr w14:paraId="2A080A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4" w:hRule="atLeast"/>
        </w:trPr>
        <w:tc>
          <w:tcPr>
            <w:tcW w:w="1704" w:type="dxa"/>
            <w:vAlign w:val="center"/>
          </w:tcPr>
          <w:p w14:paraId="5EF62E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b/>
                <w:sz w:val="32"/>
                <w:szCs w:val="32"/>
              </w:rPr>
            </w:pPr>
            <w:r>
              <w:rPr>
                <w:rFonts w:hint="eastAsia" w:ascii="仿宋_GB2312" w:hAnsi="Calibri" w:eastAsia="仿宋_GB2312"/>
                <w:b/>
                <w:sz w:val="32"/>
                <w:szCs w:val="32"/>
              </w:rPr>
              <w:t>一级指标</w:t>
            </w:r>
          </w:p>
        </w:tc>
        <w:tc>
          <w:tcPr>
            <w:tcW w:w="1704" w:type="dxa"/>
            <w:vAlign w:val="center"/>
          </w:tcPr>
          <w:p w14:paraId="6F0EE9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b/>
                <w:sz w:val="32"/>
                <w:szCs w:val="32"/>
              </w:rPr>
            </w:pPr>
            <w:r>
              <w:rPr>
                <w:rFonts w:hint="eastAsia" w:ascii="仿宋_GB2312" w:hAnsi="Calibri" w:eastAsia="仿宋_GB2312"/>
                <w:b/>
                <w:sz w:val="32"/>
                <w:szCs w:val="32"/>
              </w:rPr>
              <w:t>二级指标</w:t>
            </w:r>
          </w:p>
        </w:tc>
        <w:tc>
          <w:tcPr>
            <w:tcW w:w="1945" w:type="dxa"/>
            <w:vAlign w:val="center"/>
          </w:tcPr>
          <w:p w14:paraId="1DC05F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b/>
                <w:sz w:val="32"/>
                <w:szCs w:val="32"/>
              </w:rPr>
            </w:pPr>
            <w:r>
              <w:rPr>
                <w:rFonts w:hint="eastAsia" w:ascii="仿宋_GB2312" w:hAnsi="Calibri" w:eastAsia="仿宋_GB2312"/>
                <w:b/>
                <w:sz w:val="32"/>
                <w:szCs w:val="32"/>
              </w:rPr>
              <w:t>三级指标</w:t>
            </w:r>
          </w:p>
        </w:tc>
        <w:tc>
          <w:tcPr>
            <w:tcW w:w="1464" w:type="dxa"/>
            <w:vMerge w:val="continue"/>
            <w:vAlign w:val="center"/>
          </w:tcPr>
          <w:p w14:paraId="2EF306E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5" w:type="dxa"/>
            <w:vMerge w:val="continue"/>
            <w:vAlign w:val="center"/>
          </w:tcPr>
          <w:p w14:paraId="3695C2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r>
      <w:tr w14:paraId="3D36F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restart"/>
            <w:vAlign w:val="center"/>
          </w:tcPr>
          <w:p w14:paraId="01E13B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通用指标</w:t>
            </w:r>
          </w:p>
          <w:p w14:paraId="3EF1707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（30分）</w:t>
            </w:r>
          </w:p>
        </w:tc>
        <w:tc>
          <w:tcPr>
            <w:tcW w:w="1704" w:type="dxa"/>
            <w:vMerge w:val="restart"/>
            <w:vAlign w:val="center"/>
          </w:tcPr>
          <w:p w14:paraId="02403B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项目决策</w:t>
            </w:r>
          </w:p>
        </w:tc>
        <w:tc>
          <w:tcPr>
            <w:tcW w:w="1945" w:type="dxa"/>
            <w:vAlign w:val="center"/>
          </w:tcPr>
          <w:p w14:paraId="69DA82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程序严密</w:t>
            </w:r>
          </w:p>
        </w:tc>
        <w:tc>
          <w:tcPr>
            <w:tcW w:w="1464" w:type="dxa"/>
            <w:vAlign w:val="center"/>
          </w:tcPr>
          <w:p w14:paraId="47FDC2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c>
          <w:tcPr>
            <w:tcW w:w="1705" w:type="dxa"/>
            <w:vAlign w:val="center"/>
          </w:tcPr>
          <w:p w14:paraId="307A6DE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r>
      <w:tr w14:paraId="14E7D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77D4EF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continue"/>
            <w:vAlign w:val="center"/>
          </w:tcPr>
          <w:p w14:paraId="6D750E8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945" w:type="dxa"/>
            <w:vAlign w:val="center"/>
          </w:tcPr>
          <w:p w14:paraId="28417FB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规划合理</w:t>
            </w:r>
          </w:p>
        </w:tc>
        <w:tc>
          <w:tcPr>
            <w:tcW w:w="1464" w:type="dxa"/>
            <w:vAlign w:val="center"/>
          </w:tcPr>
          <w:p w14:paraId="3440D5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c>
          <w:tcPr>
            <w:tcW w:w="1705" w:type="dxa"/>
            <w:vAlign w:val="center"/>
          </w:tcPr>
          <w:p w14:paraId="0FB74F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r>
      <w:tr w14:paraId="278A7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38E8C84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restart"/>
            <w:vAlign w:val="center"/>
          </w:tcPr>
          <w:p w14:paraId="695E6CC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项目实施</w:t>
            </w:r>
          </w:p>
        </w:tc>
        <w:tc>
          <w:tcPr>
            <w:tcW w:w="1945" w:type="dxa"/>
            <w:vAlign w:val="center"/>
          </w:tcPr>
          <w:p w14:paraId="3E8F3A1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分配合理</w:t>
            </w:r>
          </w:p>
        </w:tc>
        <w:tc>
          <w:tcPr>
            <w:tcW w:w="1464" w:type="dxa"/>
            <w:vAlign w:val="center"/>
          </w:tcPr>
          <w:p w14:paraId="092EB7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c>
          <w:tcPr>
            <w:tcW w:w="1705" w:type="dxa"/>
            <w:vAlign w:val="center"/>
          </w:tcPr>
          <w:p w14:paraId="6E3AD9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3</w:t>
            </w:r>
          </w:p>
        </w:tc>
      </w:tr>
      <w:tr w14:paraId="01930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46FE0A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continue"/>
            <w:vAlign w:val="center"/>
          </w:tcPr>
          <w:p w14:paraId="524420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945" w:type="dxa"/>
            <w:vAlign w:val="center"/>
          </w:tcPr>
          <w:p w14:paraId="3D2EF8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使用合规</w:t>
            </w:r>
          </w:p>
        </w:tc>
        <w:tc>
          <w:tcPr>
            <w:tcW w:w="1464" w:type="dxa"/>
            <w:vAlign w:val="center"/>
          </w:tcPr>
          <w:p w14:paraId="49055A3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c>
          <w:tcPr>
            <w:tcW w:w="1705" w:type="dxa"/>
            <w:vAlign w:val="center"/>
          </w:tcPr>
          <w:p w14:paraId="7C8D1F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r>
      <w:tr w14:paraId="498E75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0DC158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continue"/>
            <w:vAlign w:val="center"/>
          </w:tcPr>
          <w:p w14:paraId="096E05F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945" w:type="dxa"/>
            <w:vAlign w:val="center"/>
          </w:tcPr>
          <w:p w14:paraId="5B0ABA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执行有效</w:t>
            </w:r>
          </w:p>
        </w:tc>
        <w:tc>
          <w:tcPr>
            <w:tcW w:w="1464" w:type="dxa"/>
            <w:vAlign w:val="center"/>
          </w:tcPr>
          <w:p w14:paraId="5B19FC1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c>
          <w:tcPr>
            <w:tcW w:w="1705" w:type="dxa"/>
            <w:vAlign w:val="center"/>
          </w:tcPr>
          <w:p w14:paraId="4200DA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3</w:t>
            </w:r>
          </w:p>
        </w:tc>
      </w:tr>
      <w:tr w14:paraId="7513A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21C6E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restart"/>
            <w:vAlign w:val="center"/>
          </w:tcPr>
          <w:p w14:paraId="3F8156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完成结果</w:t>
            </w:r>
          </w:p>
        </w:tc>
        <w:tc>
          <w:tcPr>
            <w:tcW w:w="1945" w:type="dxa"/>
            <w:vAlign w:val="center"/>
          </w:tcPr>
          <w:p w14:paraId="0A5BAF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预算完成</w:t>
            </w:r>
          </w:p>
        </w:tc>
        <w:tc>
          <w:tcPr>
            <w:tcW w:w="1464" w:type="dxa"/>
            <w:vAlign w:val="center"/>
          </w:tcPr>
          <w:p w14:paraId="43A6807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c>
          <w:tcPr>
            <w:tcW w:w="1705" w:type="dxa"/>
            <w:vAlign w:val="center"/>
          </w:tcPr>
          <w:p w14:paraId="24A5BC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3</w:t>
            </w:r>
          </w:p>
        </w:tc>
      </w:tr>
      <w:tr w14:paraId="716DD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7FD0A68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continue"/>
            <w:vAlign w:val="center"/>
          </w:tcPr>
          <w:p w14:paraId="0E6571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945" w:type="dxa"/>
            <w:vAlign w:val="center"/>
          </w:tcPr>
          <w:p w14:paraId="2E773E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目标完成</w:t>
            </w:r>
          </w:p>
        </w:tc>
        <w:tc>
          <w:tcPr>
            <w:tcW w:w="1464" w:type="dxa"/>
            <w:vAlign w:val="center"/>
          </w:tcPr>
          <w:p w14:paraId="59E8592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c>
          <w:tcPr>
            <w:tcW w:w="1705" w:type="dxa"/>
            <w:vAlign w:val="center"/>
          </w:tcPr>
          <w:p w14:paraId="2F87DC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r>
      <w:tr w14:paraId="60554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45EBCD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continue"/>
            <w:vAlign w:val="center"/>
          </w:tcPr>
          <w:p w14:paraId="453C0B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945" w:type="dxa"/>
            <w:vAlign w:val="center"/>
          </w:tcPr>
          <w:p w14:paraId="3AF6C5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违规记录</w:t>
            </w:r>
          </w:p>
        </w:tc>
        <w:tc>
          <w:tcPr>
            <w:tcW w:w="1464" w:type="dxa"/>
            <w:vAlign w:val="center"/>
          </w:tcPr>
          <w:p w14:paraId="0222C75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2</w:t>
            </w:r>
          </w:p>
        </w:tc>
        <w:tc>
          <w:tcPr>
            <w:tcW w:w="1705" w:type="dxa"/>
            <w:vAlign w:val="center"/>
          </w:tcPr>
          <w:p w14:paraId="66B1E0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2</w:t>
            </w:r>
          </w:p>
        </w:tc>
      </w:tr>
      <w:tr w14:paraId="51D69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restart"/>
            <w:vAlign w:val="center"/>
          </w:tcPr>
          <w:p w14:paraId="57E623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共性指标</w:t>
            </w:r>
          </w:p>
          <w:p w14:paraId="53B9025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（20分）</w:t>
            </w:r>
          </w:p>
        </w:tc>
        <w:tc>
          <w:tcPr>
            <w:tcW w:w="1704" w:type="dxa"/>
            <w:vMerge w:val="restart"/>
            <w:vAlign w:val="center"/>
          </w:tcPr>
          <w:p w14:paraId="573568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项目效果</w:t>
            </w:r>
          </w:p>
        </w:tc>
        <w:tc>
          <w:tcPr>
            <w:tcW w:w="1945" w:type="dxa"/>
            <w:vAlign w:val="center"/>
          </w:tcPr>
          <w:p w14:paraId="3653EAA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区域均衡性</w:t>
            </w:r>
          </w:p>
        </w:tc>
        <w:tc>
          <w:tcPr>
            <w:tcW w:w="1464" w:type="dxa"/>
            <w:vAlign w:val="center"/>
          </w:tcPr>
          <w:p w14:paraId="5A1558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6</w:t>
            </w:r>
          </w:p>
        </w:tc>
        <w:tc>
          <w:tcPr>
            <w:tcW w:w="1705" w:type="dxa"/>
            <w:vAlign w:val="center"/>
          </w:tcPr>
          <w:p w14:paraId="751DAB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6</w:t>
            </w:r>
          </w:p>
        </w:tc>
      </w:tr>
      <w:tr w14:paraId="592B6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05E8DC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continue"/>
            <w:vAlign w:val="center"/>
          </w:tcPr>
          <w:p w14:paraId="5DB79E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945" w:type="dxa"/>
            <w:vAlign w:val="center"/>
          </w:tcPr>
          <w:p w14:paraId="444E0A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对象公平性</w:t>
            </w:r>
          </w:p>
        </w:tc>
        <w:tc>
          <w:tcPr>
            <w:tcW w:w="1464" w:type="dxa"/>
            <w:vAlign w:val="center"/>
          </w:tcPr>
          <w:p w14:paraId="20097A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8</w:t>
            </w:r>
          </w:p>
        </w:tc>
        <w:tc>
          <w:tcPr>
            <w:tcW w:w="1705" w:type="dxa"/>
            <w:vAlign w:val="center"/>
          </w:tcPr>
          <w:p w14:paraId="67BBA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8</w:t>
            </w:r>
          </w:p>
        </w:tc>
      </w:tr>
      <w:tr w14:paraId="289B1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0ACE03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continue"/>
            <w:vAlign w:val="center"/>
          </w:tcPr>
          <w:p w14:paraId="3506D6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945" w:type="dxa"/>
            <w:vAlign w:val="center"/>
          </w:tcPr>
          <w:p w14:paraId="3C4669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社会满意度</w:t>
            </w:r>
          </w:p>
        </w:tc>
        <w:tc>
          <w:tcPr>
            <w:tcW w:w="1464" w:type="dxa"/>
            <w:vAlign w:val="center"/>
          </w:tcPr>
          <w:p w14:paraId="1C2CD9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6</w:t>
            </w:r>
          </w:p>
        </w:tc>
        <w:tc>
          <w:tcPr>
            <w:tcW w:w="1705" w:type="dxa"/>
            <w:vAlign w:val="center"/>
          </w:tcPr>
          <w:p w14:paraId="03CED6D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5</w:t>
            </w:r>
          </w:p>
        </w:tc>
      </w:tr>
      <w:tr w14:paraId="32BB4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restart"/>
          </w:tcPr>
          <w:p w14:paraId="0E489F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rPr>
                <w:rFonts w:ascii="仿宋_GB2312" w:hAnsi="Calibri" w:eastAsia="仿宋_GB2312"/>
                <w:sz w:val="32"/>
                <w:szCs w:val="32"/>
              </w:rPr>
            </w:pPr>
            <w:r>
              <w:rPr>
                <w:rFonts w:hint="eastAsia" w:ascii="仿宋_GB2312" w:hAnsi="Calibri" w:eastAsia="仿宋_GB2312"/>
                <w:sz w:val="32"/>
                <w:szCs w:val="32"/>
              </w:rPr>
              <w:t>特性指标</w:t>
            </w:r>
          </w:p>
          <w:p w14:paraId="4A39C9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rPr>
                <w:rFonts w:ascii="仿宋_GB2312" w:hAnsi="Calibri" w:eastAsia="仿宋_GB2312"/>
                <w:sz w:val="32"/>
                <w:szCs w:val="32"/>
              </w:rPr>
            </w:pPr>
            <w:r>
              <w:rPr>
                <w:rFonts w:hint="eastAsia" w:ascii="仿宋_GB2312" w:hAnsi="Calibri" w:eastAsia="仿宋_GB2312"/>
                <w:sz w:val="32"/>
                <w:szCs w:val="32"/>
              </w:rPr>
              <w:t>（50分）</w:t>
            </w:r>
          </w:p>
        </w:tc>
        <w:tc>
          <w:tcPr>
            <w:tcW w:w="1704" w:type="dxa"/>
          </w:tcPr>
          <w:p w14:paraId="2FAE3C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rPr>
                <w:rFonts w:ascii="仿宋_GB2312" w:hAnsi="Calibri" w:eastAsia="仿宋_GB2312"/>
                <w:sz w:val="32"/>
                <w:szCs w:val="32"/>
              </w:rPr>
            </w:pPr>
            <w:r>
              <w:rPr>
                <w:rFonts w:hint="eastAsia" w:ascii="仿宋_GB2312" w:hAnsi="Calibri" w:eastAsia="仿宋_GB2312"/>
                <w:sz w:val="32"/>
                <w:szCs w:val="32"/>
              </w:rPr>
              <w:t>基础管理</w:t>
            </w:r>
          </w:p>
        </w:tc>
        <w:tc>
          <w:tcPr>
            <w:tcW w:w="1945" w:type="dxa"/>
          </w:tcPr>
          <w:p w14:paraId="3568BA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rPr>
                <w:rFonts w:ascii="仿宋_GB2312" w:hAnsi="Calibri" w:eastAsia="仿宋_GB2312"/>
                <w:sz w:val="32"/>
                <w:szCs w:val="32"/>
              </w:rPr>
            </w:pPr>
            <w:r>
              <w:rPr>
                <w:rFonts w:hint="eastAsia" w:ascii="仿宋_GB2312" w:hAnsi="Calibri" w:eastAsia="仿宋_GB2312"/>
                <w:sz w:val="32"/>
                <w:szCs w:val="32"/>
              </w:rPr>
              <w:t>审核把关</w:t>
            </w:r>
          </w:p>
        </w:tc>
        <w:tc>
          <w:tcPr>
            <w:tcW w:w="1464" w:type="dxa"/>
            <w:vAlign w:val="center"/>
          </w:tcPr>
          <w:p w14:paraId="379D5E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25</w:t>
            </w:r>
          </w:p>
        </w:tc>
        <w:tc>
          <w:tcPr>
            <w:tcW w:w="1705" w:type="dxa"/>
            <w:vAlign w:val="center"/>
          </w:tcPr>
          <w:p w14:paraId="18DF524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25</w:t>
            </w:r>
          </w:p>
        </w:tc>
      </w:tr>
      <w:tr w14:paraId="1FED4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tcPr>
          <w:p w14:paraId="7DAAF5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rPr>
                <w:rFonts w:ascii="仿宋_GB2312" w:hAnsi="Calibri" w:eastAsia="仿宋_GB2312"/>
                <w:sz w:val="32"/>
                <w:szCs w:val="32"/>
              </w:rPr>
            </w:pPr>
          </w:p>
        </w:tc>
        <w:tc>
          <w:tcPr>
            <w:tcW w:w="1704" w:type="dxa"/>
          </w:tcPr>
          <w:p w14:paraId="471038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rPr>
                <w:rFonts w:ascii="仿宋_GB2312" w:hAnsi="Calibri" w:eastAsia="仿宋_GB2312"/>
                <w:sz w:val="32"/>
                <w:szCs w:val="32"/>
              </w:rPr>
            </w:pPr>
            <w:r>
              <w:rPr>
                <w:rFonts w:hint="eastAsia" w:ascii="仿宋_GB2312" w:hAnsi="Calibri" w:eastAsia="仿宋_GB2312"/>
                <w:sz w:val="32"/>
                <w:szCs w:val="32"/>
              </w:rPr>
              <w:t>社会效益</w:t>
            </w:r>
          </w:p>
        </w:tc>
        <w:tc>
          <w:tcPr>
            <w:tcW w:w="1945" w:type="dxa"/>
          </w:tcPr>
          <w:p w14:paraId="46531EB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rPr>
                <w:rFonts w:ascii="仿宋_GB2312" w:hAnsi="Calibri" w:eastAsia="仿宋_GB2312"/>
                <w:sz w:val="32"/>
                <w:szCs w:val="32"/>
              </w:rPr>
            </w:pPr>
            <w:r>
              <w:rPr>
                <w:rFonts w:hint="eastAsia" w:ascii="仿宋_GB2312" w:hAnsi="Calibri" w:eastAsia="仿宋_GB2312"/>
                <w:sz w:val="32"/>
                <w:szCs w:val="32"/>
              </w:rPr>
              <w:t>资金使用率</w:t>
            </w:r>
          </w:p>
        </w:tc>
        <w:tc>
          <w:tcPr>
            <w:tcW w:w="1464" w:type="dxa"/>
            <w:vAlign w:val="center"/>
          </w:tcPr>
          <w:p w14:paraId="221229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25</w:t>
            </w:r>
          </w:p>
        </w:tc>
        <w:tc>
          <w:tcPr>
            <w:tcW w:w="1705" w:type="dxa"/>
            <w:vAlign w:val="center"/>
          </w:tcPr>
          <w:p w14:paraId="180527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25</w:t>
            </w:r>
          </w:p>
        </w:tc>
      </w:tr>
      <w:tr w14:paraId="59295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7" w:hRule="atLeast"/>
        </w:trPr>
        <w:tc>
          <w:tcPr>
            <w:tcW w:w="5353" w:type="dxa"/>
            <w:gridSpan w:val="3"/>
            <w:vAlign w:val="center"/>
          </w:tcPr>
          <w:p w14:paraId="6C58CF3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合计</w:t>
            </w:r>
          </w:p>
        </w:tc>
        <w:tc>
          <w:tcPr>
            <w:tcW w:w="1464" w:type="dxa"/>
            <w:vAlign w:val="center"/>
          </w:tcPr>
          <w:p w14:paraId="5B58C7B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100</w:t>
            </w:r>
          </w:p>
        </w:tc>
        <w:tc>
          <w:tcPr>
            <w:tcW w:w="1705" w:type="dxa"/>
            <w:vAlign w:val="center"/>
          </w:tcPr>
          <w:p w14:paraId="7CEBF87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96</w:t>
            </w:r>
          </w:p>
        </w:tc>
      </w:tr>
    </w:tbl>
    <w:p w14:paraId="04352E64">
      <w:pPr>
        <w:spacing w:line="600" w:lineRule="exact"/>
        <w:ind w:firstLine="640" w:firstLineChars="200"/>
        <w:rPr>
          <w:rFonts w:eastAsia="黑体"/>
          <w:bCs/>
          <w:sz w:val="32"/>
          <w:szCs w:val="32"/>
        </w:rPr>
      </w:pPr>
      <w:r>
        <w:rPr>
          <w:rFonts w:eastAsia="黑体"/>
          <w:bCs/>
          <w:sz w:val="32"/>
          <w:szCs w:val="32"/>
        </w:rPr>
        <w:t>五、其他需要说明的问题</w:t>
      </w:r>
    </w:p>
    <w:p w14:paraId="4430543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无。</w:t>
      </w:r>
    </w:p>
    <w:p w14:paraId="29A90392">
      <w:pPr>
        <w:pStyle w:val="6"/>
        <w:spacing w:before="93"/>
        <w:rPr>
          <w:rFonts w:hAnsi="宋体" w:cs="宋体"/>
          <w:sz w:val="32"/>
          <w:szCs w:val="32"/>
          <w:shd w:val="clear" w:color="auto" w:fill="FFFFFF"/>
          <w:lang w:val="zh-CN"/>
        </w:rPr>
      </w:pPr>
    </w:p>
    <w:p w14:paraId="005BDF67">
      <w:pPr>
        <w:pStyle w:val="6"/>
        <w:spacing w:before="93"/>
        <w:rPr>
          <w:rFonts w:hAnsi="宋体" w:cs="宋体"/>
          <w:sz w:val="32"/>
          <w:szCs w:val="32"/>
          <w:shd w:val="clear" w:color="auto" w:fill="FFFFFF"/>
          <w:lang w:val="zh-CN"/>
        </w:rPr>
      </w:pPr>
    </w:p>
    <w:p w14:paraId="2B6505B4">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 xml:space="preserve">                     </w:t>
      </w:r>
    </w:p>
    <w:p w14:paraId="5543C031">
      <w:pPr>
        <w:pStyle w:val="6"/>
        <w:spacing w:before="93"/>
        <w:rPr>
          <w:lang w:val="zh-CN"/>
        </w:rPr>
      </w:pPr>
    </w:p>
    <w:p w14:paraId="7261B561">
      <w:pPr>
        <w:pStyle w:val="6"/>
        <w:spacing w:before="93"/>
        <w:rPr>
          <w:lang w:val="zh-CN"/>
        </w:rPr>
      </w:pPr>
    </w:p>
    <w:p w14:paraId="17F1F3FC">
      <w:pPr>
        <w:pStyle w:val="6"/>
        <w:spacing w:before="93"/>
        <w:rPr>
          <w:lang w:val="zh-CN"/>
        </w:rPr>
      </w:pPr>
    </w:p>
    <w:p w14:paraId="1A101596">
      <w:pPr>
        <w:pStyle w:val="6"/>
        <w:spacing w:before="93"/>
        <w:rPr>
          <w:lang w:val="zh-CN"/>
        </w:rPr>
      </w:pPr>
    </w:p>
    <w:p w14:paraId="5CB86907">
      <w:pPr>
        <w:pStyle w:val="6"/>
        <w:spacing w:before="93"/>
        <w:rPr>
          <w:lang w:val="zh-CN"/>
        </w:rPr>
      </w:pPr>
    </w:p>
    <w:p w14:paraId="2798659A">
      <w:pPr>
        <w:pStyle w:val="6"/>
        <w:spacing w:before="93"/>
        <w:rPr>
          <w:lang w:val="zh-CN"/>
        </w:rPr>
      </w:pPr>
    </w:p>
    <w:p w14:paraId="4C474F3E">
      <w:pPr>
        <w:pStyle w:val="6"/>
        <w:spacing w:before="93"/>
        <w:rPr>
          <w:lang w:val="zh-CN"/>
        </w:rPr>
      </w:pPr>
    </w:p>
    <w:p w14:paraId="64BC1348">
      <w:pPr>
        <w:pStyle w:val="6"/>
        <w:spacing w:before="93"/>
        <w:rPr>
          <w:lang w:val="zh-CN"/>
        </w:rPr>
      </w:pPr>
    </w:p>
    <w:p w14:paraId="198FA83F">
      <w:pPr>
        <w:pStyle w:val="6"/>
        <w:spacing w:before="93"/>
        <w:rPr>
          <w:lang w:val="zh-CN"/>
        </w:rPr>
      </w:pPr>
    </w:p>
    <w:p w14:paraId="59360BC0">
      <w:pPr>
        <w:pStyle w:val="6"/>
        <w:spacing w:before="93"/>
        <w:rPr>
          <w:lang w:val="zh-CN"/>
        </w:rPr>
      </w:pPr>
    </w:p>
    <w:p w14:paraId="2EABFE1B">
      <w:pPr>
        <w:pStyle w:val="6"/>
        <w:spacing w:before="93"/>
        <w:rPr>
          <w:lang w:val="zh-CN"/>
        </w:rPr>
      </w:pPr>
    </w:p>
    <w:p w14:paraId="06828722">
      <w:pPr>
        <w:pStyle w:val="6"/>
        <w:spacing w:before="93"/>
        <w:rPr>
          <w:lang w:val="zh-CN"/>
        </w:rPr>
      </w:pPr>
    </w:p>
    <w:p w14:paraId="3D16C8EE">
      <w:pPr>
        <w:pStyle w:val="6"/>
        <w:spacing w:before="93"/>
        <w:rPr>
          <w:lang w:val="zh-CN"/>
        </w:rPr>
      </w:pPr>
    </w:p>
    <w:p w14:paraId="1DBA712F">
      <w:pPr>
        <w:pStyle w:val="6"/>
        <w:spacing w:before="93"/>
        <w:rPr>
          <w:lang w:val="zh-CN"/>
        </w:rPr>
      </w:pPr>
    </w:p>
    <w:p w14:paraId="4F15AE71">
      <w:pPr>
        <w:pStyle w:val="6"/>
        <w:spacing w:before="93"/>
        <w:rPr>
          <w:lang w:val="zh-CN"/>
        </w:rPr>
      </w:pPr>
    </w:p>
    <w:p w14:paraId="6F83A03A">
      <w:pPr>
        <w:pStyle w:val="6"/>
        <w:spacing w:before="93"/>
        <w:rPr>
          <w:rFonts w:ascii="方正小标宋简体" w:hAnsi="方正小标宋简体" w:cs="方正小标宋简体"/>
          <w:b/>
          <w:bCs/>
          <w:sz w:val="44"/>
          <w:szCs w:val="44"/>
        </w:rPr>
      </w:pPr>
      <w:r>
        <w:rPr>
          <w:rFonts w:hint="eastAsia"/>
          <w:b/>
          <w:bCs/>
          <w:lang w:val="zh-CN"/>
        </w:rPr>
        <w:t>附件</w:t>
      </w:r>
      <w:bookmarkStart w:id="55" w:name="_Toc15396618"/>
      <w:r>
        <w:rPr>
          <w:rFonts w:hint="eastAsia"/>
          <w:b/>
          <w:bCs/>
        </w:rPr>
        <w:t>2-3</w:t>
      </w:r>
    </w:p>
    <w:p w14:paraId="70A11530">
      <w:pPr>
        <w:kinsoku w:val="0"/>
        <w:overflowPunct w:val="0"/>
        <w:spacing w:line="600" w:lineRule="exact"/>
        <w:ind w:firstLine="724" w:firstLineChars="200"/>
        <w:jc w:val="center"/>
        <w:rPr>
          <w:rFonts w:ascii="方正小标宋简体" w:eastAsia="方正小标宋简体"/>
          <w:spacing w:val="1"/>
          <w:sz w:val="36"/>
          <w:szCs w:val="36"/>
        </w:rPr>
      </w:pPr>
      <w:r>
        <w:rPr>
          <w:rFonts w:hint="eastAsia" w:ascii="方正小标宋简体" w:eastAsia="方正小标宋简体"/>
          <w:spacing w:val="1"/>
          <w:sz w:val="36"/>
          <w:szCs w:val="36"/>
        </w:rPr>
        <w:t>沐川县综合行政执法局</w:t>
      </w:r>
    </w:p>
    <w:p w14:paraId="73189701">
      <w:pPr>
        <w:kinsoku w:val="0"/>
        <w:overflowPunct w:val="0"/>
        <w:spacing w:line="600" w:lineRule="exact"/>
        <w:ind w:firstLine="724" w:firstLineChars="200"/>
        <w:jc w:val="center"/>
        <w:rPr>
          <w:rFonts w:ascii="方正小标宋简体" w:eastAsia="方正小标宋简体"/>
          <w:spacing w:val="1"/>
          <w:sz w:val="36"/>
          <w:szCs w:val="36"/>
        </w:rPr>
      </w:pPr>
      <w:r>
        <w:rPr>
          <w:rFonts w:hint="eastAsia" w:ascii="方正小标宋简体" w:eastAsia="方正小标宋简体"/>
          <w:spacing w:val="1"/>
          <w:sz w:val="36"/>
          <w:szCs w:val="36"/>
        </w:rPr>
        <w:t>2022年度综合执法能力建设经费项目支出绩效</w:t>
      </w:r>
    </w:p>
    <w:p w14:paraId="2CC98E6B">
      <w:pPr>
        <w:kinsoku w:val="0"/>
        <w:overflowPunct w:val="0"/>
        <w:spacing w:line="600" w:lineRule="exact"/>
        <w:ind w:firstLine="724" w:firstLineChars="200"/>
        <w:jc w:val="center"/>
        <w:rPr>
          <w:rFonts w:ascii="方正小标宋简体" w:eastAsia="方正小标宋简体"/>
          <w:spacing w:val="1"/>
          <w:sz w:val="36"/>
          <w:szCs w:val="36"/>
        </w:rPr>
      </w:pPr>
      <w:r>
        <w:rPr>
          <w:rFonts w:hint="eastAsia" w:ascii="方正小标宋简体" w:eastAsia="方正小标宋简体"/>
          <w:spacing w:val="1"/>
          <w:sz w:val="36"/>
          <w:szCs w:val="36"/>
        </w:rPr>
        <w:t>自评报告</w:t>
      </w:r>
    </w:p>
    <w:p w14:paraId="101053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ascii="宋体" w:hAnsi="宋体" w:cs="宋体"/>
          <w:sz w:val="24"/>
        </w:rPr>
      </w:pPr>
    </w:p>
    <w:p w14:paraId="166EEE76">
      <w:pPr>
        <w:spacing w:line="600" w:lineRule="exact"/>
        <w:ind w:firstLine="640" w:firstLineChars="200"/>
        <w:rPr>
          <w:rFonts w:eastAsia="黑体"/>
          <w:bCs/>
          <w:sz w:val="32"/>
          <w:szCs w:val="32"/>
        </w:rPr>
      </w:pPr>
      <w:r>
        <w:rPr>
          <w:rFonts w:eastAsia="黑体"/>
          <w:bCs/>
          <w:sz w:val="32"/>
          <w:szCs w:val="32"/>
        </w:rPr>
        <w:t>一、项目基本情况</w:t>
      </w:r>
    </w:p>
    <w:p w14:paraId="2B3152CF">
      <w:pPr>
        <w:spacing w:line="600" w:lineRule="exact"/>
        <w:ind w:firstLine="643" w:firstLineChars="200"/>
        <w:outlineLvl w:val="0"/>
        <w:rPr>
          <w:rFonts w:eastAsia="楷体_GB2312"/>
          <w:b/>
          <w:sz w:val="32"/>
          <w:szCs w:val="32"/>
        </w:rPr>
      </w:pPr>
      <w:r>
        <w:rPr>
          <w:rFonts w:eastAsia="楷体_GB2312"/>
          <w:b/>
          <w:sz w:val="32"/>
          <w:szCs w:val="32"/>
        </w:rPr>
        <w:t>（一）绩效目标情况。</w:t>
      </w:r>
    </w:p>
    <w:p w14:paraId="4632B58A">
      <w:pPr>
        <w:spacing w:line="600" w:lineRule="exact"/>
        <w:ind w:firstLine="640" w:firstLineChars="200"/>
        <w:outlineLvl w:val="0"/>
        <w:rPr>
          <w:rFonts w:eastAsia="楷体_GB2312"/>
          <w:sz w:val="32"/>
          <w:szCs w:val="32"/>
        </w:rPr>
      </w:pPr>
      <w:r>
        <w:rPr>
          <w:rFonts w:hint="eastAsia" w:ascii="仿宋_GB2312" w:hAnsi="宋体" w:eastAsia="仿宋_GB2312" w:cs="宋体"/>
          <w:sz w:val="32"/>
          <w:szCs w:val="32"/>
        </w:rPr>
        <w:t>综合执法能力建设经费为政务专项类项目，该项目主要用于行政执法制式服装采购、重点渡口码头视频监控使用费、专用材料购置、食品和工业产品抽样检验费等支出。通过项目实施，全面加强了队伍建设，提升执法形象。有效抑制市场、交通、城市管理、</w:t>
      </w:r>
      <w:r>
        <w:rPr>
          <w:rFonts w:hint="eastAsia" w:ascii="仿宋_GB2312" w:eastAsia="仿宋_GB2312"/>
          <w:sz w:val="32"/>
          <w:szCs w:val="32"/>
        </w:rPr>
        <w:t>农业、林业、文化旅游等领域违法违规行为；促进行业监管，提高了执法的有效性和准确性。</w:t>
      </w:r>
    </w:p>
    <w:p w14:paraId="095C1842">
      <w:pPr>
        <w:spacing w:line="600" w:lineRule="exact"/>
        <w:ind w:firstLine="643" w:firstLineChars="200"/>
        <w:outlineLvl w:val="0"/>
        <w:rPr>
          <w:rFonts w:eastAsia="楷体_GB2312"/>
          <w:b/>
          <w:sz w:val="32"/>
          <w:szCs w:val="32"/>
        </w:rPr>
      </w:pPr>
      <w:r>
        <w:rPr>
          <w:rFonts w:eastAsia="楷体_GB2312"/>
          <w:b/>
          <w:sz w:val="32"/>
          <w:szCs w:val="32"/>
        </w:rPr>
        <w:t>（二）资金安排情况。</w:t>
      </w:r>
    </w:p>
    <w:p w14:paraId="0025BBA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rPr>
      </w:pPr>
      <w:r>
        <w:rPr>
          <w:rFonts w:hint="eastAsia" w:ascii="仿宋_GB2312" w:hAnsi="宋体" w:eastAsia="仿宋_GB2312" w:cs="宋体"/>
          <w:color w:val="000000"/>
          <w:kern w:val="0"/>
          <w:sz w:val="32"/>
          <w:szCs w:val="32"/>
          <w:shd w:val="clear" w:color="auto" w:fill="FFFFFF"/>
          <w:lang w:val="zh-CN"/>
        </w:rPr>
        <w:t>根据《沐川县财政局关于批复2022年部门预算的通知》（沐财发〔2022〕23号）文件，县财政局下达我单位</w:t>
      </w:r>
      <w:r>
        <w:rPr>
          <w:rFonts w:hint="eastAsia" w:ascii="仿宋_GB2312" w:hAnsi="宋体" w:eastAsia="仿宋_GB2312" w:cs="宋体"/>
          <w:sz w:val="32"/>
          <w:szCs w:val="32"/>
        </w:rPr>
        <w:t>综合执法能力建设经费项目年初预算收入80.00万元，该项目资金均为县级财政资金，</w:t>
      </w:r>
      <w:r>
        <w:rPr>
          <w:rFonts w:ascii="仿宋_GB2312" w:hAnsi="宋体" w:eastAsia="仿宋_GB2312" w:cs="宋体"/>
          <w:sz w:val="32"/>
          <w:szCs w:val="32"/>
        </w:rPr>
        <w:t>主要是一般公共预算</w:t>
      </w:r>
      <w:r>
        <w:rPr>
          <w:rFonts w:hint="eastAsia" w:ascii="仿宋_GB2312" w:hAnsi="宋体" w:eastAsia="仿宋_GB2312" w:cs="宋体"/>
          <w:sz w:val="32"/>
          <w:szCs w:val="32"/>
        </w:rPr>
        <w:t>财政</w:t>
      </w:r>
      <w:r>
        <w:rPr>
          <w:rFonts w:ascii="仿宋_GB2312" w:hAnsi="宋体" w:eastAsia="仿宋_GB2312" w:cs="宋体"/>
          <w:sz w:val="32"/>
          <w:szCs w:val="32"/>
        </w:rPr>
        <w:t>拨款收入</w:t>
      </w:r>
      <w:r>
        <w:rPr>
          <w:rFonts w:hint="eastAsia" w:ascii="仿宋_GB2312" w:hAnsi="宋体" w:eastAsia="仿宋_GB2312" w:cs="宋体"/>
          <w:sz w:val="32"/>
          <w:szCs w:val="32"/>
        </w:rPr>
        <w:t xml:space="preserve">。 </w:t>
      </w:r>
    </w:p>
    <w:p w14:paraId="405EE155">
      <w:pPr>
        <w:spacing w:line="600" w:lineRule="exact"/>
        <w:ind w:firstLine="640" w:firstLineChars="200"/>
        <w:rPr>
          <w:rFonts w:eastAsia="黑体"/>
          <w:bCs/>
          <w:sz w:val="32"/>
          <w:szCs w:val="32"/>
        </w:rPr>
      </w:pPr>
      <w:r>
        <w:rPr>
          <w:rFonts w:eastAsia="黑体"/>
          <w:bCs/>
          <w:sz w:val="32"/>
          <w:szCs w:val="32"/>
        </w:rPr>
        <w:t>二、绩效目标完成情况分析</w:t>
      </w:r>
    </w:p>
    <w:p w14:paraId="1A9FEA51">
      <w:pPr>
        <w:spacing w:line="600" w:lineRule="exact"/>
        <w:ind w:firstLine="643" w:firstLineChars="200"/>
        <w:outlineLvl w:val="0"/>
        <w:rPr>
          <w:rFonts w:eastAsia="楷体_GB2312"/>
          <w:b/>
          <w:sz w:val="32"/>
          <w:szCs w:val="32"/>
        </w:rPr>
      </w:pPr>
      <w:r>
        <w:rPr>
          <w:rFonts w:eastAsia="楷体_GB2312"/>
          <w:b/>
          <w:sz w:val="32"/>
          <w:szCs w:val="32"/>
        </w:rPr>
        <w:t>（一）预算执行进度情况分析。</w:t>
      </w:r>
    </w:p>
    <w:p w14:paraId="27AD4B6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rPr>
      </w:pPr>
      <w:r>
        <w:rPr>
          <w:rFonts w:ascii="仿宋_GB2312" w:hAnsi="宋体" w:eastAsia="仿宋_GB2312" w:cs="宋体"/>
          <w:sz w:val="32"/>
          <w:szCs w:val="32"/>
        </w:rPr>
        <w:t>本单位</w:t>
      </w:r>
      <w:r>
        <w:rPr>
          <w:rFonts w:hint="eastAsia" w:ascii="仿宋_GB2312" w:hAnsi="宋体" w:eastAsia="仿宋_GB2312" w:cs="宋体"/>
          <w:sz w:val="32"/>
          <w:szCs w:val="32"/>
        </w:rPr>
        <w:t>2022年按预算批复文件合理安排支出，按月申报用款计划，项目资金申报与实际实施内容相符，申报目标合理可行。截止2022年底，综合执法能力建设经费项目支出决算数12.79万元，主要用于租赁费、委托业务费、专用材料费等，资金支付与预算相符。在预算执行过程中，我单位预算用于行政执法制式服装采购67万元，由于疫情影响，项目在当年未完成交付。</w:t>
      </w:r>
    </w:p>
    <w:p w14:paraId="38BF86B3">
      <w:pPr>
        <w:spacing w:line="600" w:lineRule="exact"/>
        <w:ind w:firstLine="643" w:firstLineChars="200"/>
        <w:outlineLvl w:val="0"/>
        <w:rPr>
          <w:rFonts w:eastAsia="仿宋_GB2312"/>
          <w:sz w:val="32"/>
          <w:szCs w:val="32"/>
        </w:rPr>
      </w:pPr>
      <w:r>
        <w:rPr>
          <w:rFonts w:eastAsia="楷体_GB2312"/>
          <w:b/>
          <w:sz w:val="32"/>
          <w:szCs w:val="32"/>
        </w:rPr>
        <w:t>（二）总体绩效目标完成情况分析。</w:t>
      </w:r>
    </w:p>
    <w:p w14:paraId="30F23E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项目的实施，提升了行政执法能力，促进了依法行政工作顺利开展，为积极探索运用高科技手段强化执法力度提供了条件。但2022年该项目产出指标未全部完成，预算执行率低。</w:t>
      </w:r>
    </w:p>
    <w:p w14:paraId="5ED3DCAD">
      <w:pPr>
        <w:adjustRightInd w:val="0"/>
        <w:snapToGrid w:val="0"/>
        <w:spacing w:line="600" w:lineRule="exact"/>
        <w:ind w:firstLine="643" w:firstLineChars="200"/>
        <w:rPr>
          <w:rFonts w:eastAsia="仿宋_GB2312"/>
          <w:sz w:val="32"/>
          <w:szCs w:val="32"/>
          <w:lang w:val="zh-CN"/>
        </w:rPr>
      </w:pPr>
      <w:r>
        <w:rPr>
          <w:rFonts w:eastAsia="楷体_GB2312"/>
          <w:b/>
          <w:sz w:val="32"/>
          <w:szCs w:val="32"/>
        </w:rPr>
        <w:t>（三）绩效指标完成情况分析。</w:t>
      </w:r>
    </w:p>
    <w:p w14:paraId="4E619A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该项目年初预算收入80.00万元，</w:t>
      </w:r>
      <w:r>
        <w:rPr>
          <w:rFonts w:hint="eastAsia" w:ascii="仿宋_GB2312" w:hAnsi="宋体" w:eastAsia="仿宋_GB2312" w:cs="宋体"/>
          <w:sz w:val="32"/>
          <w:szCs w:val="32"/>
        </w:rPr>
        <w:t>实际申报使用项目资金12.79万元。预算执行率15.99%。</w:t>
      </w:r>
      <w:r>
        <w:rPr>
          <w:rFonts w:hint="eastAsia" w:ascii="仿宋_GB2312" w:hAnsi="宋体" w:eastAsia="仿宋_GB2312" w:cs="宋体"/>
          <w:bCs/>
          <w:sz w:val="32"/>
          <w:szCs w:val="32"/>
        </w:rPr>
        <w:t>无违规记录。产出指标完成情况如下：</w:t>
      </w:r>
    </w:p>
    <w:p w14:paraId="74DE19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1.数量指标</w:t>
      </w:r>
    </w:p>
    <w:p w14:paraId="6B58381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（1）完成重点渡口码头视频监控专线数量3条。（2）全年食品、工业产品抽样检测共计94批次。（3）按照政府采购流程完成154人制式服装采购合同签订，但因疫情影响，该项目未完成支付。</w:t>
      </w:r>
    </w:p>
    <w:p w14:paraId="386D1A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2.质量指标</w:t>
      </w:r>
    </w:p>
    <w:p w14:paraId="5695EB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行政执法信息化、智能化水平显著提高。工作完成率100%。</w:t>
      </w:r>
    </w:p>
    <w:p w14:paraId="6B195C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3.时效指标</w:t>
      </w:r>
    </w:p>
    <w:p w14:paraId="6EDF0F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按项目实施进度申报资金，资金支付及时。</w:t>
      </w:r>
    </w:p>
    <w:p w14:paraId="3D025FF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4.成本指标</w:t>
      </w:r>
    </w:p>
    <w:p w14:paraId="78FC98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rPr>
        <w:t>综合执法能力建设</w:t>
      </w:r>
      <w:r>
        <w:rPr>
          <w:rFonts w:hint="eastAsia" w:ascii="仿宋_GB2312" w:hAnsi="宋体" w:eastAsia="仿宋_GB2312" w:cs="宋体"/>
          <w:sz w:val="32"/>
          <w:szCs w:val="32"/>
          <w:lang w:val="zh-CN"/>
        </w:rPr>
        <w:t xml:space="preserve">经费保障100%。其中：视频监控使用费3万元、专用材料购置费1万元、个案抽样检测费9万元、制式服装购置费67万元。 </w:t>
      </w:r>
    </w:p>
    <w:p w14:paraId="29AE44A7">
      <w:pPr>
        <w:spacing w:line="600" w:lineRule="exact"/>
        <w:ind w:firstLine="643" w:firstLineChars="200"/>
        <w:outlineLvl w:val="0"/>
        <w:rPr>
          <w:rFonts w:eastAsia="仿宋_GB2312"/>
          <w:sz w:val="32"/>
          <w:szCs w:val="32"/>
        </w:rPr>
      </w:pPr>
      <w:r>
        <w:rPr>
          <w:rFonts w:eastAsia="楷体_GB2312"/>
          <w:b/>
          <w:sz w:val="32"/>
          <w:szCs w:val="32"/>
        </w:rPr>
        <w:t>（四）项目效益分析。</w:t>
      </w:r>
    </w:p>
    <w:p w14:paraId="7686932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效益指标完成情况如下：</w:t>
      </w:r>
    </w:p>
    <w:p w14:paraId="656D322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1.社会效益指标</w:t>
      </w:r>
    </w:p>
    <w:p w14:paraId="2D6AF59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（1）对行政违法行为打击作用增强。（2）行业执法监管效能显著提高。</w:t>
      </w:r>
    </w:p>
    <w:p w14:paraId="7DC64AD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2.经济效益指标</w:t>
      </w:r>
    </w:p>
    <w:p w14:paraId="71F380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有效降低行政执法成本。</w:t>
      </w:r>
    </w:p>
    <w:p w14:paraId="603A06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3.可持续性影响指标</w:t>
      </w:r>
    </w:p>
    <w:p w14:paraId="31C3A0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保障了综合执法工作持续有效开展。</w:t>
      </w:r>
      <w:r>
        <w:rPr>
          <w:rFonts w:ascii="仿宋_GB2312" w:hAnsi="宋体" w:eastAsia="仿宋_GB2312" w:cs="宋体"/>
          <w:sz w:val="32"/>
          <w:szCs w:val="32"/>
        </w:rPr>
        <w:t xml:space="preserve"> </w:t>
      </w:r>
    </w:p>
    <w:p w14:paraId="37D93ACD">
      <w:pPr>
        <w:spacing w:line="600" w:lineRule="exact"/>
        <w:ind w:firstLine="640" w:firstLineChars="200"/>
        <w:rPr>
          <w:rFonts w:eastAsia="仿宋_GB2312"/>
          <w:sz w:val="32"/>
          <w:szCs w:val="32"/>
        </w:rPr>
      </w:pPr>
      <w:r>
        <w:rPr>
          <w:rFonts w:eastAsia="黑体"/>
          <w:bCs/>
          <w:sz w:val="32"/>
          <w:szCs w:val="32"/>
        </w:rPr>
        <w:t>三、偏离绩效目标的原因和下一步改进措施</w:t>
      </w:r>
    </w:p>
    <w:p w14:paraId="553105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项目偏离绩效目标，预算执行未完成，预算执行率低。2022年因疫情影响，导致项目未实施完毕。下一步我单位将积极和供应商取得联系，达成共识，降低疫情影响带来的不利因素，争取在合同约定的期限内完成货物交付。</w:t>
      </w:r>
    </w:p>
    <w:p w14:paraId="119B5AC4">
      <w:pPr>
        <w:spacing w:line="600" w:lineRule="exact"/>
        <w:ind w:firstLine="640" w:firstLineChars="200"/>
        <w:rPr>
          <w:rFonts w:eastAsia="黑体"/>
          <w:bCs/>
          <w:sz w:val="32"/>
          <w:szCs w:val="32"/>
        </w:rPr>
      </w:pPr>
      <w:r>
        <w:rPr>
          <w:rFonts w:eastAsia="黑体"/>
          <w:bCs/>
          <w:sz w:val="32"/>
          <w:szCs w:val="32"/>
        </w:rPr>
        <w:t>四、绩效自评结果拟应用和公开情况</w:t>
      </w:r>
    </w:p>
    <w:p w14:paraId="175E2C8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rPr>
          <w:rFonts w:ascii="仿宋_GB2312" w:hAnsi="宋体" w:eastAsia="仿宋_GB2312" w:cs="宋体"/>
          <w:sz w:val="32"/>
          <w:szCs w:val="32"/>
        </w:rPr>
      </w:pPr>
      <w:r>
        <w:rPr>
          <w:rFonts w:eastAsia="仿宋_GB2312"/>
          <w:sz w:val="32"/>
          <w:szCs w:val="32"/>
        </w:rPr>
        <w:t>从总体上看</w:t>
      </w:r>
      <w:r>
        <w:rPr>
          <w:rFonts w:hint="eastAsia" w:eastAsia="仿宋_GB2312"/>
          <w:sz w:val="32"/>
          <w:szCs w:val="32"/>
        </w:rPr>
        <w:t>，</w:t>
      </w:r>
      <w:r>
        <w:rPr>
          <w:rFonts w:eastAsia="仿宋_GB2312"/>
          <w:sz w:val="32"/>
          <w:szCs w:val="32"/>
        </w:rPr>
        <w:t>该项目政策依据充分</w:t>
      </w:r>
      <w:r>
        <w:rPr>
          <w:rFonts w:hint="eastAsia" w:eastAsia="仿宋_GB2312"/>
          <w:sz w:val="32"/>
          <w:szCs w:val="32"/>
        </w:rPr>
        <w:t>，</w:t>
      </w:r>
      <w:r>
        <w:rPr>
          <w:rFonts w:eastAsia="仿宋_GB2312"/>
          <w:sz w:val="32"/>
          <w:szCs w:val="32"/>
        </w:rPr>
        <w:t>项目的设立经过严格的评估论证</w:t>
      </w:r>
      <w:r>
        <w:rPr>
          <w:rFonts w:hint="eastAsia" w:eastAsia="仿宋_GB2312"/>
          <w:sz w:val="32"/>
          <w:szCs w:val="32"/>
        </w:rPr>
        <w:t>，与部门职责相适应；项目规划符合年度目标；项目资金使用符合相关财务管理的规定；实施程序符合项目方案，但是在项目实施进度上存在一定的缺陷。</w:t>
      </w:r>
      <w:r>
        <w:rPr>
          <w:rFonts w:hint="eastAsia" w:ascii="仿宋_GB2312" w:hAnsi="宋体" w:eastAsia="仿宋_GB2312" w:cs="宋体"/>
          <w:sz w:val="32"/>
          <w:szCs w:val="32"/>
        </w:rPr>
        <w:t>经自评，综合执法能力建设经费项目自评得分91分，评价等级为“优”。2023年该项目继续使用，预计安排预算118.44万元。项目自评结果按规定时间于政府网站公开。项目支出得分明细如下所示：</w:t>
      </w:r>
    </w:p>
    <w:p w14:paraId="64FFF1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1108" w:firstLineChars="345"/>
        <w:rPr>
          <w:rFonts w:ascii="仿宋_GB2312" w:hAnsi="宋体" w:eastAsia="仿宋_GB2312" w:cs="宋体"/>
          <w:b/>
          <w:sz w:val="32"/>
          <w:szCs w:val="32"/>
        </w:rPr>
      </w:pPr>
      <w:r>
        <w:rPr>
          <w:rFonts w:hint="eastAsia" w:ascii="仿宋_GB2312" w:hAnsi="宋体" w:eastAsia="仿宋_GB2312" w:cs="宋体"/>
          <w:b/>
          <w:sz w:val="32"/>
          <w:szCs w:val="32"/>
        </w:rPr>
        <w:t>综合执法能力建设经费项目支出得分表</w:t>
      </w:r>
    </w:p>
    <w:tbl>
      <w:tblPr>
        <w:tblStyle w:val="1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04"/>
        <w:gridCol w:w="1704"/>
        <w:gridCol w:w="1945"/>
        <w:gridCol w:w="1464"/>
        <w:gridCol w:w="1705"/>
      </w:tblGrid>
      <w:tr w14:paraId="155DE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trPr>
        <w:tc>
          <w:tcPr>
            <w:tcW w:w="5353" w:type="dxa"/>
            <w:gridSpan w:val="3"/>
            <w:vAlign w:val="center"/>
          </w:tcPr>
          <w:p w14:paraId="1E1DC2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b/>
                <w:sz w:val="32"/>
                <w:szCs w:val="32"/>
              </w:rPr>
            </w:pPr>
            <w:r>
              <w:rPr>
                <w:rFonts w:hint="eastAsia" w:ascii="仿宋_GB2312" w:hAnsi="Calibri" w:eastAsia="仿宋_GB2312"/>
                <w:b/>
                <w:sz w:val="32"/>
                <w:szCs w:val="32"/>
              </w:rPr>
              <w:t>绩效指标</w:t>
            </w:r>
          </w:p>
        </w:tc>
        <w:tc>
          <w:tcPr>
            <w:tcW w:w="1464" w:type="dxa"/>
            <w:vMerge w:val="restart"/>
            <w:vAlign w:val="center"/>
          </w:tcPr>
          <w:p w14:paraId="525EC48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b/>
                <w:sz w:val="32"/>
                <w:szCs w:val="32"/>
              </w:rPr>
            </w:pPr>
            <w:r>
              <w:rPr>
                <w:rFonts w:hint="eastAsia" w:ascii="仿宋_GB2312" w:hAnsi="Calibri" w:eastAsia="仿宋_GB2312"/>
                <w:b/>
                <w:sz w:val="32"/>
                <w:szCs w:val="32"/>
              </w:rPr>
              <w:t>指标分值</w:t>
            </w:r>
          </w:p>
        </w:tc>
        <w:tc>
          <w:tcPr>
            <w:tcW w:w="1705" w:type="dxa"/>
            <w:vMerge w:val="restart"/>
            <w:vAlign w:val="center"/>
          </w:tcPr>
          <w:p w14:paraId="0A1453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b/>
                <w:sz w:val="32"/>
                <w:szCs w:val="32"/>
              </w:rPr>
            </w:pPr>
            <w:r>
              <w:rPr>
                <w:rFonts w:hint="eastAsia" w:ascii="仿宋_GB2312" w:hAnsi="Calibri" w:eastAsia="仿宋_GB2312"/>
                <w:b/>
                <w:sz w:val="32"/>
                <w:szCs w:val="32"/>
              </w:rPr>
              <w:t>得分</w:t>
            </w:r>
          </w:p>
        </w:tc>
      </w:tr>
      <w:tr w14:paraId="4EE01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4" w:hRule="atLeast"/>
        </w:trPr>
        <w:tc>
          <w:tcPr>
            <w:tcW w:w="1704" w:type="dxa"/>
            <w:vAlign w:val="center"/>
          </w:tcPr>
          <w:p w14:paraId="3984583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b/>
                <w:sz w:val="32"/>
                <w:szCs w:val="32"/>
              </w:rPr>
            </w:pPr>
            <w:r>
              <w:rPr>
                <w:rFonts w:hint="eastAsia" w:ascii="仿宋_GB2312" w:hAnsi="Calibri" w:eastAsia="仿宋_GB2312"/>
                <w:b/>
                <w:sz w:val="32"/>
                <w:szCs w:val="32"/>
              </w:rPr>
              <w:t>一级指标</w:t>
            </w:r>
          </w:p>
        </w:tc>
        <w:tc>
          <w:tcPr>
            <w:tcW w:w="1704" w:type="dxa"/>
            <w:vAlign w:val="center"/>
          </w:tcPr>
          <w:p w14:paraId="198A28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b/>
                <w:sz w:val="32"/>
                <w:szCs w:val="32"/>
              </w:rPr>
            </w:pPr>
            <w:r>
              <w:rPr>
                <w:rFonts w:hint="eastAsia" w:ascii="仿宋_GB2312" w:hAnsi="Calibri" w:eastAsia="仿宋_GB2312"/>
                <w:b/>
                <w:sz w:val="32"/>
                <w:szCs w:val="32"/>
              </w:rPr>
              <w:t>二级指标</w:t>
            </w:r>
          </w:p>
        </w:tc>
        <w:tc>
          <w:tcPr>
            <w:tcW w:w="1945" w:type="dxa"/>
            <w:vAlign w:val="center"/>
          </w:tcPr>
          <w:p w14:paraId="781036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b/>
                <w:sz w:val="32"/>
                <w:szCs w:val="32"/>
              </w:rPr>
            </w:pPr>
            <w:r>
              <w:rPr>
                <w:rFonts w:hint="eastAsia" w:ascii="仿宋_GB2312" w:hAnsi="Calibri" w:eastAsia="仿宋_GB2312"/>
                <w:b/>
                <w:sz w:val="32"/>
                <w:szCs w:val="32"/>
              </w:rPr>
              <w:t>三级指标</w:t>
            </w:r>
          </w:p>
        </w:tc>
        <w:tc>
          <w:tcPr>
            <w:tcW w:w="1464" w:type="dxa"/>
            <w:vMerge w:val="continue"/>
            <w:vAlign w:val="center"/>
          </w:tcPr>
          <w:p w14:paraId="6C8976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5" w:type="dxa"/>
            <w:vMerge w:val="continue"/>
            <w:vAlign w:val="center"/>
          </w:tcPr>
          <w:p w14:paraId="5C6E011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r>
      <w:tr w14:paraId="36D76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restart"/>
            <w:vAlign w:val="center"/>
          </w:tcPr>
          <w:p w14:paraId="7E9009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通用指标</w:t>
            </w:r>
          </w:p>
          <w:p w14:paraId="648232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（30分）</w:t>
            </w:r>
          </w:p>
        </w:tc>
        <w:tc>
          <w:tcPr>
            <w:tcW w:w="1704" w:type="dxa"/>
            <w:vMerge w:val="restart"/>
            <w:vAlign w:val="center"/>
          </w:tcPr>
          <w:p w14:paraId="4D4E24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项目决策</w:t>
            </w:r>
          </w:p>
        </w:tc>
        <w:tc>
          <w:tcPr>
            <w:tcW w:w="1945" w:type="dxa"/>
            <w:vAlign w:val="center"/>
          </w:tcPr>
          <w:p w14:paraId="736E14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程序严密</w:t>
            </w:r>
          </w:p>
        </w:tc>
        <w:tc>
          <w:tcPr>
            <w:tcW w:w="1464" w:type="dxa"/>
            <w:vAlign w:val="center"/>
          </w:tcPr>
          <w:p w14:paraId="1175C61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c>
          <w:tcPr>
            <w:tcW w:w="1705" w:type="dxa"/>
            <w:vAlign w:val="center"/>
          </w:tcPr>
          <w:p w14:paraId="3B891D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r>
      <w:tr w14:paraId="0F936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28B6EB8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continue"/>
            <w:vAlign w:val="center"/>
          </w:tcPr>
          <w:p w14:paraId="1EA2F4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945" w:type="dxa"/>
            <w:vAlign w:val="center"/>
          </w:tcPr>
          <w:p w14:paraId="4F1145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规划合理</w:t>
            </w:r>
          </w:p>
        </w:tc>
        <w:tc>
          <w:tcPr>
            <w:tcW w:w="1464" w:type="dxa"/>
            <w:vAlign w:val="center"/>
          </w:tcPr>
          <w:p w14:paraId="0813F7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c>
          <w:tcPr>
            <w:tcW w:w="1705" w:type="dxa"/>
            <w:vAlign w:val="center"/>
          </w:tcPr>
          <w:p w14:paraId="26BCC2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r>
      <w:tr w14:paraId="1F2D7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6E3083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restart"/>
            <w:vAlign w:val="center"/>
          </w:tcPr>
          <w:p w14:paraId="2276BD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项目实施</w:t>
            </w:r>
          </w:p>
        </w:tc>
        <w:tc>
          <w:tcPr>
            <w:tcW w:w="1945" w:type="dxa"/>
            <w:vAlign w:val="center"/>
          </w:tcPr>
          <w:p w14:paraId="486AD7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分配合理</w:t>
            </w:r>
          </w:p>
        </w:tc>
        <w:tc>
          <w:tcPr>
            <w:tcW w:w="1464" w:type="dxa"/>
            <w:vAlign w:val="center"/>
          </w:tcPr>
          <w:p w14:paraId="7D0364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c>
          <w:tcPr>
            <w:tcW w:w="1705" w:type="dxa"/>
            <w:vAlign w:val="center"/>
          </w:tcPr>
          <w:p w14:paraId="174A46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r>
      <w:tr w14:paraId="2209D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1" w:hRule="atLeast"/>
        </w:trPr>
        <w:tc>
          <w:tcPr>
            <w:tcW w:w="1704" w:type="dxa"/>
            <w:vMerge w:val="continue"/>
            <w:vAlign w:val="center"/>
          </w:tcPr>
          <w:p w14:paraId="55859B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continue"/>
            <w:vAlign w:val="center"/>
          </w:tcPr>
          <w:p w14:paraId="6F6712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945" w:type="dxa"/>
            <w:vAlign w:val="center"/>
          </w:tcPr>
          <w:p w14:paraId="4ABEE1E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使用合规</w:t>
            </w:r>
          </w:p>
        </w:tc>
        <w:tc>
          <w:tcPr>
            <w:tcW w:w="1464" w:type="dxa"/>
            <w:vAlign w:val="center"/>
          </w:tcPr>
          <w:p w14:paraId="4AF803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c>
          <w:tcPr>
            <w:tcW w:w="1705" w:type="dxa"/>
            <w:vAlign w:val="center"/>
          </w:tcPr>
          <w:p w14:paraId="35E147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r>
      <w:tr w14:paraId="2B5C7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610C664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continue"/>
            <w:vAlign w:val="center"/>
          </w:tcPr>
          <w:p w14:paraId="397123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945" w:type="dxa"/>
            <w:vAlign w:val="center"/>
          </w:tcPr>
          <w:p w14:paraId="3D07BC1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执行有效</w:t>
            </w:r>
          </w:p>
        </w:tc>
        <w:tc>
          <w:tcPr>
            <w:tcW w:w="1464" w:type="dxa"/>
            <w:vAlign w:val="center"/>
          </w:tcPr>
          <w:p w14:paraId="0494E7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c>
          <w:tcPr>
            <w:tcW w:w="1705" w:type="dxa"/>
            <w:vAlign w:val="center"/>
          </w:tcPr>
          <w:p w14:paraId="795B98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3</w:t>
            </w:r>
          </w:p>
        </w:tc>
      </w:tr>
      <w:tr w14:paraId="0DAFA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4865BB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restart"/>
            <w:vAlign w:val="center"/>
          </w:tcPr>
          <w:p w14:paraId="43E98E3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完成结果</w:t>
            </w:r>
          </w:p>
        </w:tc>
        <w:tc>
          <w:tcPr>
            <w:tcW w:w="1945" w:type="dxa"/>
            <w:vAlign w:val="center"/>
          </w:tcPr>
          <w:p w14:paraId="058F77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预算完成</w:t>
            </w:r>
          </w:p>
        </w:tc>
        <w:tc>
          <w:tcPr>
            <w:tcW w:w="1464" w:type="dxa"/>
            <w:vAlign w:val="center"/>
          </w:tcPr>
          <w:p w14:paraId="7F9178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c>
          <w:tcPr>
            <w:tcW w:w="1705" w:type="dxa"/>
            <w:vAlign w:val="center"/>
          </w:tcPr>
          <w:p w14:paraId="23C469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3</w:t>
            </w:r>
          </w:p>
        </w:tc>
      </w:tr>
      <w:tr w14:paraId="429B4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2DE82BD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continue"/>
            <w:vAlign w:val="center"/>
          </w:tcPr>
          <w:p w14:paraId="6FBA93F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945" w:type="dxa"/>
            <w:vAlign w:val="center"/>
          </w:tcPr>
          <w:p w14:paraId="2BE19E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目标完成</w:t>
            </w:r>
          </w:p>
        </w:tc>
        <w:tc>
          <w:tcPr>
            <w:tcW w:w="1464" w:type="dxa"/>
            <w:vAlign w:val="center"/>
          </w:tcPr>
          <w:p w14:paraId="72AC23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c>
          <w:tcPr>
            <w:tcW w:w="1705" w:type="dxa"/>
            <w:vAlign w:val="center"/>
          </w:tcPr>
          <w:p w14:paraId="7FF6CF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3</w:t>
            </w:r>
          </w:p>
        </w:tc>
      </w:tr>
      <w:tr w14:paraId="7E5AFC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49A0338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continue"/>
            <w:vAlign w:val="center"/>
          </w:tcPr>
          <w:p w14:paraId="631955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945" w:type="dxa"/>
            <w:vAlign w:val="center"/>
          </w:tcPr>
          <w:p w14:paraId="55B82B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违规记录</w:t>
            </w:r>
          </w:p>
        </w:tc>
        <w:tc>
          <w:tcPr>
            <w:tcW w:w="1464" w:type="dxa"/>
            <w:vAlign w:val="center"/>
          </w:tcPr>
          <w:p w14:paraId="6F24181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2</w:t>
            </w:r>
          </w:p>
        </w:tc>
        <w:tc>
          <w:tcPr>
            <w:tcW w:w="1705" w:type="dxa"/>
            <w:vAlign w:val="center"/>
          </w:tcPr>
          <w:p w14:paraId="0E040E2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2</w:t>
            </w:r>
          </w:p>
        </w:tc>
      </w:tr>
      <w:tr w14:paraId="03725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restart"/>
            <w:vAlign w:val="center"/>
          </w:tcPr>
          <w:p w14:paraId="10AE81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共性指标</w:t>
            </w:r>
          </w:p>
          <w:p w14:paraId="05605B0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（20分）</w:t>
            </w:r>
          </w:p>
        </w:tc>
        <w:tc>
          <w:tcPr>
            <w:tcW w:w="1704" w:type="dxa"/>
            <w:vMerge w:val="restart"/>
            <w:vAlign w:val="center"/>
          </w:tcPr>
          <w:p w14:paraId="7F8FC8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项目效果</w:t>
            </w:r>
          </w:p>
        </w:tc>
        <w:tc>
          <w:tcPr>
            <w:tcW w:w="1945" w:type="dxa"/>
            <w:vAlign w:val="center"/>
          </w:tcPr>
          <w:p w14:paraId="39538FE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区域均衡性</w:t>
            </w:r>
          </w:p>
        </w:tc>
        <w:tc>
          <w:tcPr>
            <w:tcW w:w="1464" w:type="dxa"/>
            <w:vAlign w:val="center"/>
          </w:tcPr>
          <w:p w14:paraId="5A78F88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6</w:t>
            </w:r>
          </w:p>
        </w:tc>
        <w:tc>
          <w:tcPr>
            <w:tcW w:w="1705" w:type="dxa"/>
            <w:vAlign w:val="center"/>
          </w:tcPr>
          <w:p w14:paraId="44A6083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6</w:t>
            </w:r>
          </w:p>
        </w:tc>
      </w:tr>
      <w:tr w14:paraId="1AAD4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13A8DFF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continue"/>
            <w:vAlign w:val="center"/>
          </w:tcPr>
          <w:p w14:paraId="2826E3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945" w:type="dxa"/>
            <w:vAlign w:val="center"/>
          </w:tcPr>
          <w:p w14:paraId="5EF5F1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对象公平性</w:t>
            </w:r>
          </w:p>
        </w:tc>
        <w:tc>
          <w:tcPr>
            <w:tcW w:w="1464" w:type="dxa"/>
            <w:vAlign w:val="center"/>
          </w:tcPr>
          <w:p w14:paraId="35F754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8</w:t>
            </w:r>
          </w:p>
        </w:tc>
        <w:tc>
          <w:tcPr>
            <w:tcW w:w="1705" w:type="dxa"/>
            <w:vAlign w:val="center"/>
          </w:tcPr>
          <w:p w14:paraId="3EBD424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8</w:t>
            </w:r>
          </w:p>
        </w:tc>
      </w:tr>
      <w:tr w14:paraId="7B2C6B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60435A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continue"/>
            <w:vAlign w:val="center"/>
          </w:tcPr>
          <w:p w14:paraId="6EFDB9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945" w:type="dxa"/>
            <w:vAlign w:val="center"/>
          </w:tcPr>
          <w:p w14:paraId="29D708A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社会满意度</w:t>
            </w:r>
          </w:p>
        </w:tc>
        <w:tc>
          <w:tcPr>
            <w:tcW w:w="1464" w:type="dxa"/>
            <w:vAlign w:val="center"/>
          </w:tcPr>
          <w:p w14:paraId="361C77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6</w:t>
            </w:r>
          </w:p>
        </w:tc>
        <w:tc>
          <w:tcPr>
            <w:tcW w:w="1705" w:type="dxa"/>
            <w:vAlign w:val="center"/>
          </w:tcPr>
          <w:p w14:paraId="4A73B1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5</w:t>
            </w:r>
          </w:p>
        </w:tc>
      </w:tr>
      <w:tr w14:paraId="03FD5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restart"/>
          </w:tcPr>
          <w:p w14:paraId="3B993F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rPr>
                <w:rFonts w:ascii="仿宋_GB2312" w:hAnsi="Calibri" w:eastAsia="仿宋_GB2312"/>
                <w:sz w:val="32"/>
                <w:szCs w:val="32"/>
              </w:rPr>
            </w:pPr>
            <w:r>
              <w:rPr>
                <w:rFonts w:hint="eastAsia" w:ascii="仿宋_GB2312" w:hAnsi="Calibri" w:eastAsia="仿宋_GB2312"/>
                <w:sz w:val="32"/>
                <w:szCs w:val="32"/>
              </w:rPr>
              <w:t>特性指标</w:t>
            </w:r>
          </w:p>
          <w:p w14:paraId="13E891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rPr>
                <w:rFonts w:ascii="仿宋_GB2312" w:hAnsi="Calibri" w:eastAsia="仿宋_GB2312"/>
                <w:sz w:val="32"/>
                <w:szCs w:val="32"/>
              </w:rPr>
            </w:pPr>
            <w:r>
              <w:rPr>
                <w:rFonts w:hint="eastAsia" w:ascii="仿宋_GB2312" w:hAnsi="Calibri" w:eastAsia="仿宋_GB2312"/>
                <w:sz w:val="32"/>
                <w:szCs w:val="32"/>
              </w:rPr>
              <w:t>（50分）</w:t>
            </w:r>
          </w:p>
        </w:tc>
        <w:tc>
          <w:tcPr>
            <w:tcW w:w="1704" w:type="dxa"/>
          </w:tcPr>
          <w:p w14:paraId="3356C4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rPr>
                <w:rFonts w:ascii="仿宋_GB2312" w:hAnsi="Calibri" w:eastAsia="仿宋_GB2312"/>
                <w:sz w:val="32"/>
                <w:szCs w:val="32"/>
              </w:rPr>
            </w:pPr>
            <w:r>
              <w:rPr>
                <w:rFonts w:hint="eastAsia" w:ascii="仿宋_GB2312" w:hAnsi="Calibri" w:eastAsia="仿宋_GB2312"/>
                <w:sz w:val="32"/>
                <w:szCs w:val="32"/>
              </w:rPr>
              <w:t>基础管理</w:t>
            </w:r>
          </w:p>
        </w:tc>
        <w:tc>
          <w:tcPr>
            <w:tcW w:w="1945" w:type="dxa"/>
          </w:tcPr>
          <w:p w14:paraId="7EE755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rPr>
                <w:rFonts w:ascii="仿宋_GB2312" w:hAnsi="Calibri" w:eastAsia="仿宋_GB2312"/>
                <w:sz w:val="32"/>
                <w:szCs w:val="32"/>
              </w:rPr>
            </w:pPr>
            <w:r>
              <w:rPr>
                <w:rFonts w:hint="eastAsia" w:ascii="仿宋_GB2312" w:hAnsi="Calibri" w:eastAsia="仿宋_GB2312"/>
                <w:sz w:val="32"/>
                <w:szCs w:val="32"/>
              </w:rPr>
              <w:t>审核把关</w:t>
            </w:r>
          </w:p>
        </w:tc>
        <w:tc>
          <w:tcPr>
            <w:tcW w:w="1464" w:type="dxa"/>
            <w:vAlign w:val="center"/>
          </w:tcPr>
          <w:p w14:paraId="5F64BE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25</w:t>
            </w:r>
          </w:p>
        </w:tc>
        <w:tc>
          <w:tcPr>
            <w:tcW w:w="1705" w:type="dxa"/>
            <w:vAlign w:val="center"/>
          </w:tcPr>
          <w:p w14:paraId="0C7654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25</w:t>
            </w:r>
          </w:p>
        </w:tc>
      </w:tr>
      <w:tr w14:paraId="2A3BB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tcPr>
          <w:p w14:paraId="6DD15E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rPr>
                <w:rFonts w:ascii="仿宋_GB2312" w:hAnsi="Calibri" w:eastAsia="仿宋_GB2312"/>
                <w:sz w:val="32"/>
                <w:szCs w:val="32"/>
              </w:rPr>
            </w:pPr>
          </w:p>
        </w:tc>
        <w:tc>
          <w:tcPr>
            <w:tcW w:w="1704" w:type="dxa"/>
          </w:tcPr>
          <w:p w14:paraId="0CA9224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rPr>
                <w:rFonts w:ascii="仿宋_GB2312" w:hAnsi="Calibri" w:eastAsia="仿宋_GB2312"/>
                <w:sz w:val="32"/>
                <w:szCs w:val="32"/>
              </w:rPr>
            </w:pPr>
            <w:r>
              <w:rPr>
                <w:rFonts w:hint="eastAsia" w:ascii="仿宋_GB2312" w:hAnsi="Calibri" w:eastAsia="仿宋_GB2312"/>
                <w:sz w:val="32"/>
                <w:szCs w:val="32"/>
              </w:rPr>
              <w:t>社会效益</w:t>
            </w:r>
          </w:p>
        </w:tc>
        <w:tc>
          <w:tcPr>
            <w:tcW w:w="1945" w:type="dxa"/>
          </w:tcPr>
          <w:p w14:paraId="1897258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rPr>
                <w:rFonts w:ascii="仿宋_GB2312" w:hAnsi="Calibri" w:eastAsia="仿宋_GB2312"/>
                <w:sz w:val="32"/>
                <w:szCs w:val="32"/>
              </w:rPr>
            </w:pPr>
            <w:r>
              <w:rPr>
                <w:rFonts w:hint="eastAsia" w:ascii="仿宋_GB2312" w:hAnsi="Calibri" w:eastAsia="仿宋_GB2312"/>
                <w:sz w:val="32"/>
                <w:szCs w:val="32"/>
              </w:rPr>
              <w:t>资金使用率</w:t>
            </w:r>
          </w:p>
        </w:tc>
        <w:tc>
          <w:tcPr>
            <w:tcW w:w="1464" w:type="dxa"/>
            <w:vAlign w:val="center"/>
          </w:tcPr>
          <w:p w14:paraId="348086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25</w:t>
            </w:r>
          </w:p>
        </w:tc>
        <w:tc>
          <w:tcPr>
            <w:tcW w:w="1705" w:type="dxa"/>
            <w:vAlign w:val="center"/>
          </w:tcPr>
          <w:p w14:paraId="032434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20</w:t>
            </w:r>
          </w:p>
        </w:tc>
      </w:tr>
      <w:tr w14:paraId="39F47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7" w:hRule="atLeast"/>
        </w:trPr>
        <w:tc>
          <w:tcPr>
            <w:tcW w:w="5353" w:type="dxa"/>
            <w:gridSpan w:val="3"/>
            <w:vAlign w:val="center"/>
          </w:tcPr>
          <w:p w14:paraId="4143F1E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合计</w:t>
            </w:r>
          </w:p>
        </w:tc>
        <w:tc>
          <w:tcPr>
            <w:tcW w:w="1464" w:type="dxa"/>
            <w:vAlign w:val="center"/>
          </w:tcPr>
          <w:p w14:paraId="18AA23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100</w:t>
            </w:r>
          </w:p>
        </w:tc>
        <w:tc>
          <w:tcPr>
            <w:tcW w:w="1705" w:type="dxa"/>
            <w:vAlign w:val="center"/>
          </w:tcPr>
          <w:p w14:paraId="0BAE064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91</w:t>
            </w:r>
          </w:p>
        </w:tc>
      </w:tr>
    </w:tbl>
    <w:p w14:paraId="0E7767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rPr>
          <w:rFonts w:eastAsia="仿宋_GB2312"/>
          <w:sz w:val="32"/>
          <w:szCs w:val="32"/>
        </w:rPr>
      </w:pPr>
    </w:p>
    <w:p w14:paraId="0A993097">
      <w:pPr>
        <w:spacing w:line="600" w:lineRule="exact"/>
        <w:ind w:firstLine="640" w:firstLineChars="200"/>
        <w:rPr>
          <w:rFonts w:eastAsia="黑体"/>
          <w:bCs/>
          <w:sz w:val="32"/>
          <w:szCs w:val="32"/>
        </w:rPr>
      </w:pPr>
      <w:r>
        <w:rPr>
          <w:rFonts w:eastAsia="黑体"/>
          <w:bCs/>
          <w:sz w:val="32"/>
          <w:szCs w:val="32"/>
        </w:rPr>
        <w:t>五、其他需要说明的问题</w:t>
      </w:r>
    </w:p>
    <w:p w14:paraId="4B3080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无。</w:t>
      </w:r>
    </w:p>
    <w:p w14:paraId="2EA41B9A">
      <w:pPr>
        <w:widowControl/>
        <w:spacing w:line="600" w:lineRule="exact"/>
        <w:jc w:val="center"/>
        <w:rPr>
          <w:rFonts w:ascii="方正小标宋简体" w:hAnsi="方正小标宋简体" w:eastAsia="方正小标宋简体" w:cs="方正小标宋简体"/>
          <w:sz w:val="44"/>
          <w:szCs w:val="44"/>
        </w:rPr>
      </w:pPr>
    </w:p>
    <w:p w14:paraId="73783BE2">
      <w:pPr>
        <w:widowControl/>
        <w:spacing w:line="600" w:lineRule="exact"/>
        <w:jc w:val="center"/>
        <w:rPr>
          <w:rFonts w:ascii="方正小标宋简体" w:hAnsi="方正小标宋简体" w:eastAsia="方正小标宋简体" w:cs="方正小标宋简体"/>
          <w:sz w:val="44"/>
          <w:szCs w:val="44"/>
        </w:rPr>
      </w:pPr>
    </w:p>
    <w:p w14:paraId="4406F77B">
      <w:pPr>
        <w:widowControl/>
        <w:spacing w:line="600" w:lineRule="exact"/>
        <w:jc w:val="center"/>
        <w:rPr>
          <w:rFonts w:ascii="方正小标宋简体" w:hAnsi="方正小标宋简体" w:eastAsia="方正小标宋简体" w:cs="方正小标宋简体"/>
          <w:sz w:val="44"/>
          <w:szCs w:val="44"/>
        </w:rPr>
      </w:pPr>
    </w:p>
    <w:p w14:paraId="376706DB">
      <w:pPr>
        <w:widowControl/>
        <w:spacing w:line="600" w:lineRule="exact"/>
        <w:jc w:val="center"/>
        <w:rPr>
          <w:rFonts w:ascii="方正小标宋简体" w:hAnsi="方正小标宋简体" w:eastAsia="方正小标宋简体" w:cs="方正小标宋简体"/>
          <w:sz w:val="44"/>
          <w:szCs w:val="44"/>
        </w:rPr>
      </w:pPr>
    </w:p>
    <w:p w14:paraId="4B432DE2">
      <w:pPr>
        <w:pStyle w:val="2"/>
        <w:rPr>
          <w:rFonts w:ascii="方正小标宋简体" w:hAnsi="方正小标宋简体" w:eastAsia="方正小标宋简体" w:cs="方正小标宋简体"/>
          <w:sz w:val="44"/>
          <w:szCs w:val="44"/>
        </w:rPr>
      </w:pPr>
    </w:p>
    <w:p w14:paraId="5B9790C2">
      <w:pPr>
        <w:pStyle w:val="2"/>
        <w:rPr>
          <w:rFonts w:ascii="方正小标宋简体" w:hAnsi="方正小标宋简体" w:eastAsia="方正小标宋简体" w:cs="方正小标宋简体"/>
          <w:sz w:val="44"/>
          <w:szCs w:val="44"/>
        </w:rPr>
      </w:pPr>
    </w:p>
    <w:p w14:paraId="5C2A6E90">
      <w:pPr>
        <w:pStyle w:val="2"/>
        <w:rPr>
          <w:rFonts w:ascii="方正小标宋简体" w:hAnsi="方正小标宋简体" w:eastAsia="方正小标宋简体" w:cs="方正小标宋简体"/>
          <w:sz w:val="44"/>
          <w:szCs w:val="44"/>
        </w:rPr>
      </w:pPr>
    </w:p>
    <w:p w14:paraId="3A7DCE24">
      <w:pPr>
        <w:pStyle w:val="2"/>
        <w:rPr>
          <w:rFonts w:ascii="方正小标宋简体" w:hAnsi="方正小标宋简体" w:eastAsia="方正小标宋简体" w:cs="方正小标宋简体"/>
          <w:sz w:val="44"/>
          <w:szCs w:val="44"/>
        </w:rPr>
      </w:pPr>
    </w:p>
    <w:p w14:paraId="23A01495">
      <w:pPr>
        <w:pStyle w:val="2"/>
        <w:rPr>
          <w:rFonts w:ascii="方正小标宋简体" w:hAnsi="方正小标宋简体" w:eastAsia="方正小标宋简体" w:cs="方正小标宋简体"/>
          <w:sz w:val="44"/>
          <w:szCs w:val="44"/>
        </w:rPr>
      </w:pPr>
    </w:p>
    <w:p w14:paraId="4A3AA9C9">
      <w:pPr>
        <w:pStyle w:val="2"/>
        <w:rPr>
          <w:rFonts w:ascii="方正小标宋简体" w:hAnsi="方正小标宋简体" w:eastAsia="方正小标宋简体" w:cs="方正小标宋简体"/>
          <w:sz w:val="44"/>
          <w:szCs w:val="44"/>
        </w:rPr>
      </w:pPr>
    </w:p>
    <w:p w14:paraId="22EAE3A3">
      <w:pPr>
        <w:pStyle w:val="2"/>
        <w:rPr>
          <w:rFonts w:ascii="方正小标宋简体" w:hAnsi="方正小标宋简体" w:eastAsia="方正小标宋简体" w:cs="方正小标宋简体"/>
          <w:sz w:val="44"/>
          <w:szCs w:val="44"/>
        </w:rPr>
      </w:pPr>
    </w:p>
    <w:p w14:paraId="435BAE64">
      <w:pPr>
        <w:pStyle w:val="2"/>
        <w:rPr>
          <w:rFonts w:ascii="方正小标宋简体" w:hAnsi="方正小标宋简体" w:eastAsia="方正小标宋简体" w:cs="方正小标宋简体"/>
          <w:sz w:val="44"/>
          <w:szCs w:val="44"/>
        </w:rPr>
      </w:pPr>
    </w:p>
    <w:p w14:paraId="09FC1AA3">
      <w:pPr>
        <w:pStyle w:val="2"/>
        <w:rPr>
          <w:rFonts w:ascii="方正小标宋简体" w:hAnsi="方正小标宋简体" w:eastAsia="方正小标宋简体" w:cs="方正小标宋简体"/>
          <w:sz w:val="44"/>
          <w:szCs w:val="44"/>
        </w:rPr>
      </w:pPr>
    </w:p>
    <w:p w14:paraId="4C187C24">
      <w:pPr>
        <w:widowControl/>
        <w:spacing w:line="600" w:lineRule="exact"/>
        <w:jc w:val="center"/>
        <w:rPr>
          <w:rFonts w:ascii="方正小标宋简体" w:hAnsi="方正小标宋简体" w:eastAsia="方正小标宋简体" w:cs="方正小标宋简体"/>
          <w:sz w:val="44"/>
          <w:szCs w:val="44"/>
        </w:rPr>
      </w:pPr>
    </w:p>
    <w:p w14:paraId="3EE6C850">
      <w:pPr>
        <w:widowControl/>
        <w:spacing w:line="600" w:lineRule="exact"/>
        <w:jc w:val="center"/>
        <w:rPr>
          <w:rFonts w:ascii="方正小标宋简体" w:hAnsi="方正小标宋简体" w:eastAsia="方正小标宋简体" w:cs="方正小标宋简体"/>
          <w:sz w:val="44"/>
          <w:szCs w:val="44"/>
        </w:rPr>
      </w:pPr>
    </w:p>
    <w:p w14:paraId="30B03B6B">
      <w:pPr>
        <w:widowControl/>
        <w:spacing w:line="600" w:lineRule="exac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附件2-4</w:t>
      </w:r>
    </w:p>
    <w:p w14:paraId="06CF5213">
      <w:pPr>
        <w:kinsoku w:val="0"/>
        <w:overflowPunct w:val="0"/>
        <w:spacing w:line="640" w:lineRule="exact"/>
        <w:ind w:firstLine="724" w:firstLineChars="200"/>
        <w:jc w:val="center"/>
        <w:rPr>
          <w:rFonts w:ascii="方正小标宋简体" w:eastAsia="方正小标宋简体"/>
          <w:spacing w:val="1"/>
          <w:sz w:val="36"/>
          <w:szCs w:val="36"/>
        </w:rPr>
      </w:pPr>
      <w:r>
        <w:rPr>
          <w:rFonts w:hint="eastAsia" w:ascii="方正小标宋简体" w:eastAsia="方正小标宋简体"/>
          <w:spacing w:val="1"/>
          <w:sz w:val="36"/>
          <w:szCs w:val="36"/>
        </w:rPr>
        <w:t>沐川县综合行政执法局</w:t>
      </w:r>
    </w:p>
    <w:p w14:paraId="651A8A9C">
      <w:pPr>
        <w:kinsoku w:val="0"/>
        <w:overflowPunct w:val="0"/>
        <w:spacing w:line="640" w:lineRule="exact"/>
        <w:ind w:firstLine="724" w:firstLineChars="200"/>
        <w:jc w:val="center"/>
        <w:rPr>
          <w:rFonts w:ascii="方正小标宋简体" w:eastAsia="方正小标宋简体"/>
          <w:spacing w:val="1"/>
          <w:sz w:val="36"/>
          <w:szCs w:val="36"/>
        </w:rPr>
      </w:pPr>
      <w:r>
        <w:rPr>
          <w:rFonts w:hint="eastAsia" w:ascii="方正小标宋简体" w:eastAsia="方正小标宋简体"/>
          <w:spacing w:val="1"/>
          <w:sz w:val="36"/>
          <w:szCs w:val="36"/>
        </w:rPr>
        <w:t>2022年度船舶及特种设备车辆运维费项目支出</w:t>
      </w:r>
    </w:p>
    <w:p w14:paraId="39B9C7B4">
      <w:pPr>
        <w:kinsoku w:val="0"/>
        <w:overflowPunct w:val="0"/>
        <w:spacing w:line="640" w:lineRule="exact"/>
        <w:ind w:firstLine="724" w:firstLineChars="200"/>
        <w:jc w:val="center"/>
        <w:rPr>
          <w:rFonts w:ascii="方正小标宋简体" w:eastAsia="方正小标宋简体"/>
          <w:spacing w:val="1"/>
          <w:sz w:val="36"/>
          <w:szCs w:val="36"/>
        </w:rPr>
      </w:pPr>
      <w:r>
        <w:rPr>
          <w:rFonts w:hint="eastAsia" w:ascii="方正小标宋简体" w:eastAsia="方正小标宋简体"/>
          <w:spacing w:val="1"/>
          <w:sz w:val="36"/>
          <w:szCs w:val="36"/>
        </w:rPr>
        <w:t>绩效自评报告</w:t>
      </w:r>
    </w:p>
    <w:p w14:paraId="32D6A67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480" w:firstLineChars="200"/>
        <w:jc w:val="left"/>
        <w:rPr>
          <w:rFonts w:ascii="宋体" w:hAnsi="宋体" w:cs="宋体"/>
          <w:sz w:val="24"/>
        </w:rPr>
      </w:pPr>
    </w:p>
    <w:p w14:paraId="30EF8C19">
      <w:pPr>
        <w:spacing w:line="640" w:lineRule="exact"/>
        <w:ind w:firstLine="640" w:firstLineChars="200"/>
        <w:rPr>
          <w:rFonts w:eastAsia="黑体"/>
          <w:bCs/>
          <w:sz w:val="32"/>
          <w:szCs w:val="32"/>
        </w:rPr>
      </w:pPr>
      <w:r>
        <w:rPr>
          <w:rFonts w:eastAsia="黑体"/>
          <w:bCs/>
          <w:sz w:val="32"/>
          <w:szCs w:val="32"/>
        </w:rPr>
        <w:t>一、项目基本情况</w:t>
      </w:r>
    </w:p>
    <w:p w14:paraId="7CB045FB">
      <w:pPr>
        <w:spacing w:line="640" w:lineRule="exact"/>
        <w:ind w:firstLine="643" w:firstLineChars="200"/>
        <w:outlineLvl w:val="0"/>
        <w:rPr>
          <w:rFonts w:eastAsia="楷体_GB2312"/>
          <w:b/>
          <w:sz w:val="32"/>
          <w:szCs w:val="32"/>
        </w:rPr>
      </w:pPr>
      <w:r>
        <w:rPr>
          <w:rFonts w:eastAsia="楷体_GB2312"/>
          <w:b/>
          <w:sz w:val="32"/>
          <w:szCs w:val="32"/>
        </w:rPr>
        <w:t>（一）绩效目标情况。</w:t>
      </w:r>
    </w:p>
    <w:p w14:paraId="67644518">
      <w:pPr>
        <w:spacing w:line="640" w:lineRule="exact"/>
        <w:ind w:firstLine="640" w:firstLineChars="200"/>
        <w:outlineLvl w:val="0"/>
        <w:rPr>
          <w:rFonts w:eastAsia="楷体_GB2312"/>
          <w:sz w:val="32"/>
          <w:szCs w:val="32"/>
        </w:rPr>
      </w:pPr>
      <w:r>
        <w:rPr>
          <w:rFonts w:hint="eastAsia" w:ascii="仿宋_GB2312" w:hAnsi="宋体" w:eastAsia="仿宋_GB2312" w:cs="宋体"/>
          <w:sz w:val="32"/>
          <w:szCs w:val="32"/>
        </w:rPr>
        <w:t>船舶及特种设备车辆运维费为政务专项类项目，该项目主要用于执法巡逻艇、特种设备车辆和电动巡逻车燃油费、维修费等支出。通过项目实施，确保了县域内水上执法工作顺利开展，加强执法监管力度，有力打击各类违法、违规行为。</w:t>
      </w:r>
    </w:p>
    <w:p w14:paraId="2FABFEA6">
      <w:pPr>
        <w:spacing w:line="640" w:lineRule="exact"/>
        <w:ind w:firstLine="643" w:firstLineChars="200"/>
        <w:outlineLvl w:val="0"/>
        <w:rPr>
          <w:rFonts w:eastAsia="楷体_GB2312"/>
          <w:b/>
          <w:sz w:val="32"/>
          <w:szCs w:val="32"/>
        </w:rPr>
      </w:pPr>
      <w:r>
        <w:rPr>
          <w:rFonts w:eastAsia="楷体_GB2312"/>
          <w:b/>
          <w:sz w:val="32"/>
          <w:szCs w:val="32"/>
        </w:rPr>
        <w:t>（二）资金安排情况。</w:t>
      </w:r>
    </w:p>
    <w:p w14:paraId="5F4F011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rPr>
      </w:pPr>
      <w:r>
        <w:rPr>
          <w:rFonts w:hint="eastAsia" w:ascii="仿宋_GB2312" w:hAnsi="宋体" w:eastAsia="仿宋_GB2312" w:cs="宋体"/>
          <w:color w:val="000000"/>
          <w:kern w:val="0"/>
          <w:sz w:val="32"/>
          <w:szCs w:val="32"/>
          <w:shd w:val="clear" w:color="auto" w:fill="FFFFFF"/>
          <w:lang w:val="zh-CN"/>
        </w:rPr>
        <w:t>根据《沐川县财政局关于批复2022年部门预算的通知》（沐财发〔2022〕23号）文件，县财政局下达我单位</w:t>
      </w:r>
      <w:r>
        <w:rPr>
          <w:rFonts w:hint="eastAsia" w:ascii="仿宋_GB2312" w:hAnsi="宋体" w:eastAsia="仿宋_GB2312" w:cs="宋体"/>
          <w:sz w:val="32"/>
          <w:szCs w:val="32"/>
        </w:rPr>
        <w:t>船舶及特种设备车辆运维费项目年初预算收入16.80万元，该项目资金均为县级财政资金，</w:t>
      </w:r>
      <w:r>
        <w:rPr>
          <w:rFonts w:ascii="仿宋_GB2312" w:hAnsi="宋体" w:eastAsia="仿宋_GB2312" w:cs="宋体"/>
          <w:sz w:val="32"/>
          <w:szCs w:val="32"/>
        </w:rPr>
        <w:t>主要是一般公共预算</w:t>
      </w:r>
      <w:r>
        <w:rPr>
          <w:rFonts w:hint="eastAsia" w:ascii="仿宋_GB2312" w:hAnsi="宋体" w:eastAsia="仿宋_GB2312" w:cs="宋体"/>
          <w:sz w:val="32"/>
          <w:szCs w:val="32"/>
        </w:rPr>
        <w:t>财政</w:t>
      </w:r>
      <w:r>
        <w:rPr>
          <w:rFonts w:ascii="仿宋_GB2312" w:hAnsi="宋体" w:eastAsia="仿宋_GB2312" w:cs="宋体"/>
          <w:sz w:val="32"/>
          <w:szCs w:val="32"/>
        </w:rPr>
        <w:t>拨款收入</w:t>
      </w:r>
      <w:r>
        <w:rPr>
          <w:rFonts w:hint="eastAsia" w:ascii="仿宋_GB2312" w:hAnsi="宋体" w:eastAsia="仿宋_GB2312" w:cs="宋体"/>
          <w:sz w:val="32"/>
          <w:szCs w:val="32"/>
        </w:rPr>
        <w:t xml:space="preserve">。 </w:t>
      </w:r>
    </w:p>
    <w:p w14:paraId="739D8F19">
      <w:pPr>
        <w:spacing w:line="640" w:lineRule="exact"/>
        <w:ind w:firstLine="640" w:firstLineChars="200"/>
        <w:rPr>
          <w:rFonts w:eastAsia="黑体"/>
          <w:bCs/>
          <w:sz w:val="32"/>
          <w:szCs w:val="32"/>
        </w:rPr>
      </w:pPr>
      <w:r>
        <w:rPr>
          <w:rFonts w:eastAsia="黑体"/>
          <w:bCs/>
          <w:sz w:val="32"/>
          <w:szCs w:val="32"/>
        </w:rPr>
        <w:t>二、绩效目标完成情况分析</w:t>
      </w:r>
    </w:p>
    <w:p w14:paraId="2ED22DA7">
      <w:pPr>
        <w:spacing w:line="640" w:lineRule="exact"/>
        <w:ind w:firstLine="643" w:firstLineChars="200"/>
        <w:outlineLvl w:val="0"/>
        <w:rPr>
          <w:rFonts w:eastAsia="楷体_GB2312"/>
          <w:b/>
          <w:sz w:val="32"/>
          <w:szCs w:val="32"/>
        </w:rPr>
      </w:pPr>
      <w:r>
        <w:rPr>
          <w:rFonts w:eastAsia="楷体_GB2312"/>
          <w:b/>
          <w:sz w:val="32"/>
          <w:szCs w:val="32"/>
        </w:rPr>
        <w:t>（一）预算执行进度情况分析。</w:t>
      </w:r>
    </w:p>
    <w:p w14:paraId="7559CC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rPr>
      </w:pPr>
      <w:r>
        <w:rPr>
          <w:rFonts w:ascii="仿宋_GB2312" w:hAnsi="宋体" w:eastAsia="仿宋_GB2312" w:cs="宋体"/>
          <w:sz w:val="32"/>
          <w:szCs w:val="32"/>
        </w:rPr>
        <w:t>本单位</w:t>
      </w:r>
      <w:r>
        <w:rPr>
          <w:rFonts w:hint="eastAsia" w:ascii="仿宋_GB2312" w:hAnsi="宋体" w:eastAsia="仿宋_GB2312" w:cs="宋体"/>
          <w:sz w:val="32"/>
          <w:szCs w:val="32"/>
        </w:rPr>
        <w:t>2022年按预算批复文件合理安排支出，按月申报用款计划，项目资金申报与实际实施内容相符，申报目标合理可行。截止2022年底，船舶及特种设备车辆运维费项目支出决算数8.12万元，主要用于其他交通费用支出等，资金支付与预算相符。在预算执行过程中，预算用于新能源巡逻艇更换电池费用，因实施费用过大，可持续性较差，未执行。</w:t>
      </w:r>
    </w:p>
    <w:p w14:paraId="63E4B40A">
      <w:pPr>
        <w:spacing w:line="640" w:lineRule="exact"/>
        <w:ind w:firstLine="643" w:firstLineChars="200"/>
        <w:outlineLvl w:val="0"/>
        <w:rPr>
          <w:rFonts w:eastAsia="仿宋_GB2312"/>
          <w:sz w:val="32"/>
          <w:szCs w:val="32"/>
        </w:rPr>
      </w:pPr>
      <w:r>
        <w:rPr>
          <w:rFonts w:eastAsia="楷体_GB2312"/>
          <w:b/>
          <w:sz w:val="32"/>
          <w:szCs w:val="32"/>
        </w:rPr>
        <w:t>（二）总体绩效目标完成情况分析。</w:t>
      </w:r>
    </w:p>
    <w:p w14:paraId="73CC30F0">
      <w:pPr>
        <w:spacing w:line="640" w:lineRule="exact"/>
        <w:ind w:firstLine="640" w:firstLineChars="200"/>
        <w:outlineLvl w:val="0"/>
        <w:rPr>
          <w:rFonts w:eastAsia="楷体_GB2312"/>
          <w:sz w:val="32"/>
          <w:szCs w:val="32"/>
        </w:rPr>
      </w:pPr>
      <w:r>
        <w:rPr>
          <w:rFonts w:hint="eastAsia" w:ascii="仿宋_GB2312" w:eastAsia="仿宋_GB2312"/>
          <w:sz w:val="32"/>
          <w:szCs w:val="32"/>
        </w:rPr>
        <w:t>项目的实施，</w:t>
      </w:r>
      <w:r>
        <w:rPr>
          <w:rFonts w:hint="eastAsia" w:ascii="仿宋_GB2312" w:hAnsi="宋体" w:eastAsia="仿宋_GB2312" w:cs="宋体"/>
          <w:sz w:val="32"/>
          <w:szCs w:val="32"/>
        </w:rPr>
        <w:t>保障了执法巡逻艇、特种设备车辆和电动巡逻车正常运行，确保执法检查工作顺利开展。</w:t>
      </w:r>
      <w:r>
        <w:rPr>
          <w:rFonts w:hint="eastAsia" w:ascii="仿宋_GB2312" w:eastAsia="仿宋_GB2312"/>
          <w:sz w:val="32"/>
          <w:szCs w:val="32"/>
        </w:rPr>
        <w:t>但2022年该项目产出指标未全部完成，预算执行率低。</w:t>
      </w:r>
    </w:p>
    <w:p w14:paraId="49EB3245">
      <w:pPr>
        <w:adjustRightInd w:val="0"/>
        <w:snapToGrid w:val="0"/>
        <w:spacing w:line="640" w:lineRule="exact"/>
        <w:ind w:firstLine="643" w:firstLineChars="200"/>
        <w:rPr>
          <w:rFonts w:eastAsia="仿宋_GB2312"/>
          <w:sz w:val="32"/>
          <w:szCs w:val="32"/>
          <w:lang w:val="zh-CN"/>
        </w:rPr>
      </w:pPr>
      <w:r>
        <w:rPr>
          <w:rFonts w:eastAsia="楷体_GB2312"/>
          <w:b/>
          <w:sz w:val="32"/>
          <w:szCs w:val="32"/>
        </w:rPr>
        <w:t>（三）绩效指标完成情况分析。</w:t>
      </w:r>
    </w:p>
    <w:p w14:paraId="740F64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该项目年初预算收入16.80万元，</w:t>
      </w:r>
      <w:r>
        <w:rPr>
          <w:rFonts w:hint="eastAsia" w:ascii="仿宋_GB2312" w:hAnsi="宋体" w:eastAsia="仿宋_GB2312" w:cs="宋体"/>
          <w:sz w:val="32"/>
          <w:szCs w:val="32"/>
        </w:rPr>
        <w:t>实际申报使用项目资金8.12万元，预算执行率48.33%，</w:t>
      </w:r>
      <w:r>
        <w:rPr>
          <w:rFonts w:hint="eastAsia" w:ascii="仿宋_GB2312" w:hAnsi="宋体" w:eastAsia="仿宋_GB2312" w:cs="宋体"/>
          <w:bCs/>
          <w:sz w:val="32"/>
          <w:szCs w:val="32"/>
        </w:rPr>
        <w:t>无违规记录。产出指标完成情况如下：</w:t>
      </w:r>
    </w:p>
    <w:p w14:paraId="76CF69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1.数量指标</w:t>
      </w:r>
    </w:p>
    <w:p w14:paraId="79D348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保障了6艘执法巡逻艇、2辆特种设备车辆、17辆执法电动巡逻车正常运行。</w:t>
      </w:r>
    </w:p>
    <w:p w14:paraId="7B52AC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2.质量指标</w:t>
      </w:r>
    </w:p>
    <w:p w14:paraId="6D50C15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rPr>
        <w:t>确保了县域内水上执法工作顺利开展</w:t>
      </w:r>
      <w:r>
        <w:rPr>
          <w:rFonts w:hint="eastAsia" w:ascii="仿宋_GB2312" w:hAnsi="宋体" w:eastAsia="仿宋_GB2312" w:cs="宋体"/>
          <w:sz w:val="32"/>
          <w:szCs w:val="32"/>
          <w:lang w:val="zh-CN"/>
        </w:rPr>
        <w:t>，圆满完成各项工作任务。</w:t>
      </w:r>
    </w:p>
    <w:p w14:paraId="214CDAB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3.时效指标</w:t>
      </w:r>
    </w:p>
    <w:p w14:paraId="485DEA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按项目实施进度申报资金，资金支付及时。</w:t>
      </w:r>
    </w:p>
    <w:p w14:paraId="6804128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4.成本指标</w:t>
      </w:r>
    </w:p>
    <w:p w14:paraId="3434C4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rPr>
        <w:t>船舶及特种设备车辆运维费</w:t>
      </w:r>
      <w:r>
        <w:rPr>
          <w:rFonts w:hint="eastAsia" w:ascii="仿宋_GB2312" w:hAnsi="宋体" w:eastAsia="仿宋_GB2312" w:cs="宋体"/>
          <w:sz w:val="32"/>
          <w:szCs w:val="32"/>
          <w:lang w:val="zh-CN"/>
        </w:rPr>
        <w:t>保障100%。</w:t>
      </w:r>
    </w:p>
    <w:p w14:paraId="3D85B7BF">
      <w:pPr>
        <w:spacing w:line="640" w:lineRule="exact"/>
        <w:ind w:firstLine="643" w:firstLineChars="200"/>
        <w:outlineLvl w:val="0"/>
        <w:rPr>
          <w:rFonts w:eastAsia="仿宋_GB2312"/>
          <w:sz w:val="32"/>
          <w:szCs w:val="32"/>
        </w:rPr>
      </w:pPr>
      <w:r>
        <w:rPr>
          <w:rFonts w:eastAsia="楷体_GB2312"/>
          <w:b/>
          <w:sz w:val="32"/>
          <w:szCs w:val="32"/>
        </w:rPr>
        <w:t>（四）项目效益分析。</w:t>
      </w:r>
    </w:p>
    <w:p w14:paraId="6273AD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效益指标完成情况如下：</w:t>
      </w:r>
    </w:p>
    <w:p w14:paraId="6D6B0C8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1.社会效益指标</w:t>
      </w:r>
    </w:p>
    <w:p w14:paraId="720283E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（1）对行政违法行为打击作用增强。（2）行业执法监管效能显著提高。</w:t>
      </w:r>
    </w:p>
    <w:p w14:paraId="01847F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2.经济效益指标</w:t>
      </w:r>
    </w:p>
    <w:p w14:paraId="1C0459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有效降低行政执法成本。</w:t>
      </w:r>
    </w:p>
    <w:p w14:paraId="275B24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3.可持续性影响指标</w:t>
      </w:r>
    </w:p>
    <w:p w14:paraId="3CD8FFE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保障了综合执法工作持续有效开展。</w:t>
      </w:r>
      <w:r>
        <w:rPr>
          <w:rFonts w:ascii="仿宋_GB2312" w:hAnsi="宋体" w:eastAsia="仿宋_GB2312" w:cs="宋体"/>
          <w:sz w:val="32"/>
          <w:szCs w:val="32"/>
        </w:rPr>
        <w:t xml:space="preserve"> </w:t>
      </w:r>
    </w:p>
    <w:p w14:paraId="458568EC">
      <w:pPr>
        <w:spacing w:line="640" w:lineRule="exact"/>
        <w:ind w:firstLine="640" w:firstLineChars="200"/>
        <w:rPr>
          <w:rFonts w:eastAsia="仿宋_GB2312"/>
          <w:sz w:val="32"/>
          <w:szCs w:val="32"/>
        </w:rPr>
      </w:pPr>
      <w:r>
        <w:rPr>
          <w:rFonts w:eastAsia="黑体"/>
          <w:bCs/>
          <w:sz w:val="32"/>
          <w:szCs w:val="32"/>
        </w:rPr>
        <w:t>三、偏离绩效目标的原因和下一步改进措施</w:t>
      </w:r>
    </w:p>
    <w:p w14:paraId="78CA8B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项目偏离绩效目标，预算执行未完成，预算执行率低。主要原因是新能源巡逻艇电池生命周期不长，成本过高，预算估计不足，导致项目未实施完毕。下一步我单位将积极探索新能源巡逻艇改建方案，合理安排预算支出。</w:t>
      </w:r>
    </w:p>
    <w:p w14:paraId="3C616E3F">
      <w:pPr>
        <w:spacing w:line="640" w:lineRule="exact"/>
        <w:ind w:firstLine="640" w:firstLineChars="200"/>
        <w:rPr>
          <w:rFonts w:eastAsia="黑体"/>
          <w:bCs/>
          <w:sz w:val="32"/>
          <w:szCs w:val="32"/>
        </w:rPr>
      </w:pPr>
      <w:r>
        <w:rPr>
          <w:rFonts w:eastAsia="黑体"/>
          <w:bCs/>
          <w:sz w:val="32"/>
          <w:szCs w:val="32"/>
        </w:rPr>
        <w:t>四、绩效自评结果拟应用和公开情况</w:t>
      </w:r>
    </w:p>
    <w:p w14:paraId="46B121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rPr>
          <w:rFonts w:ascii="仿宋_GB2312" w:hAnsi="宋体" w:eastAsia="仿宋_GB2312" w:cs="宋体"/>
          <w:sz w:val="32"/>
          <w:szCs w:val="32"/>
        </w:rPr>
      </w:pPr>
      <w:r>
        <w:rPr>
          <w:rFonts w:eastAsia="仿宋_GB2312"/>
          <w:sz w:val="32"/>
          <w:szCs w:val="32"/>
        </w:rPr>
        <w:t>从总体上看</w:t>
      </w:r>
      <w:r>
        <w:rPr>
          <w:rFonts w:hint="eastAsia" w:eastAsia="仿宋_GB2312"/>
          <w:sz w:val="32"/>
          <w:szCs w:val="32"/>
        </w:rPr>
        <w:t>，</w:t>
      </w:r>
      <w:r>
        <w:rPr>
          <w:rFonts w:eastAsia="仿宋_GB2312"/>
          <w:sz w:val="32"/>
          <w:szCs w:val="32"/>
        </w:rPr>
        <w:t>该项目政策依据充分</w:t>
      </w:r>
      <w:r>
        <w:rPr>
          <w:rFonts w:hint="eastAsia" w:eastAsia="仿宋_GB2312"/>
          <w:sz w:val="32"/>
          <w:szCs w:val="32"/>
        </w:rPr>
        <w:t>，</w:t>
      </w:r>
      <w:r>
        <w:rPr>
          <w:rFonts w:eastAsia="仿宋_GB2312"/>
          <w:sz w:val="32"/>
          <w:szCs w:val="32"/>
        </w:rPr>
        <w:t>项目的设立经过严格的评估论证</w:t>
      </w:r>
      <w:r>
        <w:rPr>
          <w:rFonts w:hint="eastAsia" w:eastAsia="仿宋_GB2312"/>
          <w:sz w:val="32"/>
          <w:szCs w:val="32"/>
        </w:rPr>
        <w:t>，与部门职责相适应；项目规划符合年度目标；项目资金使用符合相关财务管理的规定；实施程序符合项目方案，但是在项目实施进度上存在一定的缺陷。</w:t>
      </w:r>
      <w:r>
        <w:rPr>
          <w:rFonts w:hint="eastAsia" w:ascii="仿宋_GB2312" w:hAnsi="宋体" w:eastAsia="仿宋_GB2312" w:cs="宋体"/>
          <w:sz w:val="32"/>
          <w:szCs w:val="32"/>
        </w:rPr>
        <w:t>经自评，船舶及特种设备车辆运维费项目自评得分92分，评价等级为“优”。2023年该项目继续使用，预计安排预算16.80万元。项目自评结果按规定时间于政府网站公开。项目支出得分明细如下所示：</w:t>
      </w:r>
    </w:p>
    <w:p w14:paraId="7F78F9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1108" w:firstLineChars="345"/>
        <w:rPr>
          <w:rFonts w:ascii="仿宋_GB2312" w:hAnsi="宋体" w:eastAsia="仿宋_GB2312" w:cs="宋体"/>
          <w:b/>
          <w:sz w:val="32"/>
          <w:szCs w:val="32"/>
        </w:rPr>
      </w:pPr>
      <w:r>
        <w:rPr>
          <w:rFonts w:hint="eastAsia" w:ascii="仿宋_GB2312" w:hAnsi="宋体" w:eastAsia="仿宋_GB2312" w:cs="宋体"/>
          <w:b/>
          <w:sz w:val="32"/>
          <w:szCs w:val="32"/>
        </w:rPr>
        <w:t>船舶及特种设备车辆运维费项目支出得分表</w:t>
      </w:r>
    </w:p>
    <w:tbl>
      <w:tblPr>
        <w:tblStyle w:val="1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04"/>
        <w:gridCol w:w="1704"/>
        <w:gridCol w:w="1945"/>
        <w:gridCol w:w="1464"/>
        <w:gridCol w:w="1705"/>
      </w:tblGrid>
      <w:tr w14:paraId="4B1F7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1" w:hRule="atLeast"/>
        </w:trPr>
        <w:tc>
          <w:tcPr>
            <w:tcW w:w="5353" w:type="dxa"/>
            <w:gridSpan w:val="3"/>
            <w:vAlign w:val="center"/>
          </w:tcPr>
          <w:p w14:paraId="7D86C1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b/>
                <w:sz w:val="28"/>
                <w:szCs w:val="28"/>
              </w:rPr>
            </w:pPr>
            <w:r>
              <w:rPr>
                <w:rFonts w:hint="eastAsia" w:ascii="仿宋_GB2312" w:hAnsi="Calibri" w:eastAsia="仿宋_GB2312"/>
                <w:b/>
                <w:sz w:val="28"/>
                <w:szCs w:val="28"/>
              </w:rPr>
              <w:t>绩效指标</w:t>
            </w:r>
          </w:p>
        </w:tc>
        <w:tc>
          <w:tcPr>
            <w:tcW w:w="1464" w:type="dxa"/>
            <w:vMerge w:val="restart"/>
            <w:vAlign w:val="center"/>
          </w:tcPr>
          <w:p w14:paraId="0E06F2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b/>
                <w:sz w:val="28"/>
                <w:szCs w:val="28"/>
              </w:rPr>
            </w:pPr>
            <w:r>
              <w:rPr>
                <w:rFonts w:hint="eastAsia" w:ascii="仿宋_GB2312" w:hAnsi="Calibri" w:eastAsia="仿宋_GB2312"/>
                <w:b/>
                <w:sz w:val="28"/>
                <w:szCs w:val="28"/>
              </w:rPr>
              <w:t>指标分值</w:t>
            </w:r>
          </w:p>
        </w:tc>
        <w:tc>
          <w:tcPr>
            <w:tcW w:w="1705" w:type="dxa"/>
            <w:vMerge w:val="restart"/>
            <w:vAlign w:val="center"/>
          </w:tcPr>
          <w:p w14:paraId="79006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b/>
                <w:sz w:val="28"/>
                <w:szCs w:val="28"/>
              </w:rPr>
            </w:pPr>
            <w:r>
              <w:rPr>
                <w:rFonts w:hint="eastAsia" w:ascii="仿宋_GB2312" w:hAnsi="Calibri" w:eastAsia="仿宋_GB2312"/>
                <w:b/>
                <w:sz w:val="28"/>
                <w:szCs w:val="28"/>
              </w:rPr>
              <w:t>得分</w:t>
            </w:r>
          </w:p>
        </w:tc>
      </w:tr>
      <w:tr w14:paraId="56C10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7" w:hRule="atLeast"/>
        </w:trPr>
        <w:tc>
          <w:tcPr>
            <w:tcW w:w="1704" w:type="dxa"/>
            <w:vAlign w:val="center"/>
          </w:tcPr>
          <w:p w14:paraId="2AF5B5B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b/>
                <w:sz w:val="28"/>
                <w:szCs w:val="28"/>
              </w:rPr>
            </w:pPr>
            <w:r>
              <w:rPr>
                <w:rFonts w:hint="eastAsia" w:ascii="仿宋_GB2312" w:hAnsi="Calibri" w:eastAsia="仿宋_GB2312"/>
                <w:b/>
                <w:sz w:val="28"/>
                <w:szCs w:val="28"/>
              </w:rPr>
              <w:t>一级指标</w:t>
            </w:r>
          </w:p>
        </w:tc>
        <w:tc>
          <w:tcPr>
            <w:tcW w:w="1704" w:type="dxa"/>
            <w:vAlign w:val="center"/>
          </w:tcPr>
          <w:p w14:paraId="09EB31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b/>
                <w:sz w:val="28"/>
                <w:szCs w:val="28"/>
              </w:rPr>
            </w:pPr>
            <w:r>
              <w:rPr>
                <w:rFonts w:hint="eastAsia" w:ascii="仿宋_GB2312" w:hAnsi="Calibri" w:eastAsia="仿宋_GB2312"/>
                <w:b/>
                <w:sz w:val="28"/>
                <w:szCs w:val="28"/>
              </w:rPr>
              <w:t>二级指标</w:t>
            </w:r>
          </w:p>
        </w:tc>
        <w:tc>
          <w:tcPr>
            <w:tcW w:w="1945" w:type="dxa"/>
            <w:vAlign w:val="center"/>
          </w:tcPr>
          <w:p w14:paraId="095C94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b/>
                <w:sz w:val="28"/>
                <w:szCs w:val="28"/>
              </w:rPr>
            </w:pPr>
            <w:r>
              <w:rPr>
                <w:rFonts w:hint="eastAsia" w:ascii="仿宋_GB2312" w:hAnsi="Calibri" w:eastAsia="仿宋_GB2312"/>
                <w:b/>
                <w:sz w:val="28"/>
                <w:szCs w:val="28"/>
              </w:rPr>
              <w:t>三级指标</w:t>
            </w:r>
          </w:p>
        </w:tc>
        <w:tc>
          <w:tcPr>
            <w:tcW w:w="1464" w:type="dxa"/>
            <w:vMerge w:val="continue"/>
            <w:vAlign w:val="center"/>
          </w:tcPr>
          <w:p w14:paraId="506B32D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p>
        </w:tc>
        <w:tc>
          <w:tcPr>
            <w:tcW w:w="1705" w:type="dxa"/>
            <w:vMerge w:val="continue"/>
            <w:vAlign w:val="center"/>
          </w:tcPr>
          <w:p w14:paraId="252AEE7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p>
        </w:tc>
      </w:tr>
      <w:tr w14:paraId="67665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restart"/>
            <w:vAlign w:val="center"/>
          </w:tcPr>
          <w:p w14:paraId="0E8C97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通用指标</w:t>
            </w:r>
          </w:p>
          <w:p w14:paraId="05940F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（30分）</w:t>
            </w:r>
          </w:p>
        </w:tc>
        <w:tc>
          <w:tcPr>
            <w:tcW w:w="1704" w:type="dxa"/>
            <w:vMerge w:val="restart"/>
            <w:vAlign w:val="center"/>
          </w:tcPr>
          <w:p w14:paraId="249DE6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项目决策</w:t>
            </w:r>
          </w:p>
        </w:tc>
        <w:tc>
          <w:tcPr>
            <w:tcW w:w="1945" w:type="dxa"/>
            <w:vAlign w:val="center"/>
          </w:tcPr>
          <w:p w14:paraId="0259AA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程序严密</w:t>
            </w:r>
          </w:p>
        </w:tc>
        <w:tc>
          <w:tcPr>
            <w:tcW w:w="1464" w:type="dxa"/>
            <w:vAlign w:val="center"/>
          </w:tcPr>
          <w:p w14:paraId="6B2D28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4</w:t>
            </w:r>
          </w:p>
        </w:tc>
        <w:tc>
          <w:tcPr>
            <w:tcW w:w="1705" w:type="dxa"/>
            <w:vAlign w:val="center"/>
          </w:tcPr>
          <w:p w14:paraId="0ACA6A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4</w:t>
            </w:r>
          </w:p>
        </w:tc>
      </w:tr>
      <w:tr w14:paraId="5F78D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3407B5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p>
        </w:tc>
        <w:tc>
          <w:tcPr>
            <w:tcW w:w="1704" w:type="dxa"/>
            <w:vMerge w:val="continue"/>
            <w:vAlign w:val="center"/>
          </w:tcPr>
          <w:p w14:paraId="52C163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p>
        </w:tc>
        <w:tc>
          <w:tcPr>
            <w:tcW w:w="1945" w:type="dxa"/>
            <w:vAlign w:val="center"/>
          </w:tcPr>
          <w:p w14:paraId="6E9E343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规划合理</w:t>
            </w:r>
          </w:p>
        </w:tc>
        <w:tc>
          <w:tcPr>
            <w:tcW w:w="1464" w:type="dxa"/>
            <w:vAlign w:val="center"/>
          </w:tcPr>
          <w:p w14:paraId="11381D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4</w:t>
            </w:r>
          </w:p>
        </w:tc>
        <w:tc>
          <w:tcPr>
            <w:tcW w:w="1705" w:type="dxa"/>
            <w:vAlign w:val="center"/>
          </w:tcPr>
          <w:p w14:paraId="16305B1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4</w:t>
            </w:r>
          </w:p>
        </w:tc>
      </w:tr>
      <w:tr w14:paraId="27FF6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7159C2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p>
        </w:tc>
        <w:tc>
          <w:tcPr>
            <w:tcW w:w="1704" w:type="dxa"/>
            <w:vMerge w:val="restart"/>
            <w:vAlign w:val="center"/>
          </w:tcPr>
          <w:p w14:paraId="4AA9A29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项目实施</w:t>
            </w:r>
          </w:p>
        </w:tc>
        <w:tc>
          <w:tcPr>
            <w:tcW w:w="1945" w:type="dxa"/>
            <w:vAlign w:val="center"/>
          </w:tcPr>
          <w:p w14:paraId="442B30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分配合理</w:t>
            </w:r>
          </w:p>
        </w:tc>
        <w:tc>
          <w:tcPr>
            <w:tcW w:w="1464" w:type="dxa"/>
            <w:vAlign w:val="center"/>
          </w:tcPr>
          <w:p w14:paraId="6197DF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4</w:t>
            </w:r>
          </w:p>
        </w:tc>
        <w:tc>
          <w:tcPr>
            <w:tcW w:w="1705" w:type="dxa"/>
            <w:vAlign w:val="center"/>
          </w:tcPr>
          <w:p w14:paraId="01C168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4</w:t>
            </w:r>
          </w:p>
        </w:tc>
      </w:tr>
      <w:tr w14:paraId="4BB58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1" w:hRule="atLeast"/>
        </w:trPr>
        <w:tc>
          <w:tcPr>
            <w:tcW w:w="1704" w:type="dxa"/>
            <w:vMerge w:val="continue"/>
            <w:vAlign w:val="center"/>
          </w:tcPr>
          <w:p w14:paraId="43F9D5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p>
        </w:tc>
        <w:tc>
          <w:tcPr>
            <w:tcW w:w="1704" w:type="dxa"/>
            <w:vMerge w:val="continue"/>
            <w:vAlign w:val="center"/>
          </w:tcPr>
          <w:p w14:paraId="28FB90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p>
        </w:tc>
        <w:tc>
          <w:tcPr>
            <w:tcW w:w="1945" w:type="dxa"/>
            <w:vAlign w:val="center"/>
          </w:tcPr>
          <w:p w14:paraId="3B2E75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使用合规</w:t>
            </w:r>
          </w:p>
        </w:tc>
        <w:tc>
          <w:tcPr>
            <w:tcW w:w="1464" w:type="dxa"/>
            <w:vAlign w:val="center"/>
          </w:tcPr>
          <w:p w14:paraId="39AB8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4</w:t>
            </w:r>
          </w:p>
        </w:tc>
        <w:tc>
          <w:tcPr>
            <w:tcW w:w="1705" w:type="dxa"/>
            <w:vAlign w:val="center"/>
          </w:tcPr>
          <w:p w14:paraId="7A03DD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4</w:t>
            </w:r>
          </w:p>
        </w:tc>
      </w:tr>
      <w:tr w14:paraId="1A24D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3ADEA9D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p>
        </w:tc>
        <w:tc>
          <w:tcPr>
            <w:tcW w:w="1704" w:type="dxa"/>
            <w:vMerge w:val="continue"/>
            <w:vAlign w:val="center"/>
          </w:tcPr>
          <w:p w14:paraId="7D8226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p>
        </w:tc>
        <w:tc>
          <w:tcPr>
            <w:tcW w:w="1945" w:type="dxa"/>
            <w:vAlign w:val="center"/>
          </w:tcPr>
          <w:p w14:paraId="629F2E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执行有效</w:t>
            </w:r>
          </w:p>
        </w:tc>
        <w:tc>
          <w:tcPr>
            <w:tcW w:w="1464" w:type="dxa"/>
            <w:vAlign w:val="center"/>
          </w:tcPr>
          <w:p w14:paraId="69177A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4</w:t>
            </w:r>
          </w:p>
        </w:tc>
        <w:tc>
          <w:tcPr>
            <w:tcW w:w="1705" w:type="dxa"/>
            <w:vAlign w:val="center"/>
          </w:tcPr>
          <w:p w14:paraId="78E63B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4</w:t>
            </w:r>
          </w:p>
        </w:tc>
      </w:tr>
      <w:tr w14:paraId="2C266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5352711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p>
        </w:tc>
        <w:tc>
          <w:tcPr>
            <w:tcW w:w="1704" w:type="dxa"/>
            <w:vMerge w:val="restart"/>
            <w:vAlign w:val="center"/>
          </w:tcPr>
          <w:p w14:paraId="1704E3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完成结果</w:t>
            </w:r>
          </w:p>
        </w:tc>
        <w:tc>
          <w:tcPr>
            <w:tcW w:w="1945" w:type="dxa"/>
            <w:vAlign w:val="center"/>
          </w:tcPr>
          <w:p w14:paraId="213765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预算完成</w:t>
            </w:r>
          </w:p>
        </w:tc>
        <w:tc>
          <w:tcPr>
            <w:tcW w:w="1464" w:type="dxa"/>
            <w:vAlign w:val="center"/>
          </w:tcPr>
          <w:p w14:paraId="3653B62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4</w:t>
            </w:r>
          </w:p>
        </w:tc>
        <w:tc>
          <w:tcPr>
            <w:tcW w:w="1705" w:type="dxa"/>
            <w:vAlign w:val="center"/>
          </w:tcPr>
          <w:p w14:paraId="419FA65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3</w:t>
            </w:r>
          </w:p>
        </w:tc>
      </w:tr>
      <w:tr w14:paraId="72AF9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164355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p>
        </w:tc>
        <w:tc>
          <w:tcPr>
            <w:tcW w:w="1704" w:type="dxa"/>
            <w:vMerge w:val="continue"/>
            <w:vAlign w:val="center"/>
          </w:tcPr>
          <w:p w14:paraId="5CF2AF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p>
        </w:tc>
        <w:tc>
          <w:tcPr>
            <w:tcW w:w="1945" w:type="dxa"/>
            <w:vAlign w:val="center"/>
          </w:tcPr>
          <w:p w14:paraId="5EB6FF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目标完成</w:t>
            </w:r>
          </w:p>
        </w:tc>
        <w:tc>
          <w:tcPr>
            <w:tcW w:w="1464" w:type="dxa"/>
            <w:vAlign w:val="center"/>
          </w:tcPr>
          <w:p w14:paraId="7DE7A25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4</w:t>
            </w:r>
          </w:p>
        </w:tc>
        <w:tc>
          <w:tcPr>
            <w:tcW w:w="1705" w:type="dxa"/>
            <w:vAlign w:val="center"/>
          </w:tcPr>
          <w:p w14:paraId="09C91C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3</w:t>
            </w:r>
          </w:p>
        </w:tc>
      </w:tr>
      <w:tr w14:paraId="47074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2493AA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p>
        </w:tc>
        <w:tc>
          <w:tcPr>
            <w:tcW w:w="1704" w:type="dxa"/>
            <w:vMerge w:val="continue"/>
            <w:vAlign w:val="center"/>
          </w:tcPr>
          <w:p w14:paraId="4CDB71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p>
        </w:tc>
        <w:tc>
          <w:tcPr>
            <w:tcW w:w="1945" w:type="dxa"/>
            <w:vAlign w:val="center"/>
          </w:tcPr>
          <w:p w14:paraId="655DE4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违规记录</w:t>
            </w:r>
          </w:p>
        </w:tc>
        <w:tc>
          <w:tcPr>
            <w:tcW w:w="1464" w:type="dxa"/>
            <w:vAlign w:val="center"/>
          </w:tcPr>
          <w:p w14:paraId="53BD59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2</w:t>
            </w:r>
          </w:p>
        </w:tc>
        <w:tc>
          <w:tcPr>
            <w:tcW w:w="1705" w:type="dxa"/>
            <w:vAlign w:val="center"/>
          </w:tcPr>
          <w:p w14:paraId="2F7A2C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2</w:t>
            </w:r>
          </w:p>
        </w:tc>
      </w:tr>
      <w:tr w14:paraId="5A2D7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restart"/>
            <w:vAlign w:val="center"/>
          </w:tcPr>
          <w:p w14:paraId="69D0BA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共性指标</w:t>
            </w:r>
          </w:p>
          <w:p w14:paraId="412A13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（20分）</w:t>
            </w:r>
          </w:p>
        </w:tc>
        <w:tc>
          <w:tcPr>
            <w:tcW w:w="1704" w:type="dxa"/>
            <w:vMerge w:val="restart"/>
            <w:vAlign w:val="center"/>
          </w:tcPr>
          <w:p w14:paraId="41521E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项目效果</w:t>
            </w:r>
          </w:p>
        </w:tc>
        <w:tc>
          <w:tcPr>
            <w:tcW w:w="1945" w:type="dxa"/>
            <w:vAlign w:val="center"/>
          </w:tcPr>
          <w:p w14:paraId="32B4C67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区域均衡性</w:t>
            </w:r>
          </w:p>
        </w:tc>
        <w:tc>
          <w:tcPr>
            <w:tcW w:w="1464" w:type="dxa"/>
            <w:vAlign w:val="center"/>
          </w:tcPr>
          <w:p w14:paraId="6229B6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6</w:t>
            </w:r>
          </w:p>
        </w:tc>
        <w:tc>
          <w:tcPr>
            <w:tcW w:w="1705" w:type="dxa"/>
            <w:vAlign w:val="center"/>
          </w:tcPr>
          <w:p w14:paraId="5FE76D3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6</w:t>
            </w:r>
          </w:p>
        </w:tc>
      </w:tr>
      <w:tr w14:paraId="30BDF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180DF9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p>
        </w:tc>
        <w:tc>
          <w:tcPr>
            <w:tcW w:w="1704" w:type="dxa"/>
            <w:vMerge w:val="continue"/>
            <w:vAlign w:val="center"/>
          </w:tcPr>
          <w:p w14:paraId="1DB4BE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p>
        </w:tc>
        <w:tc>
          <w:tcPr>
            <w:tcW w:w="1945" w:type="dxa"/>
            <w:vAlign w:val="center"/>
          </w:tcPr>
          <w:p w14:paraId="7835E6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对象公平性</w:t>
            </w:r>
          </w:p>
        </w:tc>
        <w:tc>
          <w:tcPr>
            <w:tcW w:w="1464" w:type="dxa"/>
            <w:vAlign w:val="center"/>
          </w:tcPr>
          <w:p w14:paraId="666E0F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8</w:t>
            </w:r>
          </w:p>
        </w:tc>
        <w:tc>
          <w:tcPr>
            <w:tcW w:w="1705" w:type="dxa"/>
            <w:vAlign w:val="center"/>
          </w:tcPr>
          <w:p w14:paraId="452846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8</w:t>
            </w:r>
          </w:p>
        </w:tc>
      </w:tr>
      <w:tr w14:paraId="3BAB3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4E812F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p>
        </w:tc>
        <w:tc>
          <w:tcPr>
            <w:tcW w:w="1704" w:type="dxa"/>
            <w:vMerge w:val="continue"/>
            <w:vAlign w:val="center"/>
          </w:tcPr>
          <w:p w14:paraId="51297B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p>
        </w:tc>
        <w:tc>
          <w:tcPr>
            <w:tcW w:w="1945" w:type="dxa"/>
            <w:vAlign w:val="center"/>
          </w:tcPr>
          <w:p w14:paraId="602D84E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社会满意度</w:t>
            </w:r>
          </w:p>
        </w:tc>
        <w:tc>
          <w:tcPr>
            <w:tcW w:w="1464" w:type="dxa"/>
            <w:vAlign w:val="center"/>
          </w:tcPr>
          <w:p w14:paraId="272B65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6</w:t>
            </w:r>
          </w:p>
        </w:tc>
        <w:tc>
          <w:tcPr>
            <w:tcW w:w="1705" w:type="dxa"/>
            <w:vAlign w:val="center"/>
          </w:tcPr>
          <w:p w14:paraId="10567A6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5</w:t>
            </w:r>
          </w:p>
        </w:tc>
      </w:tr>
      <w:tr w14:paraId="38EB4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restart"/>
          </w:tcPr>
          <w:p w14:paraId="1A6B2D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rPr>
                <w:rFonts w:ascii="仿宋_GB2312" w:hAnsi="Calibri" w:eastAsia="仿宋_GB2312"/>
                <w:sz w:val="28"/>
                <w:szCs w:val="28"/>
              </w:rPr>
            </w:pPr>
            <w:r>
              <w:rPr>
                <w:rFonts w:hint="eastAsia" w:ascii="仿宋_GB2312" w:hAnsi="Calibri" w:eastAsia="仿宋_GB2312"/>
                <w:sz w:val="28"/>
                <w:szCs w:val="28"/>
              </w:rPr>
              <w:t>特性指标</w:t>
            </w:r>
          </w:p>
          <w:p w14:paraId="776DE84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rPr>
                <w:rFonts w:ascii="仿宋_GB2312" w:hAnsi="Calibri" w:eastAsia="仿宋_GB2312"/>
                <w:sz w:val="28"/>
                <w:szCs w:val="28"/>
              </w:rPr>
            </w:pPr>
            <w:r>
              <w:rPr>
                <w:rFonts w:hint="eastAsia" w:ascii="仿宋_GB2312" w:hAnsi="Calibri" w:eastAsia="仿宋_GB2312"/>
                <w:sz w:val="28"/>
                <w:szCs w:val="28"/>
              </w:rPr>
              <w:t>（50分）</w:t>
            </w:r>
          </w:p>
        </w:tc>
        <w:tc>
          <w:tcPr>
            <w:tcW w:w="1704" w:type="dxa"/>
          </w:tcPr>
          <w:p w14:paraId="784F3E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rPr>
                <w:rFonts w:ascii="仿宋_GB2312" w:hAnsi="Calibri" w:eastAsia="仿宋_GB2312"/>
                <w:sz w:val="28"/>
                <w:szCs w:val="28"/>
              </w:rPr>
            </w:pPr>
            <w:r>
              <w:rPr>
                <w:rFonts w:hint="eastAsia" w:ascii="仿宋_GB2312" w:hAnsi="Calibri" w:eastAsia="仿宋_GB2312"/>
                <w:sz w:val="28"/>
                <w:szCs w:val="28"/>
              </w:rPr>
              <w:t>基础管理</w:t>
            </w:r>
          </w:p>
        </w:tc>
        <w:tc>
          <w:tcPr>
            <w:tcW w:w="1945" w:type="dxa"/>
          </w:tcPr>
          <w:p w14:paraId="55D0E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rPr>
                <w:rFonts w:ascii="仿宋_GB2312" w:hAnsi="Calibri" w:eastAsia="仿宋_GB2312"/>
                <w:sz w:val="28"/>
                <w:szCs w:val="28"/>
              </w:rPr>
            </w:pPr>
            <w:r>
              <w:rPr>
                <w:rFonts w:hint="eastAsia" w:ascii="仿宋_GB2312" w:hAnsi="Calibri" w:eastAsia="仿宋_GB2312"/>
                <w:sz w:val="28"/>
                <w:szCs w:val="28"/>
              </w:rPr>
              <w:t>审核把关</w:t>
            </w:r>
          </w:p>
        </w:tc>
        <w:tc>
          <w:tcPr>
            <w:tcW w:w="1464" w:type="dxa"/>
            <w:vAlign w:val="center"/>
          </w:tcPr>
          <w:p w14:paraId="524505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25</w:t>
            </w:r>
          </w:p>
        </w:tc>
        <w:tc>
          <w:tcPr>
            <w:tcW w:w="1705" w:type="dxa"/>
            <w:vAlign w:val="center"/>
          </w:tcPr>
          <w:p w14:paraId="48D9282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25</w:t>
            </w:r>
          </w:p>
        </w:tc>
      </w:tr>
      <w:tr w14:paraId="32F87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tcPr>
          <w:p w14:paraId="08E4C3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rPr>
                <w:rFonts w:ascii="仿宋_GB2312" w:hAnsi="Calibri" w:eastAsia="仿宋_GB2312"/>
                <w:sz w:val="28"/>
                <w:szCs w:val="28"/>
              </w:rPr>
            </w:pPr>
          </w:p>
        </w:tc>
        <w:tc>
          <w:tcPr>
            <w:tcW w:w="1704" w:type="dxa"/>
          </w:tcPr>
          <w:p w14:paraId="5E2771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rPr>
                <w:rFonts w:ascii="仿宋_GB2312" w:hAnsi="Calibri" w:eastAsia="仿宋_GB2312"/>
                <w:sz w:val="28"/>
                <w:szCs w:val="28"/>
              </w:rPr>
            </w:pPr>
            <w:r>
              <w:rPr>
                <w:rFonts w:hint="eastAsia" w:ascii="仿宋_GB2312" w:hAnsi="Calibri" w:eastAsia="仿宋_GB2312"/>
                <w:sz w:val="28"/>
                <w:szCs w:val="28"/>
              </w:rPr>
              <w:t>社会效益</w:t>
            </w:r>
          </w:p>
        </w:tc>
        <w:tc>
          <w:tcPr>
            <w:tcW w:w="1945" w:type="dxa"/>
          </w:tcPr>
          <w:p w14:paraId="0C7778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rPr>
                <w:rFonts w:ascii="仿宋_GB2312" w:hAnsi="Calibri" w:eastAsia="仿宋_GB2312"/>
                <w:sz w:val="28"/>
                <w:szCs w:val="28"/>
              </w:rPr>
            </w:pPr>
            <w:r>
              <w:rPr>
                <w:rFonts w:hint="eastAsia" w:ascii="仿宋_GB2312" w:hAnsi="Calibri" w:eastAsia="仿宋_GB2312"/>
                <w:sz w:val="28"/>
                <w:szCs w:val="28"/>
              </w:rPr>
              <w:t>资金使用率</w:t>
            </w:r>
          </w:p>
        </w:tc>
        <w:tc>
          <w:tcPr>
            <w:tcW w:w="1464" w:type="dxa"/>
            <w:vAlign w:val="center"/>
          </w:tcPr>
          <w:p w14:paraId="57894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25</w:t>
            </w:r>
          </w:p>
        </w:tc>
        <w:tc>
          <w:tcPr>
            <w:tcW w:w="1705" w:type="dxa"/>
            <w:vAlign w:val="center"/>
          </w:tcPr>
          <w:p w14:paraId="19DA44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20</w:t>
            </w:r>
          </w:p>
        </w:tc>
      </w:tr>
      <w:tr w14:paraId="21DA73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1" w:hRule="atLeast"/>
        </w:trPr>
        <w:tc>
          <w:tcPr>
            <w:tcW w:w="5353" w:type="dxa"/>
            <w:gridSpan w:val="3"/>
            <w:vAlign w:val="center"/>
          </w:tcPr>
          <w:p w14:paraId="0B484B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合计</w:t>
            </w:r>
          </w:p>
        </w:tc>
        <w:tc>
          <w:tcPr>
            <w:tcW w:w="1464" w:type="dxa"/>
            <w:vAlign w:val="center"/>
          </w:tcPr>
          <w:p w14:paraId="702221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100</w:t>
            </w:r>
          </w:p>
        </w:tc>
        <w:tc>
          <w:tcPr>
            <w:tcW w:w="1705" w:type="dxa"/>
            <w:vAlign w:val="center"/>
          </w:tcPr>
          <w:p w14:paraId="14BDFE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jc w:val="center"/>
              <w:rPr>
                <w:rFonts w:ascii="仿宋_GB2312" w:hAnsi="Calibri" w:eastAsia="仿宋_GB2312"/>
                <w:sz w:val="28"/>
                <w:szCs w:val="28"/>
              </w:rPr>
            </w:pPr>
            <w:r>
              <w:rPr>
                <w:rFonts w:hint="eastAsia" w:ascii="仿宋_GB2312" w:hAnsi="Calibri" w:eastAsia="仿宋_GB2312"/>
                <w:sz w:val="28"/>
                <w:szCs w:val="28"/>
              </w:rPr>
              <w:t>92</w:t>
            </w:r>
          </w:p>
        </w:tc>
      </w:tr>
    </w:tbl>
    <w:p w14:paraId="67DF8B5D">
      <w:pPr>
        <w:spacing w:line="640" w:lineRule="exact"/>
        <w:ind w:firstLine="640" w:firstLineChars="200"/>
        <w:rPr>
          <w:rFonts w:eastAsia="黑体"/>
          <w:bCs/>
          <w:sz w:val="32"/>
          <w:szCs w:val="32"/>
        </w:rPr>
      </w:pPr>
      <w:r>
        <w:rPr>
          <w:rFonts w:eastAsia="黑体"/>
          <w:bCs/>
          <w:sz w:val="32"/>
          <w:szCs w:val="32"/>
        </w:rPr>
        <w:t>五、其他需要说明的问题</w:t>
      </w:r>
    </w:p>
    <w:p w14:paraId="39B627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无。</w:t>
      </w:r>
    </w:p>
    <w:p w14:paraId="6DB7463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rPr>
      </w:pPr>
    </w:p>
    <w:p w14:paraId="1283C5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rPr>
      </w:pPr>
    </w:p>
    <w:p w14:paraId="0B600E8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rPr>
      </w:pPr>
    </w:p>
    <w:p w14:paraId="714860F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rPr>
      </w:pPr>
    </w:p>
    <w:p w14:paraId="796FDA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rPr>
      </w:pPr>
    </w:p>
    <w:p w14:paraId="1CF1FD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rPr>
      </w:pPr>
    </w:p>
    <w:p w14:paraId="0E3D96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rPr>
      </w:pPr>
    </w:p>
    <w:p w14:paraId="4759E7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rPr>
      </w:pPr>
    </w:p>
    <w:p w14:paraId="5065076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rPr>
      </w:pPr>
    </w:p>
    <w:p w14:paraId="7FF2C7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rPr>
      </w:pPr>
    </w:p>
    <w:p w14:paraId="72A4021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rPr>
      </w:pPr>
    </w:p>
    <w:p w14:paraId="7B6BF1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rPr>
      </w:pPr>
    </w:p>
    <w:p w14:paraId="1410CC3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rPr>
      </w:pPr>
    </w:p>
    <w:p w14:paraId="7DEA02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rPr>
      </w:pPr>
    </w:p>
    <w:p w14:paraId="67FCCC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rPr>
      </w:pPr>
    </w:p>
    <w:p w14:paraId="2905FC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rPr>
      </w:pPr>
    </w:p>
    <w:p w14:paraId="73A777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rPr>
      </w:pPr>
    </w:p>
    <w:p w14:paraId="3E98DE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rPr>
      </w:pPr>
    </w:p>
    <w:p w14:paraId="05AB80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40" w:lineRule="exact"/>
        <w:ind w:firstLine="640" w:firstLineChars="200"/>
        <w:jc w:val="left"/>
        <w:rPr>
          <w:rFonts w:ascii="仿宋_GB2312" w:hAnsi="宋体" w:eastAsia="仿宋_GB2312" w:cs="宋体"/>
          <w:sz w:val="32"/>
          <w:szCs w:val="32"/>
        </w:rPr>
      </w:pPr>
    </w:p>
    <w:p w14:paraId="69BD4B49">
      <w:pPr>
        <w:widowControl/>
        <w:spacing w:line="600" w:lineRule="exac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附件2-5</w:t>
      </w:r>
    </w:p>
    <w:p w14:paraId="2CD08724">
      <w:pPr>
        <w:kinsoku w:val="0"/>
        <w:overflowPunct w:val="0"/>
        <w:spacing w:line="600" w:lineRule="exact"/>
        <w:ind w:firstLine="724" w:firstLineChars="200"/>
        <w:jc w:val="center"/>
        <w:rPr>
          <w:rFonts w:ascii="方正小标宋简体" w:eastAsia="方正小标宋简体"/>
          <w:spacing w:val="1"/>
          <w:sz w:val="36"/>
          <w:szCs w:val="36"/>
        </w:rPr>
      </w:pPr>
      <w:r>
        <w:rPr>
          <w:rFonts w:hint="eastAsia" w:ascii="方正小标宋简体" w:eastAsia="方正小标宋简体"/>
          <w:spacing w:val="1"/>
          <w:sz w:val="36"/>
          <w:szCs w:val="36"/>
        </w:rPr>
        <w:t>沐川县综合行政执法局</w:t>
      </w:r>
    </w:p>
    <w:p w14:paraId="21991569">
      <w:pPr>
        <w:kinsoku w:val="0"/>
        <w:overflowPunct w:val="0"/>
        <w:spacing w:line="600" w:lineRule="exact"/>
        <w:ind w:firstLine="724" w:firstLineChars="200"/>
        <w:jc w:val="center"/>
        <w:rPr>
          <w:rFonts w:ascii="方正小标宋简体" w:eastAsia="方正小标宋简体"/>
          <w:spacing w:val="1"/>
          <w:sz w:val="36"/>
          <w:szCs w:val="36"/>
        </w:rPr>
      </w:pPr>
      <w:r>
        <w:rPr>
          <w:rFonts w:hint="eastAsia" w:ascii="方正小标宋简体" w:eastAsia="方正小标宋简体"/>
          <w:spacing w:val="1"/>
          <w:sz w:val="36"/>
          <w:szCs w:val="36"/>
        </w:rPr>
        <w:t>2022年度执法执勤用车购置经费项目支出</w:t>
      </w:r>
    </w:p>
    <w:p w14:paraId="674569DC">
      <w:pPr>
        <w:kinsoku w:val="0"/>
        <w:overflowPunct w:val="0"/>
        <w:spacing w:line="600" w:lineRule="exact"/>
        <w:ind w:firstLine="724" w:firstLineChars="200"/>
        <w:jc w:val="center"/>
        <w:rPr>
          <w:rFonts w:ascii="方正小标宋简体" w:eastAsia="方正小标宋简体"/>
          <w:spacing w:val="1"/>
          <w:sz w:val="36"/>
          <w:szCs w:val="36"/>
        </w:rPr>
      </w:pPr>
      <w:r>
        <w:rPr>
          <w:rFonts w:hint="eastAsia" w:ascii="方正小标宋简体" w:eastAsia="方正小标宋简体"/>
          <w:spacing w:val="1"/>
          <w:sz w:val="36"/>
          <w:szCs w:val="36"/>
        </w:rPr>
        <w:t>绩效自评报告</w:t>
      </w:r>
    </w:p>
    <w:p w14:paraId="772B74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0" w:firstLineChars="200"/>
        <w:jc w:val="left"/>
        <w:rPr>
          <w:rFonts w:ascii="宋体" w:hAnsi="宋体" w:cs="宋体"/>
          <w:sz w:val="24"/>
        </w:rPr>
      </w:pPr>
    </w:p>
    <w:p w14:paraId="6DE9F97B">
      <w:pPr>
        <w:spacing w:line="600" w:lineRule="exact"/>
        <w:ind w:firstLine="640" w:firstLineChars="200"/>
        <w:rPr>
          <w:rFonts w:eastAsia="黑体"/>
          <w:bCs/>
          <w:sz w:val="32"/>
          <w:szCs w:val="32"/>
        </w:rPr>
      </w:pPr>
      <w:r>
        <w:rPr>
          <w:rFonts w:eastAsia="黑体"/>
          <w:bCs/>
          <w:sz w:val="32"/>
          <w:szCs w:val="32"/>
        </w:rPr>
        <w:t>一、项目基本情况</w:t>
      </w:r>
    </w:p>
    <w:p w14:paraId="125A499D">
      <w:pPr>
        <w:spacing w:line="600" w:lineRule="exact"/>
        <w:ind w:firstLine="643" w:firstLineChars="200"/>
        <w:outlineLvl w:val="0"/>
        <w:rPr>
          <w:rFonts w:eastAsia="楷体_GB2312"/>
          <w:b/>
          <w:sz w:val="32"/>
          <w:szCs w:val="32"/>
        </w:rPr>
      </w:pPr>
      <w:r>
        <w:rPr>
          <w:rFonts w:eastAsia="楷体_GB2312"/>
          <w:b/>
          <w:sz w:val="32"/>
          <w:szCs w:val="32"/>
        </w:rPr>
        <w:t>（一）绩效目标情况。</w:t>
      </w:r>
    </w:p>
    <w:p w14:paraId="2976A746">
      <w:pPr>
        <w:spacing w:line="600" w:lineRule="exact"/>
        <w:ind w:firstLine="640" w:firstLineChars="200"/>
        <w:outlineLvl w:val="0"/>
        <w:rPr>
          <w:rFonts w:eastAsia="楷体_GB2312"/>
          <w:sz w:val="32"/>
          <w:szCs w:val="32"/>
        </w:rPr>
      </w:pPr>
      <w:r>
        <w:rPr>
          <w:rFonts w:hint="eastAsia" w:ascii="仿宋_GB2312" w:hAnsi="宋体" w:eastAsia="仿宋_GB2312" w:cs="宋体"/>
          <w:sz w:val="32"/>
          <w:szCs w:val="32"/>
        </w:rPr>
        <w:t>执法执勤用车购置经费为政务专项类项目，该项目主要用于公务用车购置支出。通过项目实施，确保了执法用车正常出勤使用。</w:t>
      </w:r>
    </w:p>
    <w:p w14:paraId="439C99F6">
      <w:pPr>
        <w:spacing w:line="600" w:lineRule="exact"/>
        <w:ind w:firstLine="643" w:firstLineChars="200"/>
        <w:outlineLvl w:val="0"/>
        <w:rPr>
          <w:rFonts w:eastAsia="楷体_GB2312"/>
          <w:b/>
          <w:sz w:val="32"/>
          <w:szCs w:val="32"/>
        </w:rPr>
      </w:pPr>
      <w:r>
        <w:rPr>
          <w:rFonts w:eastAsia="楷体_GB2312"/>
          <w:b/>
          <w:sz w:val="32"/>
          <w:szCs w:val="32"/>
        </w:rPr>
        <w:t>（二）资金安排情况。</w:t>
      </w:r>
    </w:p>
    <w:p w14:paraId="4A2039B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rPr>
      </w:pPr>
      <w:r>
        <w:rPr>
          <w:rFonts w:hint="eastAsia" w:ascii="仿宋_GB2312" w:hAnsi="宋体" w:eastAsia="仿宋_GB2312" w:cs="宋体"/>
          <w:color w:val="000000"/>
          <w:kern w:val="0"/>
          <w:sz w:val="32"/>
          <w:szCs w:val="32"/>
          <w:shd w:val="clear" w:color="auto" w:fill="FFFFFF"/>
          <w:lang w:val="zh-CN"/>
        </w:rPr>
        <w:t>根据《沐川县财政局关于批复2022年部门预算的通知》（沐财发〔2022〕23号）文件，县财政局下达我单位</w:t>
      </w:r>
      <w:r>
        <w:rPr>
          <w:rFonts w:hint="eastAsia" w:ascii="仿宋_GB2312" w:hAnsi="宋体" w:eastAsia="仿宋_GB2312" w:cs="宋体"/>
          <w:sz w:val="32"/>
          <w:szCs w:val="32"/>
        </w:rPr>
        <w:t>执法执勤用车购置经费项目年初预算收入22.00万元，该项目资金均为县级财政资金，</w:t>
      </w:r>
      <w:r>
        <w:rPr>
          <w:rFonts w:ascii="仿宋_GB2312" w:hAnsi="宋体" w:eastAsia="仿宋_GB2312" w:cs="宋体"/>
          <w:sz w:val="32"/>
          <w:szCs w:val="32"/>
        </w:rPr>
        <w:t>主要是一般公共预算</w:t>
      </w:r>
      <w:r>
        <w:rPr>
          <w:rFonts w:hint="eastAsia" w:ascii="仿宋_GB2312" w:hAnsi="宋体" w:eastAsia="仿宋_GB2312" w:cs="宋体"/>
          <w:sz w:val="32"/>
          <w:szCs w:val="32"/>
        </w:rPr>
        <w:t>财政</w:t>
      </w:r>
      <w:r>
        <w:rPr>
          <w:rFonts w:ascii="仿宋_GB2312" w:hAnsi="宋体" w:eastAsia="仿宋_GB2312" w:cs="宋体"/>
          <w:sz w:val="32"/>
          <w:szCs w:val="32"/>
        </w:rPr>
        <w:t>拨款收入</w:t>
      </w:r>
      <w:r>
        <w:rPr>
          <w:rFonts w:hint="eastAsia" w:ascii="仿宋_GB2312" w:hAnsi="宋体" w:eastAsia="仿宋_GB2312" w:cs="宋体"/>
          <w:sz w:val="32"/>
          <w:szCs w:val="32"/>
        </w:rPr>
        <w:t xml:space="preserve">。 </w:t>
      </w:r>
    </w:p>
    <w:p w14:paraId="626ED669">
      <w:pPr>
        <w:spacing w:line="600" w:lineRule="exact"/>
        <w:ind w:firstLine="640" w:firstLineChars="200"/>
        <w:rPr>
          <w:rFonts w:eastAsia="黑体"/>
          <w:bCs/>
          <w:sz w:val="32"/>
          <w:szCs w:val="32"/>
        </w:rPr>
      </w:pPr>
      <w:r>
        <w:rPr>
          <w:rFonts w:eastAsia="黑体"/>
          <w:bCs/>
          <w:sz w:val="32"/>
          <w:szCs w:val="32"/>
        </w:rPr>
        <w:t>二、绩效目标完成情况分析</w:t>
      </w:r>
    </w:p>
    <w:p w14:paraId="022BCDDC">
      <w:pPr>
        <w:spacing w:line="600" w:lineRule="exact"/>
        <w:ind w:firstLine="643" w:firstLineChars="200"/>
        <w:outlineLvl w:val="0"/>
        <w:rPr>
          <w:rFonts w:eastAsia="楷体_GB2312"/>
          <w:b/>
          <w:sz w:val="32"/>
          <w:szCs w:val="32"/>
        </w:rPr>
      </w:pPr>
      <w:r>
        <w:rPr>
          <w:rFonts w:eastAsia="楷体_GB2312"/>
          <w:b/>
          <w:sz w:val="32"/>
          <w:szCs w:val="32"/>
        </w:rPr>
        <w:t>（一）预算执行进度情况分析。</w:t>
      </w:r>
    </w:p>
    <w:p w14:paraId="118065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rPr>
      </w:pPr>
      <w:r>
        <w:rPr>
          <w:rFonts w:ascii="仿宋_GB2312" w:hAnsi="宋体" w:eastAsia="仿宋_GB2312" w:cs="宋体"/>
          <w:sz w:val="32"/>
          <w:szCs w:val="32"/>
        </w:rPr>
        <w:t>本单位</w:t>
      </w:r>
      <w:r>
        <w:rPr>
          <w:rFonts w:hint="eastAsia" w:ascii="仿宋_GB2312" w:hAnsi="宋体" w:eastAsia="仿宋_GB2312" w:cs="宋体"/>
          <w:sz w:val="32"/>
          <w:szCs w:val="32"/>
        </w:rPr>
        <w:t>2022年按预算批复文件合理安排支出，按项目进度申报用款计划，项目资金申报与实际实施内容相符，申报目标合理可行。截止2022年底，执法执勤用车购置经费项目支出决算数21.29万元，主要用于公务用车购置支出。资金支付与预算相符。在预算执行过程中，我单位严格按相关规定和要求执行，无无预算、无用款计划、超预算和超计划拨付资金的情况。认真做好项目前期准备工作，及时向财政提交相关资料审核，加强项目支出进度。在完善预算动态监控的情况下，确保项目的实施。</w:t>
      </w:r>
    </w:p>
    <w:p w14:paraId="2A4F5706">
      <w:pPr>
        <w:spacing w:line="600" w:lineRule="exact"/>
        <w:ind w:firstLine="643" w:firstLineChars="200"/>
        <w:outlineLvl w:val="0"/>
        <w:rPr>
          <w:rFonts w:eastAsia="仿宋_GB2312"/>
          <w:sz w:val="32"/>
          <w:szCs w:val="32"/>
        </w:rPr>
      </w:pPr>
      <w:r>
        <w:rPr>
          <w:rFonts w:eastAsia="楷体_GB2312"/>
          <w:b/>
          <w:sz w:val="32"/>
          <w:szCs w:val="32"/>
        </w:rPr>
        <w:t>（二）总体绩效目标完成情况分析。</w:t>
      </w:r>
    </w:p>
    <w:p w14:paraId="48939FF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rPr>
      </w:pPr>
      <w:r>
        <w:rPr>
          <w:rFonts w:ascii="仿宋_GB2312" w:hAnsi="宋体" w:eastAsia="仿宋_GB2312" w:cs="宋体"/>
          <w:sz w:val="32"/>
          <w:szCs w:val="32"/>
        </w:rPr>
        <w:t>年度内全面完成</w:t>
      </w:r>
      <w:r>
        <w:rPr>
          <w:rFonts w:hint="eastAsia" w:ascii="仿宋_GB2312" w:hAnsi="宋体" w:eastAsia="仿宋_GB2312" w:cs="宋体"/>
          <w:sz w:val="32"/>
          <w:szCs w:val="32"/>
        </w:rPr>
        <w:t>执法执勤用车购置经费支出，无拖欠、截留、挪用项目资金的情况。项目的实施，解决了我单位执法范围广、路线长、任务重、执法用车紧张的问题，满足了执法正常用车需求，确保执法工作正常开展。</w:t>
      </w:r>
    </w:p>
    <w:p w14:paraId="5CAEAAD2">
      <w:pPr>
        <w:adjustRightInd w:val="0"/>
        <w:snapToGrid w:val="0"/>
        <w:spacing w:line="600" w:lineRule="exact"/>
        <w:ind w:firstLine="643" w:firstLineChars="200"/>
        <w:rPr>
          <w:rFonts w:eastAsia="仿宋_GB2312"/>
          <w:sz w:val="32"/>
          <w:szCs w:val="32"/>
          <w:lang w:val="zh-CN"/>
        </w:rPr>
      </w:pPr>
      <w:r>
        <w:rPr>
          <w:rFonts w:eastAsia="楷体_GB2312"/>
          <w:b/>
          <w:sz w:val="32"/>
          <w:szCs w:val="32"/>
        </w:rPr>
        <w:t>（三）绩效指标完成情况分析。</w:t>
      </w:r>
    </w:p>
    <w:p w14:paraId="7E2F31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该项目年初预算收入22.00万元，</w:t>
      </w:r>
      <w:r>
        <w:rPr>
          <w:rFonts w:hint="eastAsia" w:ascii="仿宋_GB2312" w:hAnsi="宋体" w:eastAsia="仿宋_GB2312" w:cs="宋体"/>
          <w:sz w:val="32"/>
          <w:szCs w:val="32"/>
        </w:rPr>
        <w:t>实际申报使用项目资金21.29万元。预算执行率96.77%，年末无结转结余。项目支出</w:t>
      </w:r>
      <w:r>
        <w:rPr>
          <w:rFonts w:hint="eastAsia" w:ascii="仿宋_GB2312" w:hAnsi="宋体" w:eastAsia="仿宋_GB2312" w:cs="宋体"/>
          <w:bCs/>
          <w:sz w:val="32"/>
          <w:szCs w:val="32"/>
        </w:rPr>
        <w:t>绩效良好，无违规记录。产出指标完成情况如下：</w:t>
      </w:r>
    </w:p>
    <w:p w14:paraId="41343D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1.数量指标</w:t>
      </w:r>
    </w:p>
    <w:p w14:paraId="037823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（1）编制范围内购置执法执勤用车2辆，完成率100%。（2）执法执勤用车配备价格12万元以内、排量1.6升。</w:t>
      </w:r>
    </w:p>
    <w:p w14:paraId="58C459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2.质量指标</w:t>
      </w:r>
    </w:p>
    <w:p w14:paraId="1B38BD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（1）严格按照政府采购流程实施项目。（2）符合《中共四川省委办公厅 四川省人民政府办公厅关于印发〈四川省党政机关公务用车管理实施办法〉的通知》（川委办〔2018〕44号）要求。</w:t>
      </w:r>
    </w:p>
    <w:p w14:paraId="2AFD83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3.时效指标</w:t>
      </w:r>
    </w:p>
    <w:p w14:paraId="62B402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按项目进度申报项目资金，资金支付及时。</w:t>
      </w:r>
    </w:p>
    <w:p w14:paraId="7C4FF0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4.成本指标</w:t>
      </w:r>
    </w:p>
    <w:p w14:paraId="3A93B0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 xml:space="preserve">车辆购置费用10.65万元/辆（含购置附加税），经费保障100%。 </w:t>
      </w:r>
    </w:p>
    <w:p w14:paraId="58F8B3CA">
      <w:pPr>
        <w:spacing w:line="600" w:lineRule="exact"/>
        <w:ind w:firstLine="643" w:firstLineChars="200"/>
        <w:outlineLvl w:val="0"/>
        <w:rPr>
          <w:rFonts w:eastAsia="仿宋_GB2312"/>
          <w:sz w:val="32"/>
          <w:szCs w:val="32"/>
        </w:rPr>
      </w:pPr>
      <w:r>
        <w:rPr>
          <w:rFonts w:eastAsia="楷体_GB2312"/>
          <w:b/>
          <w:sz w:val="32"/>
          <w:szCs w:val="32"/>
        </w:rPr>
        <w:t>（四）项目效益分析。</w:t>
      </w:r>
    </w:p>
    <w:p w14:paraId="2306BED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效益指标完成情况如下：</w:t>
      </w:r>
    </w:p>
    <w:p w14:paraId="42AB4F1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1.社会效益指标</w:t>
      </w:r>
    </w:p>
    <w:p w14:paraId="3F20513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提高执法效能，有效打击行政违法行为。</w:t>
      </w:r>
    </w:p>
    <w:p w14:paraId="69DEB7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2.经济效益指标</w:t>
      </w:r>
    </w:p>
    <w:p w14:paraId="7C5827B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lang w:val="zh-CN"/>
        </w:rPr>
      </w:pPr>
      <w:r>
        <w:rPr>
          <w:rFonts w:hint="eastAsia" w:ascii="仿宋_GB2312" w:hAnsi="宋体" w:eastAsia="仿宋_GB2312" w:cs="宋体"/>
          <w:sz w:val="32"/>
          <w:szCs w:val="32"/>
          <w:lang w:val="zh-CN"/>
        </w:rPr>
        <w:t>有效降低行政执法成本。</w:t>
      </w:r>
    </w:p>
    <w:p w14:paraId="6E7609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3" w:firstLineChars="200"/>
        <w:jc w:val="left"/>
        <w:rPr>
          <w:rFonts w:ascii="仿宋_GB2312" w:hAnsi="宋体" w:eastAsia="仿宋_GB2312" w:cs="宋体"/>
          <w:b/>
          <w:sz w:val="32"/>
          <w:szCs w:val="32"/>
          <w:lang w:val="zh-CN"/>
        </w:rPr>
      </w:pPr>
      <w:r>
        <w:rPr>
          <w:rFonts w:hint="eastAsia" w:ascii="仿宋_GB2312" w:hAnsi="宋体" w:eastAsia="仿宋_GB2312" w:cs="宋体"/>
          <w:b/>
          <w:sz w:val="32"/>
          <w:szCs w:val="32"/>
          <w:lang w:val="zh-CN"/>
        </w:rPr>
        <w:t>3.可持续性影响指标</w:t>
      </w:r>
    </w:p>
    <w:p w14:paraId="70E71FE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保障综合执法工作正常开展。</w:t>
      </w:r>
    </w:p>
    <w:p w14:paraId="7684BCAA">
      <w:pPr>
        <w:spacing w:line="600" w:lineRule="exact"/>
        <w:ind w:firstLine="640" w:firstLineChars="200"/>
        <w:rPr>
          <w:rFonts w:eastAsia="仿宋_GB2312"/>
          <w:sz w:val="32"/>
          <w:szCs w:val="32"/>
        </w:rPr>
      </w:pPr>
      <w:r>
        <w:rPr>
          <w:rFonts w:eastAsia="黑体"/>
          <w:bCs/>
          <w:sz w:val="32"/>
          <w:szCs w:val="32"/>
        </w:rPr>
        <w:t>三、偏离绩效目标的原因和下一步改进措施</w:t>
      </w:r>
    </w:p>
    <w:p w14:paraId="20A715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项目偏离在合理范围内，基本完成预设目标。</w:t>
      </w:r>
    </w:p>
    <w:p w14:paraId="5F144F9C">
      <w:pPr>
        <w:spacing w:line="600" w:lineRule="exact"/>
        <w:ind w:firstLine="640" w:firstLineChars="200"/>
        <w:rPr>
          <w:rFonts w:eastAsia="黑体"/>
          <w:bCs/>
          <w:sz w:val="32"/>
          <w:szCs w:val="32"/>
        </w:rPr>
      </w:pPr>
      <w:r>
        <w:rPr>
          <w:rFonts w:eastAsia="黑体"/>
          <w:bCs/>
          <w:sz w:val="32"/>
          <w:szCs w:val="32"/>
        </w:rPr>
        <w:t>四、绩效自评结果拟应用和公开情况</w:t>
      </w:r>
    </w:p>
    <w:p w14:paraId="47DDD7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rPr>
          <w:rFonts w:ascii="仿宋_GB2312" w:hAnsi="宋体" w:eastAsia="仿宋_GB2312" w:cs="宋体"/>
          <w:sz w:val="32"/>
          <w:szCs w:val="32"/>
        </w:rPr>
      </w:pPr>
      <w:r>
        <w:rPr>
          <w:rFonts w:eastAsia="仿宋_GB2312"/>
          <w:sz w:val="32"/>
          <w:szCs w:val="32"/>
        </w:rPr>
        <w:t>从总体上看</w:t>
      </w:r>
      <w:r>
        <w:rPr>
          <w:rFonts w:hint="eastAsia" w:eastAsia="仿宋_GB2312"/>
          <w:sz w:val="32"/>
          <w:szCs w:val="32"/>
        </w:rPr>
        <w:t>，</w:t>
      </w:r>
      <w:r>
        <w:rPr>
          <w:rFonts w:eastAsia="仿宋_GB2312"/>
          <w:sz w:val="32"/>
          <w:szCs w:val="32"/>
        </w:rPr>
        <w:t>该项目的设立经过严格的评估论证</w:t>
      </w:r>
      <w:r>
        <w:rPr>
          <w:rFonts w:hint="eastAsia" w:eastAsia="仿宋_GB2312"/>
          <w:sz w:val="32"/>
          <w:szCs w:val="32"/>
        </w:rPr>
        <w:t>，</w:t>
      </w:r>
      <w:r>
        <w:rPr>
          <w:rFonts w:eastAsia="仿宋_GB2312"/>
          <w:sz w:val="32"/>
          <w:szCs w:val="32"/>
        </w:rPr>
        <w:t>制度完备</w:t>
      </w:r>
      <w:r>
        <w:rPr>
          <w:rFonts w:hint="eastAsia" w:eastAsia="仿宋_GB2312"/>
          <w:sz w:val="32"/>
          <w:szCs w:val="32"/>
        </w:rPr>
        <w:t>、</w:t>
      </w:r>
      <w:r>
        <w:rPr>
          <w:rFonts w:eastAsia="仿宋_GB2312"/>
          <w:sz w:val="32"/>
          <w:szCs w:val="32"/>
        </w:rPr>
        <w:t>规划合理</w:t>
      </w:r>
      <w:r>
        <w:rPr>
          <w:rFonts w:hint="eastAsia" w:eastAsia="仿宋_GB2312"/>
          <w:sz w:val="32"/>
          <w:szCs w:val="32"/>
        </w:rPr>
        <w:t>、与部门职责相适应，分配要素均衡，对象公平。</w:t>
      </w:r>
      <w:r>
        <w:rPr>
          <w:rFonts w:hint="eastAsia" w:ascii="仿宋_GB2312" w:hAnsi="宋体" w:eastAsia="仿宋_GB2312" w:cs="宋体"/>
          <w:sz w:val="32"/>
          <w:szCs w:val="32"/>
        </w:rPr>
        <w:t>经自评，执法执勤用车购置经费项目自评得分100分，评价等级为“优 ”。2023年无公务用车购置需求未安排预算。项目自评结果按规定时间于政府网站公开。项目支出得分明细如下所示：</w:t>
      </w:r>
    </w:p>
    <w:p w14:paraId="159ED369">
      <w:pPr>
        <w:pStyle w:val="2"/>
        <w:rPr>
          <w:rFonts w:ascii="仿宋_GB2312" w:hAnsi="宋体" w:eastAsia="仿宋_GB2312" w:cs="宋体"/>
          <w:sz w:val="32"/>
          <w:szCs w:val="32"/>
        </w:rPr>
      </w:pPr>
    </w:p>
    <w:p w14:paraId="180A3594">
      <w:pPr>
        <w:pStyle w:val="2"/>
        <w:rPr>
          <w:rFonts w:ascii="仿宋_GB2312" w:hAnsi="宋体" w:eastAsia="仿宋_GB2312" w:cs="宋体"/>
          <w:sz w:val="32"/>
          <w:szCs w:val="32"/>
        </w:rPr>
      </w:pPr>
    </w:p>
    <w:p w14:paraId="1FD1C0B2">
      <w:pPr>
        <w:pStyle w:val="2"/>
        <w:rPr>
          <w:rFonts w:ascii="仿宋_GB2312" w:hAnsi="宋体" w:eastAsia="仿宋_GB2312" w:cs="宋体"/>
          <w:sz w:val="32"/>
          <w:szCs w:val="32"/>
        </w:rPr>
      </w:pPr>
    </w:p>
    <w:p w14:paraId="5A8B6FA1">
      <w:pPr>
        <w:pStyle w:val="2"/>
        <w:rPr>
          <w:rFonts w:ascii="仿宋_GB2312" w:hAnsi="宋体" w:eastAsia="仿宋_GB2312" w:cs="宋体"/>
          <w:sz w:val="32"/>
          <w:szCs w:val="32"/>
        </w:rPr>
      </w:pPr>
    </w:p>
    <w:p w14:paraId="1E1996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1606" w:firstLineChars="500"/>
        <w:rPr>
          <w:rFonts w:ascii="仿宋_GB2312" w:hAnsi="宋体" w:eastAsia="仿宋_GB2312" w:cs="宋体"/>
          <w:b/>
          <w:sz w:val="32"/>
          <w:szCs w:val="32"/>
        </w:rPr>
      </w:pPr>
      <w:r>
        <w:rPr>
          <w:rFonts w:hint="eastAsia" w:ascii="仿宋_GB2312" w:hAnsi="宋体" w:eastAsia="仿宋_GB2312" w:cs="宋体"/>
          <w:b/>
          <w:sz w:val="32"/>
          <w:szCs w:val="32"/>
        </w:rPr>
        <w:t>执法执勤用车购置经费项目支出得分表</w:t>
      </w:r>
    </w:p>
    <w:tbl>
      <w:tblPr>
        <w:tblStyle w:val="1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04"/>
        <w:gridCol w:w="1704"/>
        <w:gridCol w:w="1945"/>
        <w:gridCol w:w="1464"/>
        <w:gridCol w:w="1705"/>
      </w:tblGrid>
      <w:tr w14:paraId="48B2A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trPr>
        <w:tc>
          <w:tcPr>
            <w:tcW w:w="5353" w:type="dxa"/>
            <w:gridSpan w:val="3"/>
            <w:vAlign w:val="center"/>
          </w:tcPr>
          <w:p w14:paraId="0EE9E7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b/>
                <w:sz w:val="32"/>
                <w:szCs w:val="32"/>
              </w:rPr>
            </w:pPr>
            <w:r>
              <w:rPr>
                <w:rFonts w:hint="eastAsia" w:ascii="仿宋_GB2312" w:hAnsi="Calibri" w:eastAsia="仿宋_GB2312"/>
                <w:b/>
                <w:sz w:val="32"/>
                <w:szCs w:val="32"/>
              </w:rPr>
              <w:t>绩效指标</w:t>
            </w:r>
          </w:p>
        </w:tc>
        <w:tc>
          <w:tcPr>
            <w:tcW w:w="1464" w:type="dxa"/>
            <w:vMerge w:val="restart"/>
            <w:vAlign w:val="center"/>
          </w:tcPr>
          <w:p w14:paraId="744C18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b/>
                <w:sz w:val="32"/>
                <w:szCs w:val="32"/>
              </w:rPr>
            </w:pPr>
            <w:r>
              <w:rPr>
                <w:rFonts w:hint="eastAsia" w:ascii="仿宋_GB2312" w:hAnsi="Calibri" w:eastAsia="仿宋_GB2312"/>
                <w:b/>
                <w:sz w:val="32"/>
                <w:szCs w:val="32"/>
              </w:rPr>
              <w:t>指标分值</w:t>
            </w:r>
          </w:p>
        </w:tc>
        <w:tc>
          <w:tcPr>
            <w:tcW w:w="1705" w:type="dxa"/>
            <w:vMerge w:val="restart"/>
            <w:vAlign w:val="center"/>
          </w:tcPr>
          <w:p w14:paraId="4B7BAD1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b/>
                <w:sz w:val="32"/>
                <w:szCs w:val="32"/>
              </w:rPr>
            </w:pPr>
            <w:r>
              <w:rPr>
                <w:rFonts w:hint="eastAsia" w:ascii="仿宋_GB2312" w:hAnsi="Calibri" w:eastAsia="仿宋_GB2312"/>
                <w:b/>
                <w:sz w:val="32"/>
                <w:szCs w:val="32"/>
              </w:rPr>
              <w:t>得分</w:t>
            </w:r>
          </w:p>
        </w:tc>
      </w:tr>
      <w:tr w14:paraId="5F013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4" w:hRule="atLeast"/>
        </w:trPr>
        <w:tc>
          <w:tcPr>
            <w:tcW w:w="1704" w:type="dxa"/>
            <w:vAlign w:val="center"/>
          </w:tcPr>
          <w:p w14:paraId="571020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b/>
                <w:sz w:val="32"/>
                <w:szCs w:val="32"/>
              </w:rPr>
            </w:pPr>
            <w:r>
              <w:rPr>
                <w:rFonts w:hint="eastAsia" w:ascii="仿宋_GB2312" w:hAnsi="Calibri" w:eastAsia="仿宋_GB2312"/>
                <w:b/>
                <w:sz w:val="32"/>
                <w:szCs w:val="32"/>
              </w:rPr>
              <w:t>一级指标</w:t>
            </w:r>
          </w:p>
        </w:tc>
        <w:tc>
          <w:tcPr>
            <w:tcW w:w="1704" w:type="dxa"/>
            <w:vAlign w:val="center"/>
          </w:tcPr>
          <w:p w14:paraId="6D2A6C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b/>
                <w:sz w:val="32"/>
                <w:szCs w:val="32"/>
              </w:rPr>
            </w:pPr>
            <w:r>
              <w:rPr>
                <w:rFonts w:hint="eastAsia" w:ascii="仿宋_GB2312" w:hAnsi="Calibri" w:eastAsia="仿宋_GB2312"/>
                <w:b/>
                <w:sz w:val="32"/>
                <w:szCs w:val="32"/>
              </w:rPr>
              <w:t>二级指标</w:t>
            </w:r>
          </w:p>
        </w:tc>
        <w:tc>
          <w:tcPr>
            <w:tcW w:w="1945" w:type="dxa"/>
            <w:vAlign w:val="center"/>
          </w:tcPr>
          <w:p w14:paraId="6BDC4B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b/>
                <w:sz w:val="32"/>
                <w:szCs w:val="32"/>
              </w:rPr>
            </w:pPr>
            <w:r>
              <w:rPr>
                <w:rFonts w:hint="eastAsia" w:ascii="仿宋_GB2312" w:hAnsi="Calibri" w:eastAsia="仿宋_GB2312"/>
                <w:b/>
                <w:sz w:val="32"/>
                <w:szCs w:val="32"/>
              </w:rPr>
              <w:t>三级指标</w:t>
            </w:r>
          </w:p>
        </w:tc>
        <w:tc>
          <w:tcPr>
            <w:tcW w:w="1464" w:type="dxa"/>
            <w:vMerge w:val="continue"/>
            <w:vAlign w:val="center"/>
          </w:tcPr>
          <w:p w14:paraId="4BD844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5" w:type="dxa"/>
            <w:vMerge w:val="continue"/>
            <w:vAlign w:val="center"/>
          </w:tcPr>
          <w:p w14:paraId="18F26B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r>
      <w:tr w14:paraId="450A5D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restart"/>
            <w:vAlign w:val="center"/>
          </w:tcPr>
          <w:p w14:paraId="2811964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通用指标</w:t>
            </w:r>
          </w:p>
          <w:p w14:paraId="78F398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（30分）</w:t>
            </w:r>
          </w:p>
        </w:tc>
        <w:tc>
          <w:tcPr>
            <w:tcW w:w="1704" w:type="dxa"/>
            <w:vMerge w:val="restart"/>
            <w:vAlign w:val="center"/>
          </w:tcPr>
          <w:p w14:paraId="4474621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项目决策</w:t>
            </w:r>
          </w:p>
        </w:tc>
        <w:tc>
          <w:tcPr>
            <w:tcW w:w="1945" w:type="dxa"/>
            <w:vAlign w:val="center"/>
          </w:tcPr>
          <w:p w14:paraId="411EDA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程序严密</w:t>
            </w:r>
          </w:p>
        </w:tc>
        <w:tc>
          <w:tcPr>
            <w:tcW w:w="1464" w:type="dxa"/>
            <w:vAlign w:val="center"/>
          </w:tcPr>
          <w:p w14:paraId="36CA79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c>
          <w:tcPr>
            <w:tcW w:w="1705" w:type="dxa"/>
            <w:vAlign w:val="center"/>
          </w:tcPr>
          <w:p w14:paraId="56D202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r>
      <w:tr w14:paraId="158AF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2BC01A3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continue"/>
            <w:vAlign w:val="center"/>
          </w:tcPr>
          <w:p w14:paraId="333E87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945" w:type="dxa"/>
            <w:vAlign w:val="center"/>
          </w:tcPr>
          <w:p w14:paraId="7B23947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规划合理</w:t>
            </w:r>
          </w:p>
        </w:tc>
        <w:tc>
          <w:tcPr>
            <w:tcW w:w="1464" w:type="dxa"/>
            <w:vAlign w:val="center"/>
          </w:tcPr>
          <w:p w14:paraId="615B4C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c>
          <w:tcPr>
            <w:tcW w:w="1705" w:type="dxa"/>
            <w:vAlign w:val="center"/>
          </w:tcPr>
          <w:p w14:paraId="107AFA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r>
      <w:tr w14:paraId="47150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099B6E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restart"/>
            <w:vAlign w:val="center"/>
          </w:tcPr>
          <w:p w14:paraId="73AE6BE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项目实施</w:t>
            </w:r>
          </w:p>
        </w:tc>
        <w:tc>
          <w:tcPr>
            <w:tcW w:w="1945" w:type="dxa"/>
            <w:vAlign w:val="center"/>
          </w:tcPr>
          <w:p w14:paraId="50C933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分配合理</w:t>
            </w:r>
          </w:p>
        </w:tc>
        <w:tc>
          <w:tcPr>
            <w:tcW w:w="1464" w:type="dxa"/>
            <w:vAlign w:val="center"/>
          </w:tcPr>
          <w:p w14:paraId="7008B5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c>
          <w:tcPr>
            <w:tcW w:w="1705" w:type="dxa"/>
            <w:vAlign w:val="center"/>
          </w:tcPr>
          <w:p w14:paraId="011F5BE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r>
      <w:tr w14:paraId="78BC7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3CC69B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continue"/>
            <w:vAlign w:val="center"/>
          </w:tcPr>
          <w:p w14:paraId="52086D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945" w:type="dxa"/>
            <w:vAlign w:val="center"/>
          </w:tcPr>
          <w:p w14:paraId="2C4ED07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使用合规</w:t>
            </w:r>
          </w:p>
        </w:tc>
        <w:tc>
          <w:tcPr>
            <w:tcW w:w="1464" w:type="dxa"/>
            <w:vAlign w:val="center"/>
          </w:tcPr>
          <w:p w14:paraId="54822F5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c>
          <w:tcPr>
            <w:tcW w:w="1705" w:type="dxa"/>
            <w:vAlign w:val="center"/>
          </w:tcPr>
          <w:p w14:paraId="79E8BD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r>
      <w:tr w14:paraId="04A19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580CA2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continue"/>
            <w:vAlign w:val="center"/>
          </w:tcPr>
          <w:p w14:paraId="090791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945" w:type="dxa"/>
            <w:vAlign w:val="center"/>
          </w:tcPr>
          <w:p w14:paraId="056618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执行有效</w:t>
            </w:r>
          </w:p>
        </w:tc>
        <w:tc>
          <w:tcPr>
            <w:tcW w:w="1464" w:type="dxa"/>
            <w:vAlign w:val="center"/>
          </w:tcPr>
          <w:p w14:paraId="4B31B7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c>
          <w:tcPr>
            <w:tcW w:w="1705" w:type="dxa"/>
            <w:vAlign w:val="center"/>
          </w:tcPr>
          <w:p w14:paraId="7C020A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r>
      <w:tr w14:paraId="24E20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14B5122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restart"/>
            <w:vAlign w:val="center"/>
          </w:tcPr>
          <w:p w14:paraId="1816ED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完成结果</w:t>
            </w:r>
          </w:p>
        </w:tc>
        <w:tc>
          <w:tcPr>
            <w:tcW w:w="1945" w:type="dxa"/>
            <w:vAlign w:val="center"/>
          </w:tcPr>
          <w:p w14:paraId="7087AAC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预算完成</w:t>
            </w:r>
          </w:p>
        </w:tc>
        <w:tc>
          <w:tcPr>
            <w:tcW w:w="1464" w:type="dxa"/>
            <w:vAlign w:val="center"/>
          </w:tcPr>
          <w:p w14:paraId="18A2F9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c>
          <w:tcPr>
            <w:tcW w:w="1705" w:type="dxa"/>
            <w:vAlign w:val="center"/>
          </w:tcPr>
          <w:p w14:paraId="5F23F5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r>
      <w:tr w14:paraId="41392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2AD6C8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continue"/>
            <w:vAlign w:val="center"/>
          </w:tcPr>
          <w:p w14:paraId="2A5E18A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945" w:type="dxa"/>
            <w:vAlign w:val="center"/>
          </w:tcPr>
          <w:p w14:paraId="5349AA8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目标完成</w:t>
            </w:r>
          </w:p>
        </w:tc>
        <w:tc>
          <w:tcPr>
            <w:tcW w:w="1464" w:type="dxa"/>
            <w:vAlign w:val="center"/>
          </w:tcPr>
          <w:p w14:paraId="5CB0F3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c>
          <w:tcPr>
            <w:tcW w:w="1705" w:type="dxa"/>
            <w:vAlign w:val="center"/>
          </w:tcPr>
          <w:p w14:paraId="412027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4</w:t>
            </w:r>
          </w:p>
        </w:tc>
      </w:tr>
      <w:tr w14:paraId="257C7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17B630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continue"/>
            <w:vAlign w:val="center"/>
          </w:tcPr>
          <w:p w14:paraId="77FFC9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945" w:type="dxa"/>
            <w:vAlign w:val="center"/>
          </w:tcPr>
          <w:p w14:paraId="5EFF11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违规记录</w:t>
            </w:r>
          </w:p>
        </w:tc>
        <w:tc>
          <w:tcPr>
            <w:tcW w:w="1464" w:type="dxa"/>
            <w:vAlign w:val="center"/>
          </w:tcPr>
          <w:p w14:paraId="3AFFBD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2</w:t>
            </w:r>
          </w:p>
        </w:tc>
        <w:tc>
          <w:tcPr>
            <w:tcW w:w="1705" w:type="dxa"/>
            <w:vAlign w:val="center"/>
          </w:tcPr>
          <w:p w14:paraId="61FC96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2</w:t>
            </w:r>
          </w:p>
        </w:tc>
      </w:tr>
      <w:tr w14:paraId="38DFC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restart"/>
            <w:vAlign w:val="center"/>
          </w:tcPr>
          <w:p w14:paraId="018E85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共性指标</w:t>
            </w:r>
          </w:p>
          <w:p w14:paraId="1A0481E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（20分）</w:t>
            </w:r>
          </w:p>
        </w:tc>
        <w:tc>
          <w:tcPr>
            <w:tcW w:w="1704" w:type="dxa"/>
            <w:vMerge w:val="restart"/>
            <w:vAlign w:val="center"/>
          </w:tcPr>
          <w:p w14:paraId="2F26920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项目效果</w:t>
            </w:r>
          </w:p>
        </w:tc>
        <w:tc>
          <w:tcPr>
            <w:tcW w:w="1945" w:type="dxa"/>
            <w:vAlign w:val="center"/>
          </w:tcPr>
          <w:p w14:paraId="002F2AE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区域均衡性</w:t>
            </w:r>
          </w:p>
        </w:tc>
        <w:tc>
          <w:tcPr>
            <w:tcW w:w="1464" w:type="dxa"/>
            <w:vAlign w:val="center"/>
          </w:tcPr>
          <w:p w14:paraId="78579B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6</w:t>
            </w:r>
          </w:p>
        </w:tc>
        <w:tc>
          <w:tcPr>
            <w:tcW w:w="1705" w:type="dxa"/>
            <w:vAlign w:val="center"/>
          </w:tcPr>
          <w:p w14:paraId="063FA9F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6</w:t>
            </w:r>
          </w:p>
        </w:tc>
      </w:tr>
      <w:tr w14:paraId="3E76A2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37DB6E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continue"/>
            <w:vAlign w:val="center"/>
          </w:tcPr>
          <w:p w14:paraId="22F3F9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945" w:type="dxa"/>
            <w:vAlign w:val="center"/>
          </w:tcPr>
          <w:p w14:paraId="43B30E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对象公平性</w:t>
            </w:r>
          </w:p>
        </w:tc>
        <w:tc>
          <w:tcPr>
            <w:tcW w:w="1464" w:type="dxa"/>
            <w:vAlign w:val="center"/>
          </w:tcPr>
          <w:p w14:paraId="174BA7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8</w:t>
            </w:r>
          </w:p>
        </w:tc>
        <w:tc>
          <w:tcPr>
            <w:tcW w:w="1705" w:type="dxa"/>
            <w:vAlign w:val="center"/>
          </w:tcPr>
          <w:p w14:paraId="417EA6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8</w:t>
            </w:r>
          </w:p>
        </w:tc>
      </w:tr>
      <w:tr w14:paraId="5C3693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vAlign w:val="center"/>
          </w:tcPr>
          <w:p w14:paraId="658830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704" w:type="dxa"/>
            <w:vMerge w:val="continue"/>
            <w:vAlign w:val="center"/>
          </w:tcPr>
          <w:p w14:paraId="5C8D1B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p>
        </w:tc>
        <w:tc>
          <w:tcPr>
            <w:tcW w:w="1945" w:type="dxa"/>
            <w:vAlign w:val="center"/>
          </w:tcPr>
          <w:p w14:paraId="486CE7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社会满意度</w:t>
            </w:r>
          </w:p>
        </w:tc>
        <w:tc>
          <w:tcPr>
            <w:tcW w:w="1464" w:type="dxa"/>
            <w:vAlign w:val="center"/>
          </w:tcPr>
          <w:p w14:paraId="0C71B9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6</w:t>
            </w:r>
          </w:p>
        </w:tc>
        <w:tc>
          <w:tcPr>
            <w:tcW w:w="1705" w:type="dxa"/>
            <w:vAlign w:val="center"/>
          </w:tcPr>
          <w:p w14:paraId="48FB95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6</w:t>
            </w:r>
          </w:p>
        </w:tc>
      </w:tr>
      <w:tr w14:paraId="0E781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restart"/>
          </w:tcPr>
          <w:p w14:paraId="03139A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rPr>
                <w:rFonts w:ascii="仿宋_GB2312" w:hAnsi="Calibri" w:eastAsia="仿宋_GB2312"/>
                <w:sz w:val="32"/>
                <w:szCs w:val="32"/>
              </w:rPr>
            </w:pPr>
            <w:r>
              <w:rPr>
                <w:rFonts w:hint="eastAsia" w:ascii="仿宋_GB2312" w:hAnsi="Calibri" w:eastAsia="仿宋_GB2312"/>
                <w:sz w:val="32"/>
                <w:szCs w:val="32"/>
              </w:rPr>
              <w:t>特性指标</w:t>
            </w:r>
          </w:p>
          <w:p w14:paraId="25F21A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rPr>
                <w:rFonts w:ascii="仿宋_GB2312" w:hAnsi="Calibri" w:eastAsia="仿宋_GB2312"/>
                <w:sz w:val="32"/>
                <w:szCs w:val="32"/>
              </w:rPr>
            </w:pPr>
            <w:r>
              <w:rPr>
                <w:rFonts w:hint="eastAsia" w:ascii="仿宋_GB2312" w:hAnsi="Calibri" w:eastAsia="仿宋_GB2312"/>
                <w:sz w:val="32"/>
                <w:szCs w:val="32"/>
              </w:rPr>
              <w:t>（50分）</w:t>
            </w:r>
          </w:p>
        </w:tc>
        <w:tc>
          <w:tcPr>
            <w:tcW w:w="1704" w:type="dxa"/>
          </w:tcPr>
          <w:p w14:paraId="55FC493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rPr>
                <w:rFonts w:ascii="仿宋_GB2312" w:hAnsi="Calibri" w:eastAsia="仿宋_GB2312"/>
                <w:sz w:val="32"/>
                <w:szCs w:val="32"/>
              </w:rPr>
            </w:pPr>
            <w:r>
              <w:rPr>
                <w:rFonts w:hint="eastAsia" w:ascii="仿宋_GB2312" w:hAnsi="Calibri" w:eastAsia="仿宋_GB2312"/>
                <w:sz w:val="32"/>
                <w:szCs w:val="32"/>
              </w:rPr>
              <w:t>基础管理</w:t>
            </w:r>
          </w:p>
        </w:tc>
        <w:tc>
          <w:tcPr>
            <w:tcW w:w="1945" w:type="dxa"/>
          </w:tcPr>
          <w:p w14:paraId="11185D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rPr>
                <w:rFonts w:ascii="仿宋_GB2312" w:hAnsi="Calibri" w:eastAsia="仿宋_GB2312"/>
                <w:sz w:val="32"/>
                <w:szCs w:val="32"/>
              </w:rPr>
            </w:pPr>
            <w:r>
              <w:rPr>
                <w:rFonts w:hint="eastAsia" w:ascii="仿宋_GB2312" w:hAnsi="Calibri" w:eastAsia="仿宋_GB2312"/>
                <w:sz w:val="32"/>
                <w:szCs w:val="32"/>
              </w:rPr>
              <w:t>审核把关</w:t>
            </w:r>
          </w:p>
        </w:tc>
        <w:tc>
          <w:tcPr>
            <w:tcW w:w="1464" w:type="dxa"/>
            <w:vAlign w:val="center"/>
          </w:tcPr>
          <w:p w14:paraId="5AD690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25</w:t>
            </w:r>
          </w:p>
        </w:tc>
        <w:tc>
          <w:tcPr>
            <w:tcW w:w="1705" w:type="dxa"/>
            <w:vAlign w:val="center"/>
          </w:tcPr>
          <w:p w14:paraId="463714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25</w:t>
            </w:r>
          </w:p>
        </w:tc>
      </w:tr>
      <w:tr w14:paraId="2D9AB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vMerge w:val="continue"/>
          </w:tcPr>
          <w:p w14:paraId="5CE610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rPr>
                <w:rFonts w:ascii="仿宋_GB2312" w:hAnsi="Calibri" w:eastAsia="仿宋_GB2312"/>
                <w:sz w:val="32"/>
                <w:szCs w:val="32"/>
              </w:rPr>
            </w:pPr>
          </w:p>
        </w:tc>
        <w:tc>
          <w:tcPr>
            <w:tcW w:w="1704" w:type="dxa"/>
          </w:tcPr>
          <w:p w14:paraId="00DA4E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rPr>
                <w:rFonts w:ascii="仿宋_GB2312" w:hAnsi="Calibri" w:eastAsia="仿宋_GB2312"/>
                <w:sz w:val="32"/>
                <w:szCs w:val="32"/>
              </w:rPr>
            </w:pPr>
            <w:r>
              <w:rPr>
                <w:rFonts w:hint="eastAsia" w:ascii="仿宋_GB2312" w:hAnsi="Calibri" w:eastAsia="仿宋_GB2312"/>
                <w:sz w:val="32"/>
                <w:szCs w:val="32"/>
              </w:rPr>
              <w:t>社会效益</w:t>
            </w:r>
          </w:p>
        </w:tc>
        <w:tc>
          <w:tcPr>
            <w:tcW w:w="1945" w:type="dxa"/>
          </w:tcPr>
          <w:p w14:paraId="258F52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rPr>
                <w:rFonts w:ascii="仿宋_GB2312" w:hAnsi="Calibri" w:eastAsia="仿宋_GB2312"/>
                <w:sz w:val="32"/>
                <w:szCs w:val="32"/>
              </w:rPr>
            </w:pPr>
            <w:r>
              <w:rPr>
                <w:rFonts w:hint="eastAsia" w:ascii="仿宋_GB2312" w:hAnsi="Calibri" w:eastAsia="仿宋_GB2312"/>
                <w:sz w:val="32"/>
                <w:szCs w:val="32"/>
              </w:rPr>
              <w:t>资金使用率</w:t>
            </w:r>
          </w:p>
        </w:tc>
        <w:tc>
          <w:tcPr>
            <w:tcW w:w="1464" w:type="dxa"/>
            <w:vAlign w:val="center"/>
          </w:tcPr>
          <w:p w14:paraId="5581DF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25</w:t>
            </w:r>
          </w:p>
        </w:tc>
        <w:tc>
          <w:tcPr>
            <w:tcW w:w="1705" w:type="dxa"/>
            <w:vAlign w:val="center"/>
          </w:tcPr>
          <w:p w14:paraId="757480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25</w:t>
            </w:r>
          </w:p>
        </w:tc>
      </w:tr>
      <w:tr w14:paraId="392D1A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7" w:hRule="atLeast"/>
        </w:trPr>
        <w:tc>
          <w:tcPr>
            <w:tcW w:w="5353" w:type="dxa"/>
            <w:gridSpan w:val="3"/>
            <w:vAlign w:val="center"/>
          </w:tcPr>
          <w:p w14:paraId="15C3D0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合计</w:t>
            </w:r>
          </w:p>
        </w:tc>
        <w:tc>
          <w:tcPr>
            <w:tcW w:w="1464" w:type="dxa"/>
            <w:vAlign w:val="center"/>
          </w:tcPr>
          <w:p w14:paraId="3004518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100</w:t>
            </w:r>
          </w:p>
        </w:tc>
        <w:tc>
          <w:tcPr>
            <w:tcW w:w="1705" w:type="dxa"/>
            <w:vAlign w:val="center"/>
          </w:tcPr>
          <w:p w14:paraId="235A98A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rPr>
                <w:rFonts w:ascii="仿宋_GB2312" w:hAnsi="Calibri" w:eastAsia="仿宋_GB2312"/>
                <w:sz w:val="32"/>
                <w:szCs w:val="32"/>
              </w:rPr>
            </w:pPr>
            <w:r>
              <w:rPr>
                <w:rFonts w:hint="eastAsia" w:ascii="仿宋_GB2312" w:hAnsi="Calibri" w:eastAsia="仿宋_GB2312"/>
                <w:sz w:val="32"/>
                <w:szCs w:val="32"/>
              </w:rPr>
              <w:t>100</w:t>
            </w:r>
          </w:p>
        </w:tc>
      </w:tr>
    </w:tbl>
    <w:p w14:paraId="39E8F818">
      <w:pPr>
        <w:spacing w:line="600" w:lineRule="exact"/>
        <w:ind w:firstLine="640" w:firstLineChars="200"/>
        <w:rPr>
          <w:rFonts w:eastAsia="黑体"/>
          <w:bCs/>
          <w:sz w:val="32"/>
          <w:szCs w:val="32"/>
        </w:rPr>
      </w:pPr>
      <w:r>
        <w:rPr>
          <w:rFonts w:eastAsia="黑体"/>
          <w:bCs/>
          <w:sz w:val="32"/>
          <w:szCs w:val="32"/>
        </w:rPr>
        <w:t>五、其他需要说明的问题</w:t>
      </w:r>
    </w:p>
    <w:p w14:paraId="626D64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ascii="仿宋_GB2312" w:hAnsi="宋体" w:eastAsia="仿宋_GB2312" w:cs="宋体"/>
          <w:sz w:val="32"/>
          <w:szCs w:val="32"/>
        </w:rPr>
      </w:pPr>
      <w:r>
        <w:rPr>
          <w:rFonts w:hint="eastAsia" w:ascii="仿宋_GB2312" w:hAnsi="宋体" w:eastAsia="仿宋_GB2312" w:cs="宋体"/>
          <w:sz w:val="32"/>
          <w:szCs w:val="32"/>
        </w:rPr>
        <w:t>无。</w:t>
      </w:r>
    </w:p>
    <w:p w14:paraId="79BEC6AE">
      <w:pPr>
        <w:widowControl/>
        <w:spacing w:line="600" w:lineRule="exact"/>
        <w:jc w:val="center"/>
        <w:rPr>
          <w:rFonts w:ascii="方正小标宋简体" w:hAnsi="方正小标宋简体" w:eastAsia="方正小标宋简体" w:cs="方正小标宋简体"/>
          <w:sz w:val="44"/>
          <w:szCs w:val="44"/>
        </w:rPr>
      </w:pPr>
    </w:p>
    <w:p w14:paraId="15CCBADB">
      <w:pPr>
        <w:widowControl/>
        <w:spacing w:line="600" w:lineRule="exact"/>
        <w:jc w:val="center"/>
        <w:rPr>
          <w:rFonts w:ascii="方正小标宋简体" w:hAnsi="方正小标宋简体" w:eastAsia="方正小标宋简体" w:cs="方正小标宋简体"/>
          <w:sz w:val="44"/>
          <w:szCs w:val="44"/>
        </w:rPr>
      </w:pPr>
    </w:p>
    <w:p w14:paraId="57F22E2F">
      <w:pPr>
        <w:widowControl/>
        <w:numPr>
          <w:ilvl w:val="0"/>
          <w:numId w:val="2"/>
        </w:numPr>
        <w:spacing w:line="600" w:lineRule="exact"/>
        <w:jc w:val="center"/>
        <w:rPr>
          <w:rStyle w:val="28"/>
          <w:rFonts w:ascii="方正小标宋简体" w:hAnsi="方正小标宋简体" w:eastAsia="方正小标宋简体" w:cs="方正小标宋简体"/>
          <w:b w:val="0"/>
        </w:rPr>
      </w:pPr>
      <w:r>
        <w:rPr>
          <w:rStyle w:val="28"/>
          <w:rFonts w:hint="eastAsia" w:ascii="方正小标宋简体" w:hAnsi="方正小标宋简体" w:eastAsia="方正小标宋简体" w:cs="方正小标宋简体"/>
          <w:b w:val="0"/>
        </w:rPr>
        <w:t>附表</w:t>
      </w:r>
      <w:bookmarkStart w:id="56" w:name="_Toc15396619"/>
    </w:p>
    <w:p w14:paraId="23F3C07A">
      <w:pPr>
        <w:pStyle w:val="2"/>
      </w:pPr>
    </w:p>
    <w:p w14:paraId="3F196F55">
      <w:pPr>
        <w:pStyle w:val="4"/>
        <w:spacing w:line="600" w:lineRule="exact"/>
        <w:rPr>
          <w:rFonts w:ascii="仿宋_GB2312" w:hAnsi="仿宋_GB2312" w:eastAsia="仿宋_GB2312" w:cs="仿宋_GB2312"/>
        </w:rPr>
      </w:pPr>
      <w:r>
        <w:rPr>
          <w:rFonts w:hint="eastAsia" w:ascii="仿宋_GB2312" w:hAnsi="仿宋_GB2312" w:eastAsia="仿宋_GB2312" w:cs="仿宋_GB2312"/>
          <w:b w:val="0"/>
        </w:rPr>
        <w:t>一、收</w:t>
      </w:r>
      <w:r>
        <w:rPr>
          <w:rStyle w:val="29"/>
          <w:rFonts w:hint="eastAsia" w:ascii="仿宋_GB2312" w:hAnsi="仿宋_GB2312" w:eastAsia="仿宋_GB2312" w:cs="仿宋_GB2312"/>
          <w:b w:val="0"/>
          <w:bCs w:val="0"/>
        </w:rPr>
        <w:t>入支出决算总表</w:t>
      </w:r>
      <w:bookmarkEnd w:id="56"/>
    </w:p>
    <w:p w14:paraId="2935E275">
      <w:pPr>
        <w:pStyle w:val="4"/>
        <w:spacing w:line="600" w:lineRule="exact"/>
        <w:rPr>
          <w:rFonts w:ascii="仿宋_GB2312" w:hAnsi="仿宋_GB2312" w:eastAsia="仿宋_GB2312" w:cs="仿宋_GB2312"/>
        </w:rPr>
      </w:pPr>
      <w:bookmarkStart w:id="57" w:name="_Toc15396620"/>
      <w:r>
        <w:rPr>
          <w:rFonts w:hint="eastAsia" w:ascii="仿宋_GB2312" w:hAnsi="仿宋_GB2312" w:eastAsia="仿宋_GB2312" w:cs="仿宋_GB2312"/>
          <w:b w:val="0"/>
        </w:rPr>
        <w:t>二、收</w:t>
      </w:r>
      <w:r>
        <w:rPr>
          <w:rStyle w:val="29"/>
          <w:rFonts w:hint="eastAsia" w:ascii="仿宋_GB2312" w:hAnsi="仿宋_GB2312" w:eastAsia="仿宋_GB2312" w:cs="仿宋_GB2312"/>
          <w:b w:val="0"/>
          <w:bCs w:val="0"/>
        </w:rPr>
        <w:t>入决算表</w:t>
      </w:r>
      <w:bookmarkEnd w:id="57"/>
    </w:p>
    <w:p w14:paraId="505C5F87">
      <w:pPr>
        <w:pStyle w:val="4"/>
        <w:spacing w:line="600" w:lineRule="exact"/>
        <w:rPr>
          <w:rFonts w:ascii="仿宋_GB2312" w:hAnsi="仿宋_GB2312" w:eastAsia="仿宋_GB2312" w:cs="仿宋_GB2312"/>
        </w:rPr>
      </w:pPr>
      <w:bookmarkStart w:id="58" w:name="_Toc15396621"/>
      <w:r>
        <w:rPr>
          <w:rStyle w:val="29"/>
          <w:rFonts w:hint="eastAsia" w:ascii="仿宋_GB2312" w:hAnsi="仿宋_GB2312" w:eastAsia="仿宋_GB2312" w:cs="仿宋_GB2312"/>
          <w:b w:val="0"/>
          <w:bCs w:val="0"/>
        </w:rPr>
        <w:t>三、</w:t>
      </w:r>
      <w:r>
        <w:rPr>
          <w:rFonts w:hint="eastAsia" w:ascii="仿宋_GB2312" w:hAnsi="仿宋_GB2312" w:eastAsia="仿宋_GB2312" w:cs="仿宋_GB2312"/>
          <w:b w:val="0"/>
        </w:rPr>
        <w:t>支</w:t>
      </w:r>
      <w:r>
        <w:rPr>
          <w:rStyle w:val="29"/>
          <w:rFonts w:hint="eastAsia" w:ascii="仿宋_GB2312" w:hAnsi="仿宋_GB2312" w:eastAsia="仿宋_GB2312" w:cs="仿宋_GB2312"/>
          <w:b w:val="0"/>
          <w:bCs w:val="0"/>
        </w:rPr>
        <w:t>出决算表</w:t>
      </w:r>
      <w:bookmarkEnd w:id="58"/>
    </w:p>
    <w:p w14:paraId="49C64203">
      <w:pPr>
        <w:pStyle w:val="4"/>
        <w:spacing w:line="600" w:lineRule="exact"/>
        <w:rPr>
          <w:rFonts w:ascii="仿宋_GB2312" w:hAnsi="仿宋_GB2312" w:eastAsia="仿宋_GB2312" w:cs="仿宋_GB2312"/>
          <w:b w:val="0"/>
        </w:rPr>
      </w:pPr>
      <w:bookmarkStart w:id="59" w:name="_Toc15396622"/>
      <w:r>
        <w:rPr>
          <w:rStyle w:val="29"/>
          <w:rFonts w:hint="eastAsia" w:ascii="仿宋_GB2312" w:hAnsi="仿宋_GB2312" w:eastAsia="仿宋_GB2312" w:cs="仿宋_GB2312"/>
          <w:b w:val="0"/>
          <w:bCs w:val="0"/>
        </w:rPr>
        <w:t>四、</w:t>
      </w:r>
      <w:r>
        <w:rPr>
          <w:rFonts w:hint="eastAsia" w:ascii="仿宋_GB2312" w:hAnsi="仿宋_GB2312" w:eastAsia="仿宋_GB2312" w:cs="仿宋_GB2312"/>
          <w:b w:val="0"/>
        </w:rPr>
        <w:t>财</w:t>
      </w:r>
      <w:r>
        <w:rPr>
          <w:rStyle w:val="29"/>
          <w:rFonts w:hint="eastAsia" w:ascii="仿宋_GB2312" w:hAnsi="仿宋_GB2312" w:eastAsia="仿宋_GB2312" w:cs="仿宋_GB2312"/>
          <w:b w:val="0"/>
          <w:bCs w:val="0"/>
        </w:rPr>
        <w:t>政拨款收入支出决算总表</w:t>
      </w:r>
      <w:bookmarkEnd w:id="59"/>
    </w:p>
    <w:p w14:paraId="008CF0D2">
      <w:pPr>
        <w:pStyle w:val="4"/>
        <w:spacing w:line="600" w:lineRule="exact"/>
        <w:rPr>
          <w:rStyle w:val="29"/>
          <w:rFonts w:ascii="仿宋_GB2312" w:hAnsi="仿宋_GB2312" w:eastAsia="仿宋_GB2312" w:cs="仿宋_GB2312"/>
          <w:b w:val="0"/>
          <w:bCs w:val="0"/>
        </w:rPr>
      </w:pPr>
      <w:bookmarkStart w:id="60" w:name="_Toc15396623"/>
      <w:r>
        <w:rPr>
          <w:rStyle w:val="29"/>
          <w:rFonts w:hint="eastAsia" w:ascii="仿宋_GB2312" w:hAnsi="仿宋_GB2312" w:eastAsia="仿宋_GB2312" w:cs="仿宋_GB2312"/>
          <w:b w:val="0"/>
          <w:bCs w:val="0"/>
        </w:rPr>
        <w:t>五、</w:t>
      </w:r>
      <w:r>
        <w:rPr>
          <w:rFonts w:hint="eastAsia" w:ascii="仿宋_GB2312" w:hAnsi="仿宋_GB2312" w:eastAsia="仿宋_GB2312" w:cs="仿宋_GB2312"/>
          <w:b w:val="0"/>
        </w:rPr>
        <w:t>财</w:t>
      </w:r>
      <w:r>
        <w:rPr>
          <w:rStyle w:val="29"/>
          <w:rFonts w:hint="eastAsia" w:ascii="仿宋_GB2312" w:hAnsi="仿宋_GB2312" w:eastAsia="仿宋_GB2312" w:cs="仿宋_GB2312"/>
          <w:b w:val="0"/>
          <w:bCs w:val="0"/>
        </w:rPr>
        <w:t>政拨款支出决算明细表</w:t>
      </w:r>
      <w:bookmarkEnd w:id="60"/>
      <w:bookmarkStart w:id="61" w:name="_Toc15396624"/>
    </w:p>
    <w:p w14:paraId="435136B8">
      <w:pPr>
        <w:pStyle w:val="4"/>
        <w:spacing w:line="600" w:lineRule="exact"/>
        <w:rPr>
          <w:rFonts w:ascii="仿宋_GB2312" w:hAnsi="仿宋_GB2312" w:eastAsia="仿宋_GB2312" w:cs="仿宋_GB2312"/>
        </w:rPr>
      </w:pPr>
      <w:r>
        <w:rPr>
          <w:rStyle w:val="29"/>
          <w:rFonts w:hint="eastAsia" w:ascii="仿宋_GB2312" w:hAnsi="仿宋_GB2312" w:eastAsia="仿宋_GB2312" w:cs="仿宋_GB2312"/>
          <w:b w:val="0"/>
          <w:bCs w:val="0"/>
        </w:rPr>
        <w:t>六、</w:t>
      </w:r>
      <w:r>
        <w:rPr>
          <w:rFonts w:hint="eastAsia" w:ascii="仿宋_GB2312" w:hAnsi="仿宋_GB2312" w:eastAsia="仿宋_GB2312" w:cs="仿宋_GB2312"/>
          <w:b w:val="0"/>
        </w:rPr>
        <w:t>一</w:t>
      </w:r>
      <w:r>
        <w:rPr>
          <w:rStyle w:val="29"/>
          <w:rFonts w:hint="eastAsia" w:ascii="仿宋_GB2312" w:hAnsi="仿宋_GB2312" w:eastAsia="仿宋_GB2312" w:cs="仿宋_GB2312"/>
          <w:b w:val="0"/>
          <w:bCs w:val="0"/>
        </w:rPr>
        <w:t>般公共预算财政拨款支出决算表</w:t>
      </w:r>
      <w:bookmarkEnd w:id="61"/>
    </w:p>
    <w:p w14:paraId="6A44C38C">
      <w:pPr>
        <w:pStyle w:val="4"/>
        <w:spacing w:line="600" w:lineRule="exact"/>
        <w:rPr>
          <w:rFonts w:ascii="仿宋_GB2312" w:hAnsi="仿宋_GB2312" w:eastAsia="仿宋_GB2312" w:cs="仿宋_GB2312"/>
        </w:rPr>
      </w:pPr>
      <w:bookmarkStart w:id="62" w:name="_Toc15396625"/>
      <w:r>
        <w:rPr>
          <w:rStyle w:val="29"/>
          <w:rFonts w:hint="eastAsia" w:ascii="仿宋_GB2312" w:hAnsi="仿宋_GB2312" w:eastAsia="仿宋_GB2312" w:cs="仿宋_GB2312"/>
          <w:b w:val="0"/>
          <w:bCs w:val="0"/>
        </w:rPr>
        <w:t>七、</w:t>
      </w:r>
      <w:r>
        <w:rPr>
          <w:rFonts w:hint="eastAsia" w:ascii="仿宋_GB2312" w:hAnsi="仿宋_GB2312" w:eastAsia="仿宋_GB2312" w:cs="仿宋_GB2312"/>
          <w:b w:val="0"/>
        </w:rPr>
        <w:t>一</w:t>
      </w:r>
      <w:r>
        <w:rPr>
          <w:rStyle w:val="29"/>
          <w:rFonts w:hint="eastAsia" w:ascii="仿宋_GB2312" w:hAnsi="仿宋_GB2312" w:eastAsia="仿宋_GB2312" w:cs="仿宋_GB2312"/>
          <w:b w:val="0"/>
          <w:bCs w:val="0"/>
        </w:rPr>
        <w:t>般公共预算财政拨款支出决算明细表</w:t>
      </w:r>
      <w:bookmarkEnd w:id="62"/>
    </w:p>
    <w:p w14:paraId="759205D5">
      <w:pPr>
        <w:pStyle w:val="4"/>
        <w:spacing w:line="600" w:lineRule="exact"/>
        <w:rPr>
          <w:rFonts w:ascii="仿宋_GB2312" w:hAnsi="仿宋_GB2312" w:eastAsia="仿宋_GB2312" w:cs="仿宋_GB2312"/>
        </w:rPr>
      </w:pPr>
      <w:bookmarkStart w:id="63" w:name="_Toc15396626"/>
      <w:r>
        <w:rPr>
          <w:rStyle w:val="29"/>
          <w:rFonts w:hint="eastAsia" w:ascii="仿宋_GB2312" w:hAnsi="仿宋_GB2312" w:eastAsia="仿宋_GB2312" w:cs="仿宋_GB2312"/>
          <w:b w:val="0"/>
          <w:bCs w:val="0"/>
        </w:rPr>
        <w:t>八、</w:t>
      </w:r>
      <w:r>
        <w:rPr>
          <w:rFonts w:hint="eastAsia" w:ascii="仿宋_GB2312" w:hAnsi="仿宋_GB2312" w:eastAsia="仿宋_GB2312" w:cs="仿宋_GB2312"/>
          <w:b w:val="0"/>
        </w:rPr>
        <w:t>一</w:t>
      </w:r>
      <w:r>
        <w:rPr>
          <w:rStyle w:val="29"/>
          <w:rFonts w:hint="eastAsia" w:ascii="仿宋_GB2312" w:hAnsi="仿宋_GB2312" w:eastAsia="仿宋_GB2312" w:cs="仿宋_GB2312"/>
          <w:b w:val="0"/>
          <w:bCs w:val="0"/>
        </w:rPr>
        <w:t>般公共预算财政拨款基本支出决算明细表</w:t>
      </w:r>
      <w:bookmarkEnd w:id="63"/>
    </w:p>
    <w:p w14:paraId="4998CA0B">
      <w:pPr>
        <w:pStyle w:val="4"/>
        <w:spacing w:line="600" w:lineRule="exact"/>
        <w:rPr>
          <w:rStyle w:val="29"/>
          <w:rFonts w:ascii="仿宋_GB2312" w:hAnsi="仿宋_GB2312" w:eastAsia="仿宋_GB2312" w:cs="仿宋_GB2312"/>
          <w:b w:val="0"/>
          <w:bCs w:val="0"/>
        </w:rPr>
      </w:pPr>
      <w:bookmarkStart w:id="64" w:name="_Toc15396627"/>
      <w:r>
        <w:rPr>
          <w:rStyle w:val="29"/>
          <w:rFonts w:hint="eastAsia" w:ascii="仿宋_GB2312" w:hAnsi="仿宋_GB2312" w:eastAsia="仿宋_GB2312" w:cs="仿宋_GB2312"/>
          <w:b w:val="0"/>
          <w:bCs w:val="0"/>
        </w:rPr>
        <w:t>九、</w:t>
      </w:r>
      <w:r>
        <w:rPr>
          <w:rFonts w:hint="eastAsia" w:ascii="仿宋_GB2312" w:hAnsi="仿宋_GB2312" w:eastAsia="仿宋_GB2312" w:cs="仿宋_GB2312"/>
          <w:b w:val="0"/>
        </w:rPr>
        <w:t>一</w:t>
      </w:r>
      <w:r>
        <w:rPr>
          <w:rStyle w:val="29"/>
          <w:rFonts w:hint="eastAsia" w:ascii="仿宋_GB2312" w:hAnsi="仿宋_GB2312" w:eastAsia="仿宋_GB2312" w:cs="仿宋_GB2312"/>
          <w:b w:val="0"/>
          <w:bCs w:val="0"/>
        </w:rPr>
        <w:t>般公共预算财政拨款项目支出决算表</w:t>
      </w:r>
      <w:bookmarkEnd w:id="64"/>
    </w:p>
    <w:p w14:paraId="1AB1EC86">
      <w:pPr>
        <w:pStyle w:val="4"/>
        <w:spacing w:line="600" w:lineRule="exact"/>
        <w:rPr>
          <w:rFonts w:ascii="仿宋_GB2312" w:hAnsi="仿宋_GB2312" w:eastAsia="仿宋_GB2312" w:cs="仿宋_GB2312"/>
        </w:rPr>
      </w:pPr>
      <w:bookmarkStart w:id="65" w:name="_Toc15396629"/>
      <w:r>
        <w:rPr>
          <w:rStyle w:val="29"/>
          <w:rFonts w:hint="eastAsia" w:ascii="仿宋_GB2312" w:hAnsi="仿宋_GB2312" w:eastAsia="仿宋_GB2312" w:cs="仿宋_GB2312"/>
          <w:b w:val="0"/>
          <w:bCs w:val="0"/>
        </w:rPr>
        <w:t>十、</w:t>
      </w:r>
      <w:r>
        <w:rPr>
          <w:rFonts w:hint="eastAsia" w:ascii="仿宋_GB2312" w:hAnsi="仿宋_GB2312" w:eastAsia="仿宋_GB2312" w:cs="仿宋_GB2312"/>
          <w:b w:val="0"/>
        </w:rPr>
        <w:t>政</w:t>
      </w:r>
      <w:r>
        <w:rPr>
          <w:rStyle w:val="29"/>
          <w:rFonts w:hint="eastAsia" w:ascii="仿宋_GB2312" w:hAnsi="仿宋_GB2312" w:eastAsia="仿宋_GB2312" w:cs="仿宋_GB2312"/>
          <w:b w:val="0"/>
          <w:bCs w:val="0"/>
        </w:rPr>
        <w:t>府性基金预算财政拨款收入支出决算表</w:t>
      </w:r>
      <w:bookmarkEnd w:id="65"/>
    </w:p>
    <w:p w14:paraId="127070B9">
      <w:pPr>
        <w:spacing w:line="600" w:lineRule="exact"/>
        <w:rPr>
          <w:rStyle w:val="29"/>
          <w:rFonts w:ascii="仿宋_GB2312" w:hAnsi="仿宋_GB2312" w:eastAsia="仿宋_GB2312" w:cs="仿宋_GB2312"/>
          <w:b w:val="0"/>
          <w:bCs w:val="0"/>
        </w:rPr>
      </w:pPr>
      <w:r>
        <w:rPr>
          <w:rStyle w:val="29"/>
          <w:rFonts w:hint="eastAsia" w:ascii="仿宋_GB2312" w:hAnsi="仿宋_GB2312" w:eastAsia="仿宋_GB2312" w:cs="仿宋_GB2312"/>
          <w:b w:val="0"/>
          <w:bCs w:val="0"/>
        </w:rPr>
        <w:t>十一、国有资本经营预算财政拨款收入支出决算表</w:t>
      </w:r>
      <w:bookmarkStart w:id="66" w:name="_Toc15396631"/>
      <w:bookmarkStart w:id="67" w:name="_Toc15396628"/>
    </w:p>
    <w:p w14:paraId="1312FE2C">
      <w:pPr>
        <w:pStyle w:val="2"/>
      </w:pPr>
    </w:p>
    <w:p w14:paraId="4AE8CD65">
      <w:pPr>
        <w:spacing w:line="600" w:lineRule="exact"/>
        <w:rPr>
          <w:rStyle w:val="29"/>
          <w:rFonts w:ascii="仿宋_GB2312" w:hAnsi="仿宋_GB2312" w:eastAsia="仿宋_GB2312" w:cs="仿宋_GB2312"/>
          <w:b w:val="0"/>
          <w:bCs w:val="0"/>
        </w:rPr>
      </w:pPr>
      <w:r>
        <w:rPr>
          <w:rStyle w:val="29"/>
          <w:rFonts w:hint="eastAsia" w:ascii="仿宋_GB2312" w:hAnsi="仿宋_GB2312" w:eastAsia="仿宋_GB2312" w:cs="仿宋_GB2312"/>
          <w:b w:val="0"/>
          <w:bCs w:val="0"/>
        </w:rPr>
        <w:t>十二、国有资本经营预算财政拨款支出决算表</w:t>
      </w:r>
      <w:bookmarkEnd w:id="66"/>
    </w:p>
    <w:p w14:paraId="5D258A39">
      <w:pPr>
        <w:pStyle w:val="4"/>
        <w:spacing w:line="600" w:lineRule="exact"/>
        <w:rPr>
          <w:rFonts w:ascii="仿宋_GB2312" w:hAnsi="仿宋_GB2312" w:eastAsia="仿宋_GB2312" w:cs="仿宋_GB2312"/>
        </w:rPr>
      </w:pPr>
      <w:r>
        <w:rPr>
          <w:rStyle w:val="29"/>
          <w:rFonts w:hint="eastAsia" w:ascii="仿宋_GB2312" w:hAnsi="仿宋_GB2312" w:eastAsia="仿宋_GB2312" w:cs="仿宋_GB2312"/>
          <w:b w:val="0"/>
          <w:bCs w:val="0"/>
        </w:rPr>
        <w:t>十三、财政拨款“三公”经费支出决算表</w:t>
      </w:r>
      <w:bookmarkEnd w:id="67"/>
    </w:p>
    <w:p w14:paraId="0D4510E7">
      <w:pPr>
        <w:widowControl/>
        <w:spacing w:line="600" w:lineRule="exact"/>
        <w:jc w:val="center"/>
        <w:rPr>
          <w:rFonts w:ascii="方正小标宋简体" w:hAnsi="方正小标宋简体" w:eastAsia="方正小标宋简体" w:cs="方正小标宋简体"/>
          <w:sz w:val="44"/>
          <w:szCs w:val="44"/>
        </w:rPr>
      </w:pPr>
    </w:p>
    <w:p w14:paraId="4EDFE715">
      <w:pPr>
        <w:pStyle w:val="2"/>
        <w:rPr>
          <w:rFonts w:ascii="方正小标宋简体" w:hAnsi="方正小标宋简体" w:eastAsia="方正小标宋简体" w:cs="方正小标宋简体"/>
          <w:sz w:val="44"/>
          <w:szCs w:val="44"/>
        </w:rPr>
      </w:pPr>
    </w:p>
    <w:p w14:paraId="0C39A9B7">
      <w:pPr>
        <w:pStyle w:val="2"/>
        <w:rPr>
          <w:rFonts w:ascii="方正小标宋简体" w:hAnsi="方正小标宋简体" w:eastAsia="方正小标宋简体" w:cs="方正小标宋简体"/>
          <w:sz w:val="44"/>
          <w:szCs w:val="44"/>
        </w:rPr>
      </w:pPr>
    </w:p>
    <w:p w14:paraId="1C608021">
      <w:pPr>
        <w:pStyle w:val="2"/>
        <w:rPr>
          <w:rFonts w:ascii="方正小标宋简体" w:hAnsi="方正小标宋简体" w:eastAsia="方正小标宋简体" w:cs="方正小标宋简体"/>
          <w:sz w:val="44"/>
          <w:szCs w:val="44"/>
        </w:rPr>
      </w:pPr>
    </w:p>
    <w:p w14:paraId="6A54BD41">
      <w:pPr>
        <w:pStyle w:val="2"/>
        <w:rPr>
          <w:rFonts w:ascii="方正小标宋简体" w:hAnsi="方正小标宋简体" w:eastAsia="方正小标宋简体" w:cs="方正小标宋简体"/>
          <w:sz w:val="44"/>
          <w:szCs w:val="44"/>
        </w:rPr>
      </w:pPr>
    </w:p>
    <w:p w14:paraId="55ECD890">
      <w:pPr>
        <w:pStyle w:val="2"/>
        <w:rPr>
          <w:rFonts w:ascii="方正小标宋简体" w:hAnsi="方正小标宋简体" w:eastAsia="方正小标宋简体" w:cs="方正小标宋简体"/>
          <w:sz w:val="44"/>
          <w:szCs w:val="44"/>
        </w:rPr>
      </w:pPr>
    </w:p>
    <w:p w14:paraId="4A771D9E">
      <w:pPr>
        <w:pStyle w:val="2"/>
        <w:rPr>
          <w:rFonts w:ascii="方正小标宋简体" w:hAnsi="方正小标宋简体" w:eastAsia="方正小标宋简体" w:cs="方正小标宋简体"/>
          <w:sz w:val="44"/>
          <w:szCs w:val="44"/>
        </w:rPr>
      </w:pPr>
    </w:p>
    <w:p w14:paraId="287F2E20">
      <w:pPr>
        <w:pStyle w:val="2"/>
        <w:rPr>
          <w:rFonts w:ascii="方正小标宋简体" w:hAnsi="方正小标宋简体" w:eastAsia="方正小标宋简体" w:cs="方正小标宋简体"/>
          <w:sz w:val="44"/>
          <w:szCs w:val="44"/>
        </w:rPr>
      </w:pPr>
    </w:p>
    <w:p w14:paraId="7DB7FAAC">
      <w:pPr>
        <w:pStyle w:val="2"/>
        <w:rPr>
          <w:rFonts w:ascii="方正小标宋简体" w:hAnsi="方正小标宋简体" w:eastAsia="方正小标宋简体" w:cs="方正小标宋简体"/>
          <w:sz w:val="44"/>
          <w:szCs w:val="44"/>
        </w:rPr>
      </w:pPr>
    </w:p>
    <w:p w14:paraId="6057E3E5">
      <w:pPr>
        <w:pStyle w:val="2"/>
        <w:rPr>
          <w:rFonts w:ascii="方正小标宋简体" w:hAnsi="方正小标宋简体" w:eastAsia="方正小标宋简体" w:cs="方正小标宋简体"/>
          <w:sz w:val="44"/>
          <w:szCs w:val="44"/>
        </w:rPr>
      </w:pPr>
    </w:p>
    <w:bookmarkEnd w:id="53"/>
    <w:bookmarkEnd w:id="55"/>
    <w:p w14:paraId="1DC4FAC7">
      <w:pPr>
        <w:pStyle w:val="2"/>
        <w:rPr>
          <w:rFonts w:ascii="方正小标宋简体" w:hAnsi="方正小标宋简体" w:eastAsia="方正小标宋简体" w:cs="方正小标宋简体"/>
          <w:sz w:val="44"/>
          <w:szCs w:val="44"/>
        </w:rPr>
      </w:pP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
    <w:altName w:val="Times New Roman"/>
    <w:panose1 w:val="00000000000000000000"/>
    <w:charset w:val="00"/>
    <w:family w:val="roman"/>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58D1B4D5">
        <w:pPr>
          <w:pStyle w:val="9"/>
          <w:jc w:val="center"/>
        </w:pPr>
        <w:r>
          <w:fldChar w:fldCharType="begin"/>
        </w:r>
        <w:r>
          <w:instrText xml:space="preserve">PAGE   \* MERGEFORMAT</w:instrText>
        </w:r>
        <w:r>
          <w:fldChar w:fldCharType="separate"/>
        </w:r>
        <w:r>
          <w:rPr>
            <w:lang w:val="zh-CN"/>
          </w:rPr>
          <w:t>5</w:t>
        </w:r>
        <w:r>
          <w:fldChar w:fldCharType="end"/>
        </w:r>
      </w:p>
    </w:sdtContent>
  </w:sdt>
  <w:p w14:paraId="61C889CD">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AD639">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6F5BEC"/>
    <w:multiLevelType w:val="singleLevel"/>
    <w:tmpl w:val="4D6F5BEC"/>
    <w:lvl w:ilvl="0" w:tentative="0">
      <w:start w:val="5"/>
      <w:numFmt w:val="chineseCounting"/>
      <w:suff w:val="space"/>
      <w:lvlText w:val="第%1部分"/>
      <w:lvlJc w:val="left"/>
      <w:rPr>
        <w:rFonts w:hint="eastAsia"/>
      </w:rPr>
    </w:lvl>
  </w:abstractNum>
  <w:abstractNum w:abstractNumId="1">
    <w:nsid w:val="5B63281F"/>
    <w:multiLevelType w:val="multilevel"/>
    <w:tmpl w:val="5B63281F"/>
    <w:lvl w:ilvl="0" w:tentative="0">
      <w:start w:val="1"/>
      <w:numFmt w:val="decimal"/>
      <w:pStyle w:val="34"/>
      <w:suff w:val="nothing"/>
      <w:lvlText w:val="%1."/>
      <w:lvlJc w:val="left"/>
      <w:pPr>
        <w:ind w:firstLine="635"/>
      </w:pPr>
      <w:rPr>
        <w:rFonts w:hint="eastAsia" w:cs="Times New Roman"/>
      </w:rPr>
    </w:lvl>
    <w:lvl w:ilvl="1" w:tentative="0">
      <w:start w:val="1"/>
      <w:numFmt w:val="lowerLetter"/>
      <w:lvlText w:val="%2)"/>
      <w:lvlJc w:val="left"/>
      <w:pPr>
        <w:ind w:left="1475" w:hanging="420"/>
      </w:pPr>
      <w:rPr>
        <w:rFonts w:cs="Times New Roman"/>
      </w:rPr>
    </w:lvl>
    <w:lvl w:ilvl="2" w:tentative="0">
      <w:start w:val="1"/>
      <w:numFmt w:val="lowerRoman"/>
      <w:lvlText w:val="%3."/>
      <w:lvlJc w:val="right"/>
      <w:pPr>
        <w:ind w:left="1895" w:hanging="420"/>
      </w:pPr>
      <w:rPr>
        <w:rFonts w:cs="Times New Roman"/>
      </w:rPr>
    </w:lvl>
    <w:lvl w:ilvl="3" w:tentative="0">
      <w:start w:val="1"/>
      <w:numFmt w:val="decimal"/>
      <w:lvlText w:val="%4."/>
      <w:lvlJc w:val="left"/>
      <w:pPr>
        <w:ind w:left="2315" w:hanging="420"/>
      </w:pPr>
      <w:rPr>
        <w:rFonts w:cs="Times New Roman"/>
      </w:rPr>
    </w:lvl>
    <w:lvl w:ilvl="4" w:tentative="0">
      <w:start w:val="1"/>
      <w:numFmt w:val="lowerLetter"/>
      <w:lvlText w:val="%5)"/>
      <w:lvlJc w:val="left"/>
      <w:pPr>
        <w:ind w:left="2735" w:hanging="420"/>
      </w:pPr>
      <w:rPr>
        <w:rFonts w:cs="Times New Roman"/>
      </w:rPr>
    </w:lvl>
    <w:lvl w:ilvl="5" w:tentative="0">
      <w:start w:val="1"/>
      <w:numFmt w:val="lowerRoman"/>
      <w:lvlText w:val="%6."/>
      <w:lvlJc w:val="right"/>
      <w:pPr>
        <w:ind w:left="3155" w:hanging="420"/>
      </w:pPr>
      <w:rPr>
        <w:rFonts w:cs="Times New Roman"/>
      </w:rPr>
    </w:lvl>
    <w:lvl w:ilvl="6" w:tentative="0">
      <w:start w:val="1"/>
      <w:numFmt w:val="decimal"/>
      <w:lvlText w:val="%7."/>
      <w:lvlJc w:val="left"/>
      <w:pPr>
        <w:ind w:left="3575" w:hanging="420"/>
      </w:pPr>
      <w:rPr>
        <w:rFonts w:cs="Times New Roman"/>
      </w:rPr>
    </w:lvl>
    <w:lvl w:ilvl="7" w:tentative="0">
      <w:start w:val="1"/>
      <w:numFmt w:val="lowerLetter"/>
      <w:lvlText w:val="%8)"/>
      <w:lvlJc w:val="left"/>
      <w:pPr>
        <w:ind w:left="3995" w:hanging="420"/>
      </w:pPr>
      <w:rPr>
        <w:rFonts w:cs="Times New Roman"/>
      </w:rPr>
    </w:lvl>
    <w:lvl w:ilvl="8" w:tentative="0">
      <w:start w:val="1"/>
      <w:numFmt w:val="lowerRoman"/>
      <w:lvlText w:val="%9."/>
      <w:lvlJc w:val="right"/>
      <w:pPr>
        <w:ind w:left="4415" w:hanging="42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1MzhlZDUyMzYyZWI2N2M5OTg2ZDI1NmI1YzkwOTk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6F7556"/>
    <w:rsid w:val="007127B7"/>
    <w:rsid w:val="0071798E"/>
    <w:rsid w:val="00727C3D"/>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962A4"/>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97608"/>
    <w:rsid w:val="00BA60A3"/>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1309"/>
    <w:rsid w:val="00F754A1"/>
    <w:rsid w:val="00F81FD9"/>
    <w:rsid w:val="00F841AA"/>
    <w:rsid w:val="00F84A94"/>
    <w:rsid w:val="00F87E96"/>
    <w:rsid w:val="00FA23E8"/>
    <w:rsid w:val="00FD3CC1"/>
    <w:rsid w:val="00FF1E02"/>
    <w:rsid w:val="00FF30B4"/>
    <w:rsid w:val="0115533D"/>
    <w:rsid w:val="01291837"/>
    <w:rsid w:val="01615BC7"/>
    <w:rsid w:val="016415A0"/>
    <w:rsid w:val="01792DA2"/>
    <w:rsid w:val="01FF4156"/>
    <w:rsid w:val="02051B50"/>
    <w:rsid w:val="020B13C3"/>
    <w:rsid w:val="022F53AA"/>
    <w:rsid w:val="023777D7"/>
    <w:rsid w:val="0244578E"/>
    <w:rsid w:val="027C38F4"/>
    <w:rsid w:val="0287681A"/>
    <w:rsid w:val="029B357F"/>
    <w:rsid w:val="029E1058"/>
    <w:rsid w:val="02D524A1"/>
    <w:rsid w:val="037118E4"/>
    <w:rsid w:val="04106DE0"/>
    <w:rsid w:val="044E0A8D"/>
    <w:rsid w:val="04855E8C"/>
    <w:rsid w:val="048F5DF3"/>
    <w:rsid w:val="04D2675F"/>
    <w:rsid w:val="04ED199A"/>
    <w:rsid w:val="053C3E1E"/>
    <w:rsid w:val="054214C5"/>
    <w:rsid w:val="05967AD2"/>
    <w:rsid w:val="05AD7B07"/>
    <w:rsid w:val="05E07338"/>
    <w:rsid w:val="05F55933"/>
    <w:rsid w:val="0626020F"/>
    <w:rsid w:val="0661499C"/>
    <w:rsid w:val="066E0107"/>
    <w:rsid w:val="06844F0D"/>
    <w:rsid w:val="06B66845"/>
    <w:rsid w:val="07496DEE"/>
    <w:rsid w:val="07646854"/>
    <w:rsid w:val="077B0622"/>
    <w:rsid w:val="07996F6E"/>
    <w:rsid w:val="07C62FF5"/>
    <w:rsid w:val="07E2379E"/>
    <w:rsid w:val="08105AA4"/>
    <w:rsid w:val="08540EA5"/>
    <w:rsid w:val="09453719"/>
    <w:rsid w:val="09461AEC"/>
    <w:rsid w:val="094D213A"/>
    <w:rsid w:val="09524BFD"/>
    <w:rsid w:val="098B02A0"/>
    <w:rsid w:val="098B0432"/>
    <w:rsid w:val="099920CB"/>
    <w:rsid w:val="099E0166"/>
    <w:rsid w:val="09AD3862"/>
    <w:rsid w:val="0A00393C"/>
    <w:rsid w:val="0A2032A3"/>
    <w:rsid w:val="0A5521C8"/>
    <w:rsid w:val="0A613202"/>
    <w:rsid w:val="0AC12AA0"/>
    <w:rsid w:val="0B2A089A"/>
    <w:rsid w:val="0B462863"/>
    <w:rsid w:val="0BA553F3"/>
    <w:rsid w:val="0BDF64B3"/>
    <w:rsid w:val="0C0D3D5C"/>
    <w:rsid w:val="0C1971C9"/>
    <w:rsid w:val="0C1F7D5E"/>
    <w:rsid w:val="0C4F433D"/>
    <w:rsid w:val="0C901258"/>
    <w:rsid w:val="0CDB3B6F"/>
    <w:rsid w:val="0D022686"/>
    <w:rsid w:val="0D6476D4"/>
    <w:rsid w:val="0D884402"/>
    <w:rsid w:val="0D9970BF"/>
    <w:rsid w:val="0D9A5A77"/>
    <w:rsid w:val="0DE448A1"/>
    <w:rsid w:val="0DEC64E7"/>
    <w:rsid w:val="0E04236F"/>
    <w:rsid w:val="0E2F310F"/>
    <w:rsid w:val="0E3F576A"/>
    <w:rsid w:val="0E9C0336"/>
    <w:rsid w:val="0ED12D63"/>
    <w:rsid w:val="0F2F7A83"/>
    <w:rsid w:val="0F6C0F44"/>
    <w:rsid w:val="0F90055C"/>
    <w:rsid w:val="0F9F7AD5"/>
    <w:rsid w:val="0FCE3671"/>
    <w:rsid w:val="101860EC"/>
    <w:rsid w:val="108D7508"/>
    <w:rsid w:val="10A15B4E"/>
    <w:rsid w:val="10C055FF"/>
    <w:rsid w:val="10CA3970"/>
    <w:rsid w:val="111A4DA9"/>
    <w:rsid w:val="112371A2"/>
    <w:rsid w:val="118107EC"/>
    <w:rsid w:val="12236126"/>
    <w:rsid w:val="125D3B99"/>
    <w:rsid w:val="12A85BB1"/>
    <w:rsid w:val="12B1300F"/>
    <w:rsid w:val="131B51AE"/>
    <w:rsid w:val="13CA4508"/>
    <w:rsid w:val="13D50BC4"/>
    <w:rsid w:val="13E427CB"/>
    <w:rsid w:val="14604AB7"/>
    <w:rsid w:val="14622355"/>
    <w:rsid w:val="14832F5E"/>
    <w:rsid w:val="14860B4C"/>
    <w:rsid w:val="149920F6"/>
    <w:rsid w:val="14A967EC"/>
    <w:rsid w:val="14C25925"/>
    <w:rsid w:val="14DE3959"/>
    <w:rsid w:val="14F914D7"/>
    <w:rsid w:val="1549069D"/>
    <w:rsid w:val="15615809"/>
    <w:rsid w:val="15944515"/>
    <w:rsid w:val="15CB10D9"/>
    <w:rsid w:val="15CF4882"/>
    <w:rsid w:val="15E305DC"/>
    <w:rsid w:val="15F45740"/>
    <w:rsid w:val="15F958D1"/>
    <w:rsid w:val="169E1814"/>
    <w:rsid w:val="16BB723D"/>
    <w:rsid w:val="16ED4BD6"/>
    <w:rsid w:val="17175646"/>
    <w:rsid w:val="172E4CF4"/>
    <w:rsid w:val="1741766F"/>
    <w:rsid w:val="17A82795"/>
    <w:rsid w:val="17BC1E70"/>
    <w:rsid w:val="17CE3D86"/>
    <w:rsid w:val="18004DC5"/>
    <w:rsid w:val="18107107"/>
    <w:rsid w:val="18245BDD"/>
    <w:rsid w:val="186956FC"/>
    <w:rsid w:val="1874473B"/>
    <w:rsid w:val="18864193"/>
    <w:rsid w:val="18D021B2"/>
    <w:rsid w:val="18FA09E2"/>
    <w:rsid w:val="19183BAB"/>
    <w:rsid w:val="191C4C65"/>
    <w:rsid w:val="191D5C87"/>
    <w:rsid w:val="19552A92"/>
    <w:rsid w:val="198B663A"/>
    <w:rsid w:val="1A072FBF"/>
    <w:rsid w:val="1A4A159B"/>
    <w:rsid w:val="1A7542CB"/>
    <w:rsid w:val="1B8241EC"/>
    <w:rsid w:val="1BAE7018"/>
    <w:rsid w:val="1BE8440E"/>
    <w:rsid w:val="1C2C1182"/>
    <w:rsid w:val="1C796E82"/>
    <w:rsid w:val="1CA45997"/>
    <w:rsid w:val="1D1007D3"/>
    <w:rsid w:val="1D101A27"/>
    <w:rsid w:val="1D155CEE"/>
    <w:rsid w:val="1D5B6192"/>
    <w:rsid w:val="1D683531"/>
    <w:rsid w:val="1DA17DCD"/>
    <w:rsid w:val="1DC07B29"/>
    <w:rsid w:val="1E717EFE"/>
    <w:rsid w:val="1EB138D0"/>
    <w:rsid w:val="1EDD15C0"/>
    <w:rsid w:val="1EE84E4D"/>
    <w:rsid w:val="1F0B2A4A"/>
    <w:rsid w:val="1F3E3491"/>
    <w:rsid w:val="1F706C90"/>
    <w:rsid w:val="1F994D74"/>
    <w:rsid w:val="1FAF5963"/>
    <w:rsid w:val="1FC64A8E"/>
    <w:rsid w:val="206273B4"/>
    <w:rsid w:val="206E1276"/>
    <w:rsid w:val="209C223D"/>
    <w:rsid w:val="212C465F"/>
    <w:rsid w:val="21785A45"/>
    <w:rsid w:val="217A7D5E"/>
    <w:rsid w:val="218C66A1"/>
    <w:rsid w:val="21D264A3"/>
    <w:rsid w:val="22017E94"/>
    <w:rsid w:val="227609CD"/>
    <w:rsid w:val="229920C2"/>
    <w:rsid w:val="22CE03BC"/>
    <w:rsid w:val="22D87064"/>
    <w:rsid w:val="22E9059C"/>
    <w:rsid w:val="230A122A"/>
    <w:rsid w:val="230D1039"/>
    <w:rsid w:val="237F14FF"/>
    <w:rsid w:val="23860B96"/>
    <w:rsid w:val="23A11B74"/>
    <w:rsid w:val="23C22CEC"/>
    <w:rsid w:val="240371BF"/>
    <w:rsid w:val="2423153B"/>
    <w:rsid w:val="2478727D"/>
    <w:rsid w:val="24956052"/>
    <w:rsid w:val="24DB398B"/>
    <w:rsid w:val="24DC6F50"/>
    <w:rsid w:val="24F234C3"/>
    <w:rsid w:val="250B7303"/>
    <w:rsid w:val="2523113D"/>
    <w:rsid w:val="25407A7A"/>
    <w:rsid w:val="259F11E2"/>
    <w:rsid w:val="25A85777"/>
    <w:rsid w:val="25B52AD9"/>
    <w:rsid w:val="25B83106"/>
    <w:rsid w:val="25EA6511"/>
    <w:rsid w:val="269D61F9"/>
    <w:rsid w:val="26C3256A"/>
    <w:rsid w:val="271A3639"/>
    <w:rsid w:val="272B783A"/>
    <w:rsid w:val="27527BB9"/>
    <w:rsid w:val="27695C38"/>
    <w:rsid w:val="27847416"/>
    <w:rsid w:val="27B26D37"/>
    <w:rsid w:val="27D05A7F"/>
    <w:rsid w:val="283476FE"/>
    <w:rsid w:val="285C5287"/>
    <w:rsid w:val="285E4946"/>
    <w:rsid w:val="28903408"/>
    <w:rsid w:val="28F21286"/>
    <w:rsid w:val="29107547"/>
    <w:rsid w:val="29456619"/>
    <w:rsid w:val="2967533C"/>
    <w:rsid w:val="29C43200"/>
    <w:rsid w:val="29C62555"/>
    <w:rsid w:val="29F5067A"/>
    <w:rsid w:val="29FD04D3"/>
    <w:rsid w:val="2A0B5D39"/>
    <w:rsid w:val="2A0E0B4C"/>
    <w:rsid w:val="2A123871"/>
    <w:rsid w:val="2AA6228C"/>
    <w:rsid w:val="2ABA1DA6"/>
    <w:rsid w:val="2AD22651"/>
    <w:rsid w:val="2B2835AB"/>
    <w:rsid w:val="2B672AEE"/>
    <w:rsid w:val="2B7F322A"/>
    <w:rsid w:val="2BAE77C2"/>
    <w:rsid w:val="2C1004AF"/>
    <w:rsid w:val="2C145E22"/>
    <w:rsid w:val="2C8A61B5"/>
    <w:rsid w:val="2D473A7C"/>
    <w:rsid w:val="2D83470A"/>
    <w:rsid w:val="2DB06D43"/>
    <w:rsid w:val="2DCB08C3"/>
    <w:rsid w:val="2DE56991"/>
    <w:rsid w:val="2DF04E50"/>
    <w:rsid w:val="2DF15C82"/>
    <w:rsid w:val="2E2B0C51"/>
    <w:rsid w:val="2E8A2FD0"/>
    <w:rsid w:val="2F1202AE"/>
    <w:rsid w:val="2F13270B"/>
    <w:rsid w:val="2F5D63EE"/>
    <w:rsid w:val="2FB14AB3"/>
    <w:rsid w:val="2FF22AA6"/>
    <w:rsid w:val="3006579E"/>
    <w:rsid w:val="303054FB"/>
    <w:rsid w:val="30444C39"/>
    <w:rsid w:val="3093179D"/>
    <w:rsid w:val="30BC64D7"/>
    <w:rsid w:val="30D00F96"/>
    <w:rsid w:val="31394191"/>
    <w:rsid w:val="319F7F4E"/>
    <w:rsid w:val="31C602C5"/>
    <w:rsid w:val="31D8540E"/>
    <w:rsid w:val="32225EAA"/>
    <w:rsid w:val="322D778E"/>
    <w:rsid w:val="3258046C"/>
    <w:rsid w:val="32692DFA"/>
    <w:rsid w:val="32A56B90"/>
    <w:rsid w:val="32C844E7"/>
    <w:rsid w:val="330D6F8A"/>
    <w:rsid w:val="3329467C"/>
    <w:rsid w:val="33DF7BBB"/>
    <w:rsid w:val="33E80B3D"/>
    <w:rsid w:val="34427B02"/>
    <w:rsid w:val="34714B42"/>
    <w:rsid w:val="347A67D0"/>
    <w:rsid w:val="347C03ED"/>
    <w:rsid w:val="34F840DA"/>
    <w:rsid w:val="3509365C"/>
    <w:rsid w:val="355563C9"/>
    <w:rsid w:val="35BF1C5D"/>
    <w:rsid w:val="36024FB6"/>
    <w:rsid w:val="3619207C"/>
    <w:rsid w:val="36626903"/>
    <w:rsid w:val="36AA5135"/>
    <w:rsid w:val="36F17A57"/>
    <w:rsid w:val="374936C2"/>
    <w:rsid w:val="375D1044"/>
    <w:rsid w:val="37734218"/>
    <w:rsid w:val="37BB44A3"/>
    <w:rsid w:val="37E16F03"/>
    <w:rsid w:val="38715A94"/>
    <w:rsid w:val="388F7527"/>
    <w:rsid w:val="392F1C19"/>
    <w:rsid w:val="3A725A41"/>
    <w:rsid w:val="3A792182"/>
    <w:rsid w:val="3A7E29E0"/>
    <w:rsid w:val="3AA76D72"/>
    <w:rsid w:val="3AB07625"/>
    <w:rsid w:val="3AF26FC7"/>
    <w:rsid w:val="3BEE1BF0"/>
    <w:rsid w:val="3C4131BE"/>
    <w:rsid w:val="3C9F5C78"/>
    <w:rsid w:val="3CA67C94"/>
    <w:rsid w:val="3CC95B6A"/>
    <w:rsid w:val="3D6C7E94"/>
    <w:rsid w:val="3D98207C"/>
    <w:rsid w:val="3E5B7039"/>
    <w:rsid w:val="3E5D42BE"/>
    <w:rsid w:val="3E7610FC"/>
    <w:rsid w:val="3ED517F8"/>
    <w:rsid w:val="3F030F52"/>
    <w:rsid w:val="3F143AB4"/>
    <w:rsid w:val="3F1A2ABF"/>
    <w:rsid w:val="3F6C43B7"/>
    <w:rsid w:val="40221D7D"/>
    <w:rsid w:val="40366F71"/>
    <w:rsid w:val="40463456"/>
    <w:rsid w:val="40BC37B5"/>
    <w:rsid w:val="40FA625A"/>
    <w:rsid w:val="41135448"/>
    <w:rsid w:val="41217965"/>
    <w:rsid w:val="4125610C"/>
    <w:rsid w:val="415F542A"/>
    <w:rsid w:val="416B18DB"/>
    <w:rsid w:val="41761116"/>
    <w:rsid w:val="41A1358B"/>
    <w:rsid w:val="41B62764"/>
    <w:rsid w:val="41C34C74"/>
    <w:rsid w:val="422542BF"/>
    <w:rsid w:val="424C1EA9"/>
    <w:rsid w:val="425E2CBE"/>
    <w:rsid w:val="426777A9"/>
    <w:rsid w:val="42720751"/>
    <w:rsid w:val="42DF1411"/>
    <w:rsid w:val="438377FF"/>
    <w:rsid w:val="43D3159A"/>
    <w:rsid w:val="43E231BC"/>
    <w:rsid w:val="43F4085F"/>
    <w:rsid w:val="441231BF"/>
    <w:rsid w:val="44390F75"/>
    <w:rsid w:val="4443779B"/>
    <w:rsid w:val="44E268DA"/>
    <w:rsid w:val="453A631E"/>
    <w:rsid w:val="453C54C0"/>
    <w:rsid w:val="454250FE"/>
    <w:rsid w:val="458047D3"/>
    <w:rsid w:val="45AC5BC1"/>
    <w:rsid w:val="45F203DB"/>
    <w:rsid w:val="46414611"/>
    <w:rsid w:val="46C64F58"/>
    <w:rsid w:val="46EC625E"/>
    <w:rsid w:val="46FD0831"/>
    <w:rsid w:val="47151003"/>
    <w:rsid w:val="472D60AA"/>
    <w:rsid w:val="477947D7"/>
    <w:rsid w:val="47A341F3"/>
    <w:rsid w:val="48323D23"/>
    <w:rsid w:val="48F61179"/>
    <w:rsid w:val="49156307"/>
    <w:rsid w:val="493245F4"/>
    <w:rsid w:val="4952701B"/>
    <w:rsid w:val="49F57F5F"/>
    <w:rsid w:val="4A57752A"/>
    <w:rsid w:val="4A5E75E7"/>
    <w:rsid w:val="4A627F82"/>
    <w:rsid w:val="4A9A0534"/>
    <w:rsid w:val="4AA600BC"/>
    <w:rsid w:val="4AAC0A01"/>
    <w:rsid w:val="4AB34602"/>
    <w:rsid w:val="4B0F4A5F"/>
    <w:rsid w:val="4B4F25DA"/>
    <w:rsid w:val="4B571C67"/>
    <w:rsid w:val="4B5C6276"/>
    <w:rsid w:val="4B6D1643"/>
    <w:rsid w:val="4B99394C"/>
    <w:rsid w:val="4BE068DB"/>
    <w:rsid w:val="4BFB795B"/>
    <w:rsid w:val="4C842EC8"/>
    <w:rsid w:val="4CA63983"/>
    <w:rsid w:val="4CF62EDA"/>
    <w:rsid w:val="4CF737B0"/>
    <w:rsid w:val="4D3B62F8"/>
    <w:rsid w:val="4D3F3EC6"/>
    <w:rsid w:val="4D577224"/>
    <w:rsid w:val="4DA33ED9"/>
    <w:rsid w:val="4E4A0233"/>
    <w:rsid w:val="4E974216"/>
    <w:rsid w:val="4EAB630A"/>
    <w:rsid w:val="4ECE2238"/>
    <w:rsid w:val="4F075A8E"/>
    <w:rsid w:val="4FA2196A"/>
    <w:rsid w:val="503C350C"/>
    <w:rsid w:val="50FE058F"/>
    <w:rsid w:val="51435F5B"/>
    <w:rsid w:val="515A4CCC"/>
    <w:rsid w:val="51C03C12"/>
    <w:rsid w:val="51CA32F8"/>
    <w:rsid w:val="52004CF1"/>
    <w:rsid w:val="520416A4"/>
    <w:rsid w:val="52146734"/>
    <w:rsid w:val="52357B46"/>
    <w:rsid w:val="5268115C"/>
    <w:rsid w:val="526A4447"/>
    <w:rsid w:val="52AE5E9F"/>
    <w:rsid w:val="52DC6E82"/>
    <w:rsid w:val="52F44B32"/>
    <w:rsid w:val="53235F1D"/>
    <w:rsid w:val="533D6258"/>
    <w:rsid w:val="534E6CC0"/>
    <w:rsid w:val="53605B0A"/>
    <w:rsid w:val="536A1589"/>
    <w:rsid w:val="53AE0840"/>
    <w:rsid w:val="53D45769"/>
    <w:rsid w:val="540465A7"/>
    <w:rsid w:val="54764E80"/>
    <w:rsid w:val="54DA4608"/>
    <w:rsid w:val="55A30B1B"/>
    <w:rsid w:val="560F16F6"/>
    <w:rsid w:val="564173EA"/>
    <w:rsid w:val="564B6B5C"/>
    <w:rsid w:val="5679778F"/>
    <w:rsid w:val="56C0692D"/>
    <w:rsid w:val="56DE223E"/>
    <w:rsid w:val="57B242E5"/>
    <w:rsid w:val="57C16349"/>
    <w:rsid w:val="57CB5942"/>
    <w:rsid w:val="57F6783F"/>
    <w:rsid w:val="57FF6FB5"/>
    <w:rsid w:val="58124F3D"/>
    <w:rsid w:val="58387188"/>
    <w:rsid w:val="588E32EC"/>
    <w:rsid w:val="589D6776"/>
    <w:rsid w:val="58C64C43"/>
    <w:rsid w:val="58CE3F7A"/>
    <w:rsid w:val="58DA4C05"/>
    <w:rsid w:val="59497584"/>
    <w:rsid w:val="595D42C8"/>
    <w:rsid w:val="596D1FAD"/>
    <w:rsid w:val="59843CF4"/>
    <w:rsid w:val="59BF0B74"/>
    <w:rsid w:val="59F57E89"/>
    <w:rsid w:val="5A2E70FB"/>
    <w:rsid w:val="5A4D7CE9"/>
    <w:rsid w:val="5A857BDE"/>
    <w:rsid w:val="5AA932C4"/>
    <w:rsid w:val="5AC740F3"/>
    <w:rsid w:val="5AE12E3D"/>
    <w:rsid w:val="5AF92295"/>
    <w:rsid w:val="5B06742A"/>
    <w:rsid w:val="5B0D6E6D"/>
    <w:rsid w:val="5BAF3405"/>
    <w:rsid w:val="5BD23B56"/>
    <w:rsid w:val="5C697FF4"/>
    <w:rsid w:val="5C8833E1"/>
    <w:rsid w:val="5CA56C3B"/>
    <w:rsid w:val="5CB83503"/>
    <w:rsid w:val="5CCD1410"/>
    <w:rsid w:val="5CD71FC4"/>
    <w:rsid w:val="5D3D1708"/>
    <w:rsid w:val="5D411987"/>
    <w:rsid w:val="5D464FF6"/>
    <w:rsid w:val="5D9A2A06"/>
    <w:rsid w:val="5DD13D3B"/>
    <w:rsid w:val="5DD2614B"/>
    <w:rsid w:val="5DD37469"/>
    <w:rsid w:val="5DDC783E"/>
    <w:rsid w:val="5E4A6A77"/>
    <w:rsid w:val="5E4B283B"/>
    <w:rsid w:val="5E67726B"/>
    <w:rsid w:val="5E941D29"/>
    <w:rsid w:val="5EBF14E1"/>
    <w:rsid w:val="5ED150BE"/>
    <w:rsid w:val="5F267E61"/>
    <w:rsid w:val="5F3B548C"/>
    <w:rsid w:val="5F764109"/>
    <w:rsid w:val="5F7A26A6"/>
    <w:rsid w:val="5F8F11AE"/>
    <w:rsid w:val="5FB12DEF"/>
    <w:rsid w:val="5FCB7277"/>
    <w:rsid w:val="5FFE49C4"/>
    <w:rsid w:val="60232AEC"/>
    <w:rsid w:val="603F322A"/>
    <w:rsid w:val="60480D4A"/>
    <w:rsid w:val="60C7302F"/>
    <w:rsid w:val="60D1590D"/>
    <w:rsid w:val="60D30B00"/>
    <w:rsid w:val="61181721"/>
    <w:rsid w:val="61351FB5"/>
    <w:rsid w:val="614C5F7C"/>
    <w:rsid w:val="61923FE3"/>
    <w:rsid w:val="61C827FF"/>
    <w:rsid w:val="61F64937"/>
    <w:rsid w:val="62055434"/>
    <w:rsid w:val="623937F7"/>
    <w:rsid w:val="624808EC"/>
    <w:rsid w:val="627B3219"/>
    <w:rsid w:val="629A7DD4"/>
    <w:rsid w:val="62FB74DF"/>
    <w:rsid w:val="632379A2"/>
    <w:rsid w:val="63480537"/>
    <w:rsid w:val="636B61B3"/>
    <w:rsid w:val="63D3715A"/>
    <w:rsid w:val="63DD5F6B"/>
    <w:rsid w:val="63EB6098"/>
    <w:rsid w:val="651B7E5D"/>
    <w:rsid w:val="654307E9"/>
    <w:rsid w:val="65725A56"/>
    <w:rsid w:val="65A15A0C"/>
    <w:rsid w:val="65AB00E5"/>
    <w:rsid w:val="65F10734"/>
    <w:rsid w:val="66DA36C9"/>
    <w:rsid w:val="66FD4F13"/>
    <w:rsid w:val="67A64C27"/>
    <w:rsid w:val="67B06D62"/>
    <w:rsid w:val="67B80B9B"/>
    <w:rsid w:val="685B6E9D"/>
    <w:rsid w:val="687154AE"/>
    <w:rsid w:val="689E11ED"/>
    <w:rsid w:val="68A15819"/>
    <w:rsid w:val="68B446A1"/>
    <w:rsid w:val="68C005DE"/>
    <w:rsid w:val="68CC7F84"/>
    <w:rsid w:val="68F1130E"/>
    <w:rsid w:val="691C246D"/>
    <w:rsid w:val="69B82FB1"/>
    <w:rsid w:val="6AD54274"/>
    <w:rsid w:val="6B4227D3"/>
    <w:rsid w:val="6B4F5AF0"/>
    <w:rsid w:val="6B530E0A"/>
    <w:rsid w:val="6B550FF8"/>
    <w:rsid w:val="6B8668AD"/>
    <w:rsid w:val="6BA43B2A"/>
    <w:rsid w:val="6BF37E95"/>
    <w:rsid w:val="6BFB1AB8"/>
    <w:rsid w:val="6C4A05C8"/>
    <w:rsid w:val="6C6711B8"/>
    <w:rsid w:val="6C6E598E"/>
    <w:rsid w:val="6CFD2182"/>
    <w:rsid w:val="6D396CA7"/>
    <w:rsid w:val="6D41440E"/>
    <w:rsid w:val="6DB93056"/>
    <w:rsid w:val="6DBF6A25"/>
    <w:rsid w:val="6DC8707A"/>
    <w:rsid w:val="6DE25907"/>
    <w:rsid w:val="6DF304CD"/>
    <w:rsid w:val="6DF776B7"/>
    <w:rsid w:val="6E135F4C"/>
    <w:rsid w:val="6E20222F"/>
    <w:rsid w:val="6E7E3605"/>
    <w:rsid w:val="6E8E68CF"/>
    <w:rsid w:val="6EB722E8"/>
    <w:rsid w:val="6EBA5C84"/>
    <w:rsid w:val="6EDB67B5"/>
    <w:rsid w:val="6EF237C9"/>
    <w:rsid w:val="6F3762D6"/>
    <w:rsid w:val="6FE75C15"/>
    <w:rsid w:val="6FF5CC65"/>
    <w:rsid w:val="70B4665F"/>
    <w:rsid w:val="70D37C10"/>
    <w:rsid w:val="71301C72"/>
    <w:rsid w:val="715C0E4B"/>
    <w:rsid w:val="71763A4F"/>
    <w:rsid w:val="718B3D35"/>
    <w:rsid w:val="71CB6B19"/>
    <w:rsid w:val="721C6D5E"/>
    <w:rsid w:val="72734D90"/>
    <w:rsid w:val="7297462B"/>
    <w:rsid w:val="72983EC7"/>
    <w:rsid w:val="72CE7BCD"/>
    <w:rsid w:val="73062796"/>
    <w:rsid w:val="73485915"/>
    <w:rsid w:val="735138D5"/>
    <w:rsid w:val="739A0DB4"/>
    <w:rsid w:val="73AD73D5"/>
    <w:rsid w:val="73B6EB34"/>
    <w:rsid w:val="73BF2DE2"/>
    <w:rsid w:val="73C11871"/>
    <w:rsid w:val="73CB27D4"/>
    <w:rsid w:val="73FC3163"/>
    <w:rsid w:val="73FD410B"/>
    <w:rsid w:val="742B1B2B"/>
    <w:rsid w:val="7444756C"/>
    <w:rsid w:val="744A63AF"/>
    <w:rsid w:val="744C15FB"/>
    <w:rsid w:val="746011E8"/>
    <w:rsid w:val="74807710"/>
    <w:rsid w:val="74C75D10"/>
    <w:rsid w:val="757F700F"/>
    <w:rsid w:val="758C74D7"/>
    <w:rsid w:val="7590605C"/>
    <w:rsid w:val="765818EE"/>
    <w:rsid w:val="76F33ECC"/>
    <w:rsid w:val="771777BF"/>
    <w:rsid w:val="771A72EE"/>
    <w:rsid w:val="778C759D"/>
    <w:rsid w:val="77954857"/>
    <w:rsid w:val="77A92327"/>
    <w:rsid w:val="77EA6B59"/>
    <w:rsid w:val="77F64A3C"/>
    <w:rsid w:val="77FA154A"/>
    <w:rsid w:val="78266F65"/>
    <w:rsid w:val="783C790D"/>
    <w:rsid w:val="785E0D6E"/>
    <w:rsid w:val="78CF4FCD"/>
    <w:rsid w:val="793D556B"/>
    <w:rsid w:val="793E1DC0"/>
    <w:rsid w:val="79EE5BA4"/>
    <w:rsid w:val="7A1E0ACB"/>
    <w:rsid w:val="7A1E547B"/>
    <w:rsid w:val="7A2D7BFC"/>
    <w:rsid w:val="7A6229E3"/>
    <w:rsid w:val="7A894339"/>
    <w:rsid w:val="7AA02771"/>
    <w:rsid w:val="7AA27302"/>
    <w:rsid w:val="7B696F6C"/>
    <w:rsid w:val="7B785BA5"/>
    <w:rsid w:val="7BF30DFF"/>
    <w:rsid w:val="7BF554F9"/>
    <w:rsid w:val="7C0C3FBA"/>
    <w:rsid w:val="7C0E7550"/>
    <w:rsid w:val="7C3240B3"/>
    <w:rsid w:val="7C3D5A1A"/>
    <w:rsid w:val="7C786F30"/>
    <w:rsid w:val="7CAA2AB6"/>
    <w:rsid w:val="7D0556D8"/>
    <w:rsid w:val="7D1F6786"/>
    <w:rsid w:val="7D231C85"/>
    <w:rsid w:val="7D2C6961"/>
    <w:rsid w:val="7D3F7C73"/>
    <w:rsid w:val="7D402F34"/>
    <w:rsid w:val="7E184647"/>
    <w:rsid w:val="7E1D1BAA"/>
    <w:rsid w:val="7E2716C5"/>
    <w:rsid w:val="7E46618D"/>
    <w:rsid w:val="7ECC41DA"/>
    <w:rsid w:val="7EDC3EAB"/>
    <w:rsid w:val="7EEF11D3"/>
    <w:rsid w:val="7F0F6523"/>
    <w:rsid w:val="7F7746D4"/>
    <w:rsid w:val="7F791980"/>
    <w:rsid w:val="7FA30C79"/>
    <w:rsid w:val="7FC96657"/>
    <w:rsid w:val="7FCE0616"/>
    <w:rsid w:val="7FF53890"/>
    <w:rsid w:val="D8D6DB89"/>
    <w:rsid w:val="DB6F4CAB"/>
    <w:rsid w:val="DF6F97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HTML Preformatted"/>
    <w:basedOn w:val="1"/>
    <w:unhideWhenUsed/>
    <w:qFormat/>
    <w:uiPriority w:val="99"/>
    <w:rPr>
      <w:rFonts w:ascii="Courier New" w:hAnsi="Courier New" w:cs="Courier New"/>
      <w:sz w:val="20"/>
      <w:szCs w:val="20"/>
    </w:rPr>
  </w:style>
  <w:style w:type="paragraph" w:styleId="6">
    <w:name w:val="Body Text"/>
    <w:basedOn w:val="1"/>
    <w:link w:val="25"/>
    <w:qFormat/>
    <w:uiPriority w:val="99"/>
    <w:pPr>
      <w:spacing w:beforeLines="30"/>
    </w:pPr>
    <w:rPr>
      <w:rFonts w:ascii="仿宋_GB2312" w:eastAsia="仿宋_GB2312"/>
      <w:kern w:val="0"/>
      <w:sz w:val="30"/>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1"/>
    <w:semiHidden/>
    <w:unhideWhenUsed/>
    <w:qFormat/>
    <w:uiPriority w:val="99"/>
    <w:rPr>
      <w:sz w:val="18"/>
      <w:szCs w:val="18"/>
    </w:rPr>
  </w:style>
  <w:style w:type="paragraph" w:styleId="9">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paragraph" w:styleId="13">
    <w:name w:val="Title"/>
    <w:basedOn w:val="1"/>
    <w:next w:val="1"/>
    <w:qFormat/>
    <w:uiPriority w:val="0"/>
    <w:pPr>
      <w:spacing w:before="240" w:after="60"/>
      <w:jc w:val="center"/>
      <w:outlineLvl w:val="0"/>
    </w:pPr>
    <w:rPr>
      <w:rFonts w:ascii="Arial" w:hAnsi="Arial" w:cs="Arial"/>
      <w:b/>
      <w:bCs/>
      <w:sz w:val="32"/>
      <w:szCs w:val="32"/>
    </w:rPr>
  </w:style>
  <w:style w:type="table" w:styleId="15">
    <w:name w:val="Table Grid"/>
    <w:basedOn w:val="14"/>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99"/>
    <w:rPr>
      <w:b/>
    </w:rPr>
  </w:style>
  <w:style w:type="character" w:styleId="18">
    <w:name w:val="page number"/>
    <w:basedOn w:val="16"/>
    <w:qFormat/>
    <w:uiPriority w:val="0"/>
  </w:style>
  <w:style w:type="character" w:styleId="19">
    <w:name w:val="Hyperlink"/>
    <w:basedOn w:val="16"/>
    <w:unhideWhenUsed/>
    <w:qFormat/>
    <w:uiPriority w:val="99"/>
    <w:rPr>
      <w:color w:val="0000FF" w:themeColor="hyperlink"/>
      <w:u w:val="single"/>
      <w14:textFill>
        <w14:solidFill>
          <w14:schemeClr w14:val="hlink"/>
        </w14:solidFill>
      </w14:textFill>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字符"/>
    <w:link w:val="10"/>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字符"/>
    <w:link w:val="9"/>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字符"/>
    <w:link w:val="6"/>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字符"/>
    <w:basedOn w:val="16"/>
    <w:link w:val="3"/>
    <w:qFormat/>
    <w:uiPriority w:val="9"/>
    <w:rPr>
      <w:rFonts w:ascii="Times New Roman" w:hAnsi="Times New Roman"/>
      <w:b/>
      <w:bCs/>
      <w:kern w:val="44"/>
      <w:sz w:val="44"/>
      <w:szCs w:val="44"/>
    </w:rPr>
  </w:style>
  <w:style w:type="character" w:customStyle="1" w:styleId="29">
    <w:name w:val="标题 2 字符"/>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字符"/>
    <w:basedOn w:val="16"/>
    <w:link w:val="8"/>
    <w:semiHidden/>
    <w:qFormat/>
    <w:uiPriority w:val="99"/>
    <w:rPr>
      <w:rFonts w:ascii="Times New Roman" w:hAnsi="Times New Roman"/>
      <w:kern w:val="2"/>
      <w:sz w:val="18"/>
      <w:szCs w:val="18"/>
    </w:rPr>
  </w:style>
  <w:style w:type="character" w:customStyle="1" w:styleId="32">
    <w:name w:val="标题 3 字符"/>
    <w:basedOn w:val="16"/>
    <w:link w:val="5"/>
    <w:qFormat/>
    <w:uiPriority w:val="9"/>
    <w:rPr>
      <w:rFonts w:ascii="Times New Roman" w:hAnsi="Times New Roman"/>
      <w:b/>
      <w:bCs/>
      <w:kern w:val="2"/>
      <w:sz w:val="32"/>
      <w:szCs w:val="32"/>
    </w:rPr>
  </w:style>
  <w:style w:type="paragraph" w:customStyle="1" w:styleId="33">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B03〗三级标题"/>
    <w:basedOn w:val="1"/>
    <w:qFormat/>
    <w:uiPriority w:val="0"/>
    <w:pPr>
      <w:numPr>
        <w:ilvl w:val="0"/>
        <w:numId w:val="1"/>
      </w:numPr>
      <w:topLinePunct/>
      <w:spacing w:line="600" w:lineRule="exact"/>
      <w:outlineLvl w:val="2"/>
    </w:pPr>
    <w:rPr>
      <w:rFonts w:ascii="楷体_GB2312" w:hAnsi="Calibri" w:eastAsia="楷体_GB2312"/>
      <w:sz w:val="32"/>
      <w:szCs w:val="32"/>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character" w:customStyle="1" w:styleId="36">
    <w:name w:val="NormalCharacter"/>
    <w:qFormat/>
    <w:uiPriority w:val="0"/>
  </w:style>
  <w:style w:type="character" w:customStyle="1" w:styleId="37">
    <w:name w:val="font01"/>
    <w:basedOn w:val="16"/>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sz="1000">
                <a:solidFill>
                  <a:schemeClr val="tx1">
                    <a:lumMod val="65000"/>
                    <a:lumOff val="35000"/>
                  </a:schemeClr>
                </a:solidFill>
                <a:uFillTx/>
              </a:rPr>
              <a:t>金额单位：万元</a:t>
            </a:r>
            <a:endParaRPr lang="zh-CN" altLang="en-US" sz="1000">
              <a:solidFill>
                <a:schemeClr val="tx1">
                  <a:lumMod val="65000"/>
                  <a:lumOff val="35000"/>
                </a:schemeClr>
              </a:solidFill>
              <a:uFillTx/>
            </a:endParaRPr>
          </a:p>
        </c:rich>
      </c:tx>
      <c:layout>
        <c:manualLayout>
          <c:xMode val="edge"/>
          <c:yMode val="edge"/>
          <c:x val="0.699375"/>
          <c:y val="0.0411666666666667"/>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2021年收、支总计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1800.9</c:v>
                </c:pt>
              </c:numCache>
            </c:numRef>
          </c:val>
        </c:ser>
        <c:ser>
          <c:idx val="1"/>
          <c:order val="1"/>
          <c:tx>
            <c:strRef>
              <c:f>Sheet1!$C$1</c:f>
              <c:strCache>
                <c:ptCount val="1"/>
                <c:pt idx="0">
                  <c:v>2022年收、支总计</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1818.69</c:v>
                </c:pt>
              </c:numCache>
            </c:numRef>
          </c:val>
        </c:ser>
        <c:dLbls>
          <c:showLegendKey val="0"/>
          <c:showVal val="1"/>
          <c:showCatName val="0"/>
          <c:showSerName val="0"/>
          <c:showPercent val="0"/>
          <c:showBubbleSize val="0"/>
        </c:dLbls>
        <c:gapWidth val="219"/>
        <c:overlap val="-27"/>
        <c:axId val="360461895"/>
        <c:axId val="683559151"/>
      </c:barChart>
      <c:catAx>
        <c:axId val="36046189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3559151"/>
        <c:crosses val="autoZero"/>
        <c:auto val="1"/>
        <c:lblAlgn val="ctr"/>
        <c:lblOffset val="100"/>
        <c:noMultiLvlLbl val="0"/>
      </c:catAx>
      <c:valAx>
        <c:axId val="6835591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0461895"/>
        <c:crosses val="autoZero"/>
        <c:crossBetween val="between"/>
      </c:valAx>
      <c:spPr>
        <a:noFill/>
        <a:ln>
          <a:noFill/>
        </a:ln>
        <a:effectLst/>
      </c:spPr>
    </c:plotArea>
    <c:legend>
      <c:legendPos val="b"/>
      <c:layout>
        <c:manualLayout>
          <c:xMode val="edge"/>
          <c:yMode val="edge"/>
          <c:x val="0.36"/>
          <c:y val="0.924166666666667"/>
          <c:w val="0.417125"/>
          <c:h val="0.055833333333333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8cc56b0-ed88-497a-a90d-b4809d58319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2022</a:t>
            </a:r>
            <a:r>
              <a:rPr lang="zh-CN" altLang="en-US" sz="1200">
                <a:solidFill>
                  <a:schemeClr val="tx1">
                    <a:lumMod val="65000"/>
                    <a:lumOff val="35000"/>
                  </a:schemeClr>
                </a:solidFill>
                <a:uFillTx/>
              </a:rPr>
              <a:t>年收入</a:t>
            </a:r>
            <a:endParaRPr lang="zh-CN" altLang="en-US" sz="1200">
              <a:solidFill>
                <a:schemeClr val="tx1">
                  <a:lumMod val="65000"/>
                  <a:lumOff val="35000"/>
                </a:schemeClr>
              </a:solidFill>
              <a:uFillTx/>
            </a:endParaRPr>
          </a:p>
        </c:rich>
      </c:tx>
      <c:layout/>
      <c:overlay val="0"/>
      <c:spPr>
        <a:noFill/>
        <a:ln>
          <a:noFill/>
        </a:ln>
        <a:effectLst/>
      </c:spPr>
    </c:title>
    <c:autoTitleDeleted val="0"/>
    <c:plotArea>
      <c:layout/>
      <c:pieChart>
        <c:varyColors val="1"/>
        <c:ser>
          <c:idx val="0"/>
          <c:order val="0"/>
          <c:tx>
            <c:strRef>
              <c:f>Sheet1!$B$1</c:f>
              <c:strCache>
                <c:ptCount val="1"/>
                <c:pt idx="0">
                  <c:v>2022年收入</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1818.69</c:v>
                </c:pt>
                <c:pt idx="1">
                  <c:v>0</c:v>
                </c:pt>
                <c:pt idx="2">
                  <c:v>0</c:v>
                </c:pt>
                <c:pt idx="3">
                  <c:v>0</c:v>
                </c:pt>
                <c:pt idx="4">
                  <c:v>0</c:v>
                </c:pt>
                <c:pt idx="5">
                  <c:v>0</c:v>
                </c:pt>
                <c:pt idx="6">
                  <c:v>0</c:v>
                </c:pt>
                <c:pt idx="7">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30fbc8b-07b0-4351-b759-3b211ae0e42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2022</a:t>
            </a:r>
            <a:r>
              <a:rPr lang="zh-CN" altLang="en-US"/>
              <a:t>年支出</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2022年支出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1555.64</c:v>
                </c:pt>
                <c:pt idx="1">
                  <c:v>263.05</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68f49b7-6b69-4a46-88aa-3e687b207e6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sz="1000">
                <a:solidFill>
                  <a:schemeClr val="tx1">
                    <a:lumMod val="65000"/>
                    <a:lumOff val="35000"/>
                  </a:schemeClr>
                </a:solidFill>
                <a:uFillTx/>
              </a:rPr>
              <a:t>金额单位：万元</a:t>
            </a:r>
            <a:endParaRPr lang="zh-CN" altLang="en-US" sz="1000">
              <a:solidFill>
                <a:schemeClr val="tx1">
                  <a:lumMod val="65000"/>
                  <a:lumOff val="35000"/>
                </a:schemeClr>
              </a:solidFill>
              <a:uFillTx/>
            </a:endParaRPr>
          </a:p>
        </c:rich>
      </c:tx>
      <c:layout>
        <c:manualLayout>
          <c:xMode val="edge"/>
          <c:yMode val="edge"/>
          <c:x val="0.695125"/>
          <c:y val="0.0258333333333333"/>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2021年收支</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财政拨款收、支总计</c:v>
                </c:pt>
              </c:strCache>
            </c:strRef>
          </c:cat>
          <c:val>
            <c:numRef>
              <c:f>Sheet1!$B$2</c:f>
              <c:numCache>
                <c:formatCode>General</c:formatCode>
                <c:ptCount val="1"/>
                <c:pt idx="0">
                  <c:v>1800.9</c:v>
                </c:pt>
              </c:numCache>
            </c:numRef>
          </c:val>
        </c:ser>
        <c:ser>
          <c:idx val="1"/>
          <c:order val="1"/>
          <c:tx>
            <c:strRef>
              <c:f>Sheet1!$C$1</c:f>
              <c:strCache>
                <c:ptCount val="1"/>
                <c:pt idx="0">
                  <c:v>2022年收支</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财政拨款收、支总计</c:v>
                </c:pt>
              </c:strCache>
            </c:strRef>
          </c:cat>
          <c:val>
            <c:numRef>
              <c:f>Sheet1!$C$2</c:f>
              <c:numCache>
                <c:formatCode>General</c:formatCode>
                <c:ptCount val="1"/>
                <c:pt idx="0">
                  <c:v>1818.69</c:v>
                </c:pt>
              </c:numCache>
            </c:numRef>
          </c:val>
        </c:ser>
        <c:dLbls>
          <c:showLegendKey val="0"/>
          <c:showVal val="1"/>
          <c:showCatName val="0"/>
          <c:showSerName val="0"/>
          <c:showPercent val="0"/>
          <c:showBubbleSize val="0"/>
        </c:dLbls>
        <c:gapWidth val="219"/>
        <c:overlap val="-27"/>
        <c:axId val="730477541"/>
        <c:axId val="954470090"/>
      </c:barChart>
      <c:catAx>
        <c:axId val="73047754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4470090"/>
        <c:crosses val="autoZero"/>
        <c:auto val="1"/>
        <c:lblAlgn val="ctr"/>
        <c:lblOffset val="100"/>
        <c:noMultiLvlLbl val="0"/>
      </c:catAx>
      <c:valAx>
        <c:axId val="95447009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047754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d95148d-b198-4d22-809b-e7af0534f9d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sz="1000">
                <a:solidFill>
                  <a:schemeClr val="tx1">
                    <a:lumMod val="65000"/>
                    <a:lumOff val="35000"/>
                  </a:schemeClr>
                </a:solidFill>
                <a:uFillTx/>
              </a:rPr>
              <a:t>金额单位：万元</a:t>
            </a:r>
            <a:endParaRPr lang="zh-CN" altLang="en-US" sz="1000">
              <a:solidFill>
                <a:schemeClr val="tx1">
                  <a:lumMod val="65000"/>
                  <a:lumOff val="35000"/>
                </a:schemeClr>
              </a:solidFill>
              <a:uFillTx/>
            </a:endParaRPr>
          </a:p>
        </c:rich>
      </c:tx>
      <c:layout>
        <c:manualLayout>
          <c:xMode val="edge"/>
          <c:yMode val="edge"/>
          <c:x val="0.7095"/>
          <c:y val="0.047492527399535"/>
        </c:manualLayout>
      </c:layout>
      <c:overlay val="0"/>
      <c:spPr>
        <a:noFill/>
        <a:ln>
          <a:noFill/>
        </a:ln>
        <a:effectLst/>
      </c:spPr>
    </c:title>
    <c:autoTitleDeleted val="0"/>
    <c:plotArea>
      <c:layout>
        <c:manualLayout>
          <c:layoutTarget val="inner"/>
          <c:xMode val="edge"/>
          <c:yMode val="edge"/>
          <c:x val="0.0787"/>
          <c:y val="0.180291769887146"/>
          <c:w val="0.8938"/>
          <c:h val="0.5588769611891"/>
        </c:manualLayout>
      </c:layout>
      <c:barChart>
        <c:barDir val="col"/>
        <c:grouping val="clustered"/>
        <c:varyColors val="0"/>
        <c:ser>
          <c:idx val="0"/>
          <c:order val="0"/>
          <c:tx>
            <c:strRef>
              <c:f>Sheet1!$B$1</c:f>
              <c:strCache>
                <c:ptCount val="1"/>
                <c:pt idx="0">
                  <c:v>2021年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Sheet1!$B$2</c:f>
              <c:numCache>
                <c:formatCode>General</c:formatCode>
                <c:ptCount val="1"/>
                <c:pt idx="0">
                  <c:v>1800.9</c:v>
                </c:pt>
              </c:numCache>
            </c:numRef>
          </c:val>
        </c:ser>
        <c:ser>
          <c:idx val="1"/>
          <c:order val="1"/>
          <c:tx>
            <c:strRef>
              <c:f>Sheet1!$C$1</c:f>
              <c:strCache>
                <c:ptCount val="1"/>
                <c:pt idx="0">
                  <c:v>2022年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Sheet1!$C$2</c:f>
              <c:numCache>
                <c:formatCode>General</c:formatCode>
                <c:ptCount val="1"/>
                <c:pt idx="0">
                  <c:v>1818.69</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c:f>
              <c:strCache>
                <c:ptCount val="1"/>
                <c:pt idx="0">
                  <c:v>一般公共预算财政拨款支出</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219"/>
        <c:overlap val="-27"/>
        <c:axId val="260519088"/>
        <c:axId val="208612842"/>
      </c:barChart>
      <c:catAx>
        <c:axId val="2605190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8612842"/>
        <c:crosses val="autoZero"/>
        <c:auto val="1"/>
        <c:lblAlgn val="ctr"/>
        <c:lblOffset val="100"/>
        <c:noMultiLvlLbl val="0"/>
      </c:catAx>
      <c:valAx>
        <c:axId val="20861284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0519088"/>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0542b60-973d-4101-82ed-6a9b6593c75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sz="1000">
                <a:solidFill>
                  <a:schemeClr val="tx1">
                    <a:lumMod val="65000"/>
                    <a:lumOff val="35000"/>
                  </a:schemeClr>
                </a:solidFill>
                <a:uFillTx/>
              </a:rPr>
              <a:t>一般公共预算财政拨款支出</a:t>
            </a:r>
            <a:endParaRPr lang="zh-CN" altLang="en-US" sz="1000">
              <a:solidFill>
                <a:schemeClr val="tx1">
                  <a:lumMod val="65000"/>
                  <a:lumOff val="35000"/>
                </a:schemeClr>
              </a:solidFill>
              <a:uFillTx/>
            </a:endParaRPr>
          </a:p>
        </c:rich>
      </c:tx>
      <c:layout/>
      <c:overlay val="0"/>
      <c:spPr>
        <a:noFill/>
        <a:ln>
          <a:noFill/>
        </a:ln>
        <a:effectLst/>
      </c:spPr>
    </c:title>
    <c:autoTitleDeleted val="0"/>
    <c:plotArea>
      <c:layout/>
      <c:pieChart>
        <c:varyColors val="1"/>
        <c:ser>
          <c:idx val="0"/>
          <c:order val="0"/>
          <c:tx>
            <c:strRef>
              <c:f>Sheet1!$B$1</c:f>
              <c:strCache>
                <c:ptCount val="1"/>
                <c:pt idx="0">
                  <c:v>一般公共预算财政拨款支出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1580.64</c:v>
                </c:pt>
                <c:pt idx="1">
                  <c:v>99.59</c:v>
                </c:pt>
                <c:pt idx="2">
                  <c:v>39.53</c:v>
                </c:pt>
                <c:pt idx="3">
                  <c:v>98.93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7c83f42-c3ea-4e2d-9c58-ff41030749c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2022年“三公”经费</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因公出国（境）费用</c:v>
                </c:pt>
                <c:pt idx="1">
                  <c:v>公务用车购置及运维费</c:v>
                </c:pt>
                <c:pt idx="2">
                  <c:v>公务接待费</c:v>
                </c:pt>
              </c:strCache>
            </c:strRef>
          </c:cat>
          <c:val>
            <c:numRef>
              <c:f>Sheet1!$B$2:$B$4</c:f>
              <c:numCache>
                <c:formatCode>General</c:formatCode>
                <c:ptCount val="3"/>
                <c:pt idx="0">
                  <c:v>0</c:v>
                </c:pt>
                <c:pt idx="1">
                  <c:v>45.64</c:v>
                </c:pt>
                <c:pt idx="2">
                  <c:v>1.17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98c9f61-ec46-4552-9b59-bc8484d5c5e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65</Pages>
  <Words>6044</Words>
  <Characters>7396</Characters>
  <Lines>192</Lines>
  <Paragraphs>54</Paragraphs>
  <TotalTime>531</TotalTime>
  <ScaleCrop>false</ScaleCrop>
  <LinksUpToDate>false</LinksUpToDate>
  <CharactersWithSpaces>7455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About.</cp:lastModifiedBy>
  <cp:lastPrinted>2023-10-10T08:32:00Z</cp:lastPrinted>
  <dcterms:modified xsi:type="dcterms:W3CDTF">2026-08-11T03:13:38Z</dcterms:modified>
  <dc:title>四川省***</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94A490D411CB44D0A221CED381AE7EC9_12</vt:lpwstr>
  </property>
  <property fmtid="{D5CDD505-2E9C-101B-9397-08002B2CF9AE}" pid="4" name="KSOTemplateDocerSaveRecord">
    <vt:lpwstr>eyJoZGlkIjoiMmI4YWM2MGJhMzZlZTZlYjUxMDBkNzFiMDdlNzdjMDYiLCJ1c2VySWQiOiI2MzM0ODY5NjcifQ==</vt:lpwstr>
  </property>
</Properties>
</file>