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96597"/>
      <w:bookmarkStart w:id="1" w:name="_Toc15377193"/>
      <w:bookmarkStart w:id="2" w:name="_Toc15378441"/>
      <w:bookmarkStart w:id="3" w:name="_Toc15377425"/>
      <w:bookmarkStart w:id="4" w:name="_Toc15396475"/>
      <w:bookmarkStart w:id="5" w:name="_Toc15306267"/>
    </w:p>
    <w:p>
      <w:pPr>
        <w:pStyle w:val="5"/>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77484435"/>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77484436"/>
      <w:bookmarkStart w:id="8" w:name="_Toc15377194"/>
      <w:bookmarkStart w:id="9" w:name="_Toc15396476"/>
      <w:bookmarkStart w:id="10" w:name="_Toc15377426"/>
      <w:bookmarkStart w:id="11" w:name="_Toc15396598"/>
      <w:bookmarkStart w:id="12" w:name="_Toc15378442"/>
      <w:r>
        <w:rPr>
          <w:rFonts w:hint="eastAsia" w:ascii="方正小标宋简体" w:hAnsi="方正小标宋简体" w:eastAsia="方正小标宋简体" w:cs="方正小标宋简体"/>
          <w:sz w:val="72"/>
          <w:szCs w:val="72"/>
        </w:rPr>
        <w:t>四川省</w:t>
      </w:r>
      <w:bookmarkEnd w:id="5"/>
      <w:bookmarkStart w:id="13" w:name="_Toc15306268"/>
      <w:r>
        <w:rPr>
          <w:rFonts w:hint="eastAsia" w:ascii="方正小标宋简体" w:hAnsi="方正小标宋简体" w:eastAsia="方正小标宋简体" w:cs="方正小标宋简体"/>
          <w:sz w:val="72"/>
          <w:szCs w:val="72"/>
        </w:rPr>
        <w:t>沐川县信访局</w:t>
      </w:r>
      <w:bookmarkEnd w:id="7"/>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4" w:name="_Toc177484437"/>
      <w:r>
        <w:rPr>
          <w:rFonts w:hint="eastAsia" w:ascii="方正小标宋简体" w:hAnsi="方正小标宋简体" w:eastAsia="方正小标宋简体" w:cs="方正小标宋简体"/>
          <w:sz w:val="72"/>
          <w:szCs w:val="72"/>
        </w:rPr>
        <w:t>部门决算</w:t>
      </w:r>
      <w:bookmarkEnd w:id="8"/>
      <w:bookmarkEnd w:id="9"/>
      <w:bookmarkEnd w:id="10"/>
      <w:bookmarkEnd w:id="11"/>
      <w:bookmarkEnd w:id="12"/>
      <w:bookmarkEnd w:id="13"/>
      <w:bookmarkEnd w:id="14"/>
    </w:p>
    <w:p>
      <w:pPr>
        <w:widowControl/>
        <w:spacing w:line="560" w:lineRule="exact"/>
        <w:jc w:val="center"/>
        <w:rPr>
          <w:rFonts w:hAnsi="黑体" w:eastAsia="黑体"/>
          <w:sz w:val="48"/>
          <w:szCs w:val="48"/>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pPr>
        <w:widowControl/>
        <w:spacing w:line="560" w:lineRule="exact"/>
        <w:jc w:val="center"/>
        <w:rPr>
          <w:rFonts w:eastAsia="黑体"/>
          <w:sz w:val="48"/>
          <w:szCs w:val="48"/>
        </w:rPr>
      </w:pPr>
      <w:r>
        <w:rPr>
          <w:rFonts w:hAnsi="黑体" w:eastAsia="黑体"/>
          <w:sz w:val="48"/>
          <w:szCs w:val="48"/>
        </w:rPr>
        <w:t>目录</w:t>
      </w:r>
    </w:p>
    <w:p>
      <w:pPr>
        <w:widowControl/>
        <w:spacing w:line="560" w:lineRule="exact"/>
        <w:jc w:val="center"/>
        <w:rPr>
          <w:rFonts w:eastAsia="黑体"/>
          <w:sz w:val="28"/>
          <w:szCs w:val="28"/>
        </w:rPr>
      </w:pPr>
    </w:p>
    <w:p>
      <w:pPr>
        <w:pStyle w:val="10"/>
        <w:spacing w:line="560" w:lineRule="exact"/>
        <w:rPr>
          <w:rFonts w:ascii="Times New Roman" w:hAnsi="Times New Roman"/>
        </w:rPr>
      </w:pPr>
      <w:r>
        <w:rPr>
          <w:rFonts w:ascii="Times New Roman"/>
        </w:rPr>
        <w:t>公开时间：</w:t>
      </w:r>
      <w:r>
        <w:rPr>
          <w:rFonts w:ascii="Times New Roman" w:hAnsi="Times New Roman"/>
        </w:rPr>
        <w:t>2023</w:t>
      </w:r>
      <w:r>
        <w:rPr>
          <w:rFonts w:ascii="Times New Roman"/>
        </w:rPr>
        <w:t>年</w:t>
      </w:r>
      <w:r>
        <w:rPr>
          <w:rFonts w:ascii="Times New Roman" w:hAnsi="Times New Roman"/>
        </w:rPr>
        <w:t>9</w:t>
      </w:r>
      <w:r>
        <w:rPr>
          <w:rFonts w:ascii="Times New Roman"/>
        </w:rPr>
        <w:t>月</w:t>
      </w:r>
      <w:r>
        <w:rPr>
          <w:rFonts w:ascii="Times New Roman" w:hAnsi="Times New Roman"/>
        </w:rPr>
        <w:t xml:space="preserve"> </w:t>
      </w:r>
      <w:r>
        <w:rPr>
          <w:rFonts w:hint="eastAsia" w:ascii="Times New Roman" w:hAnsi="Times New Roman"/>
        </w:rPr>
        <w:t>20</w:t>
      </w:r>
      <w:r>
        <w:rPr>
          <w:rFonts w:ascii="Times New Roman" w:hAnsi="Times New Roman"/>
        </w:rPr>
        <w:t xml:space="preserve"> </w:t>
      </w:r>
      <w:r>
        <w:rPr>
          <w:rFonts w:ascii="Times New Roman"/>
        </w:rPr>
        <w:t>日</w:t>
      </w:r>
    </w:p>
    <w:sdt>
      <w:sdtPr>
        <w:rPr>
          <w:rFonts w:ascii="Times New Roman" w:hAnsi="Times New Roman" w:eastAsia="宋体" w:cs="Times New Roman"/>
          <w:b w:val="0"/>
          <w:bCs w:val="0"/>
          <w:color w:val="auto"/>
          <w:kern w:val="2"/>
          <w:sz w:val="21"/>
          <w:szCs w:val="24"/>
          <w:lang w:val="zh-CN"/>
        </w:rPr>
        <w:id w:val="28526580"/>
        <w:docPartObj>
          <w:docPartGallery w:val="Table of Contents"/>
          <w:docPartUnique/>
        </w:docPartObj>
      </w:sdtPr>
      <w:sdtEndPr>
        <w:rPr>
          <w:rFonts w:ascii="Times New Roman" w:hAnsi="Times New Roman" w:eastAsia="宋体" w:cs="Times New Roman"/>
          <w:b w:val="0"/>
          <w:bCs w:val="0"/>
          <w:color w:val="auto"/>
          <w:kern w:val="2"/>
          <w:sz w:val="21"/>
          <w:szCs w:val="24"/>
          <w:lang w:val="en-US"/>
        </w:rPr>
      </w:sdtEndPr>
      <w:sdtContent>
        <w:p>
          <w:pPr>
            <w:pStyle w:val="25"/>
            <w:spacing w:line="560" w:lineRule="exact"/>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 TOC \o "1-3" \h \z \u </w:instrText>
          </w:r>
          <w:r>
            <w:rPr>
              <w:rFonts w:hint="eastAsia" w:ascii="仿宋_GB2312" w:eastAsia="仿宋_GB2312"/>
              <w:sz w:val="24"/>
              <w:szCs w:val="24"/>
            </w:rPr>
            <w:fldChar w:fldCharType="separate"/>
          </w:r>
        </w:p>
        <w:p>
          <w:pPr>
            <w:pStyle w:val="10"/>
            <w:spacing w:line="560" w:lineRule="exact"/>
            <w:jc w:val="both"/>
            <w:rPr>
              <w:rFonts w:ascii="仿宋_GB2312" w:eastAsia="仿宋_GB2312" w:hAnsiTheme="minorHAnsi" w:cstheme="minorBidi"/>
              <w:sz w:val="24"/>
              <w:szCs w:val="24"/>
            </w:rPr>
          </w:pPr>
          <w:r>
            <w:fldChar w:fldCharType="begin"/>
          </w:r>
          <w:r>
            <w:instrText xml:space="preserve"> HYPERLINK \l "_Toc177484438" </w:instrText>
          </w:r>
          <w:r>
            <w:fldChar w:fldCharType="separate"/>
          </w:r>
          <w:r>
            <w:rPr>
              <w:rStyle w:val="16"/>
              <w:rFonts w:hint="eastAsia" w:ascii="仿宋_GB2312" w:hAnsi="黑体" w:eastAsia="仿宋_GB2312"/>
              <w:sz w:val="24"/>
              <w:szCs w:val="24"/>
            </w:rPr>
            <w:t>第一部分</w:t>
          </w:r>
          <w:r>
            <w:rPr>
              <w:rStyle w:val="16"/>
              <w:rFonts w:hint="eastAsia" w:ascii="仿宋_GB2312" w:eastAsia="仿宋_GB2312"/>
              <w:sz w:val="24"/>
              <w:szCs w:val="24"/>
            </w:rPr>
            <w:t xml:space="preserve"> </w:t>
          </w:r>
          <w:r>
            <w:rPr>
              <w:rStyle w:val="16"/>
              <w:rFonts w:hint="eastAsia" w:ascii="仿宋_GB2312" w:hAnsi="黑体" w:eastAsia="仿宋_GB2312"/>
              <w:sz w:val="24"/>
              <w:szCs w:val="24"/>
            </w:rPr>
            <w:t>部门概况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_Toc177484438 \h </w:instrText>
          </w:r>
          <w:r>
            <w:rPr>
              <w:rFonts w:hint="eastAsia" w:ascii="仿宋_GB2312" w:eastAsia="仿宋_GB2312"/>
              <w:sz w:val="24"/>
              <w:szCs w:val="24"/>
            </w:rPr>
            <w:fldChar w:fldCharType="separate"/>
          </w:r>
          <w:r>
            <w:rPr>
              <w:rFonts w:hint="eastAsia" w:ascii="仿宋_GB2312" w:eastAsia="仿宋_GB2312"/>
              <w:sz w:val="24"/>
              <w:szCs w:val="24"/>
            </w:rPr>
            <w:t>3</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"_Toc177484439" </w:instrText>
          </w:r>
          <w:r>
            <w:fldChar w:fldCharType="separate"/>
          </w:r>
          <w:r>
            <w:rPr>
              <w:rStyle w:val="16"/>
              <w:rFonts w:hint="eastAsia" w:ascii="仿宋_GB2312" w:hAnsi="黑体" w:eastAsia="仿宋_GB2312"/>
              <w:sz w:val="24"/>
            </w:rPr>
            <w:t>一、部门职责</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_Toc177484439 \h </w:instrText>
          </w:r>
          <w:r>
            <w:rPr>
              <w:rFonts w:hint="eastAsia" w:ascii="仿宋_GB2312" w:eastAsia="仿宋_GB2312"/>
              <w:sz w:val="24"/>
            </w:rPr>
            <w:fldChar w:fldCharType="separate"/>
          </w:r>
          <w:r>
            <w:rPr>
              <w:rFonts w:hint="eastAsia" w:ascii="仿宋_GB2312" w:eastAsia="仿宋_GB2312"/>
              <w:sz w:val="24"/>
            </w:rPr>
            <w:t>3</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"_Toc177484440" </w:instrText>
          </w:r>
          <w:r>
            <w:fldChar w:fldCharType="separate"/>
          </w:r>
          <w:r>
            <w:rPr>
              <w:rStyle w:val="16"/>
              <w:rFonts w:hint="eastAsia" w:ascii="仿宋_GB2312" w:eastAsia="仿宋_GB2312"/>
              <w:sz w:val="24"/>
            </w:rPr>
            <w:t>二、</w:t>
          </w:r>
          <w:r>
            <w:rPr>
              <w:rStyle w:val="16"/>
              <w:rFonts w:hint="eastAsia" w:ascii="仿宋_GB2312" w:hAnsi="黑体" w:eastAsia="仿宋_GB2312"/>
              <w:sz w:val="24"/>
            </w:rPr>
            <w:t>机构设置</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_Toc177484440 \h </w:instrText>
          </w:r>
          <w:r>
            <w:rPr>
              <w:rFonts w:hint="eastAsia" w:ascii="仿宋_GB2312" w:eastAsia="仿宋_GB2312"/>
              <w:sz w:val="24"/>
            </w:rPr>
            <w:fldChar w:fldCharType="separate"/>
          </w:r>
          <w:r>
            <w:rPr>
              <w:rFonts w:hint="eastAsia" w:ascii="仿宋_GB2312" w:eastAsia="仿宋_GB2312"/>
              <w:sz w:val="24"/>
            </w:rPr>
            <w:t>3</w:t>
          </w:r>
          <w:r>
            <w:rPr>
              <w:rFonts w:hint="eastAsia" w:ascii="仿宋_GB2312" w:eastAsia="仿宋_GB2312"/>
              <w:sz w:val="24"/>
            </w:rPr>
            <w:fldChar w:fldCharType="end"/>
          </w:r>
          <w:r>
            <w:rPr>
              <w:rFonts w:hint="eastAsia" w:ascii="仿宋_GB2312" w:eastAsia="仿宋_GB2312"/>
              <w:sz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"_Toc177484441" </w:instrText>
          </w:r>
          <w:r>
            <w:fldChar w:fldCharType="separate"/>
          </w:r>
          <w:r>
            <w:rPr>
              <w:rStyle w:val="16"/>
              <w:rFonts w:hint="eastAsia" w:ascii="仿宋_GB2312" w:hAnsi="黑体" w:eastAsia="仿宋_GB2312"/>
              <w:sz w:val="24"/>
              <w:szCs w:val="24"/>
            </w:rPr>
            <w:t>第二部分</w:t>
          </w:r>
          <w:r>
            <w:rPr>
              <w:rStyle w:val="16"/>
              <w:rFonts w:hint="eastAsia" w:ascii="仿宋_GB2312" w:eastAsia="仿宋_GB2312"/>
              <w:sz w:val="24"/>
              <w:szCs w:val="24"/>
            </w:rPr>
            <w:t xml:space="preserve"> 2023</w:t>
          </w:r>
          <w:r>
            <w:rPr>
              <w:rStyle w:val="16"/>
              <w:rFonts w:hint="eastAsia" w:ascii="仿宋_GB2312" w:hAnsi="黑体" w:eastAsia="仿宋_GB2312"/>
              <w:sz w:val="24"/>
              <w:szCs w:val="24"/>
            </w:rPr>
            <w:t>年度部门决算情况说明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_Toc177484441 \h </w:instrText>
          </w:r>
          <w:r>
            <w:rPr>
              <w:rFonts w:hint="eastAsia" w:ascii="仿宋_GB2312" w:eastAsia="仿宋_GB2312"/>
              <w:sz w:val="24"/>
              <w:szCs w:val="24"/>
            </w:rPr>
            <w:fldChar w:fldCharType="separate"/>
          </w:r>
          <w:r>
            <w:rPr>
              <w:rFonts w:hint="eastAsia" w:ascii="仿宋_GB2312" w:eastAsia="仿宋_GB2312"/>
              <w:sz w:val="24"/>
              <w:szCs w:val="24"/>
            </w:rPr>
            <w:t>4</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"_Toc177484442" </w:instrText>
          </w:r>
          <w:r>
            <w:fldChar w:fldCharType="separate"/>
          </w:r>
          <w:r>
            <w:rPr>
              <w:rStyle w:val="16"/>
              <w:rFonts w:hint="eastAsia" w:ascii="仿宋_GB2312" w:eastAsia="仿宋_GB2312"/>
              <w:bCs/>
              <w:sz w:val="24"/>
            </w:rPr>
            <w:t>一、</w:t>
          </w:r>
          <w:r>
            <w:rPr>
              <w:rStyle w:val="16"/>
              <w:rFonts w:hint="eastAsia" w:ascii="仿宋_GB2312" w:hAnsi="黑体" w:eastAsia="仿宋_GB2312"/>
              <w:sz w:val="24"/>
            </w:rPr>
            <w:t>收</w:t>
          </w:r>
          <w:r>
            <w:rPr>
              <w:rStyle w:val="16"/>
              <w:rFonts w:hint="eastAsia" w:ascii="仿宋_GB2312" w:hAnsi="黑体" w:eastAsia="仿宋_GB2312"/>
              <w:bCs/>
              <w:sz w:val="24"/>
            </w:rPr>
            <w:t>入支出决算总体情况说明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_Toc177484442 \h </w:instrText>
          </w:r>
          <w:r>
            <w:rPr>
              <w:rFonts w:hint="eastAsia" w:ascii="仿宋_GB2312" w:eastAsia="仿宋_GB2312"/>
              <w:sz w:val="24"/>
            </w:rPr>
            <w:fldChar w:fldCharType="separate"/>
          </w:r>
          <w:r>
            <w:rPr>
              <w:rFonts w:hint="eastAsia" w:ascii="仿宋_GB2312" w:eastAsia="仿宋_GB2312"/>
              <w:sz w:val="24"/>
            </w:rPr>
            <w:t>4</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"_Toc177484443" </w:instrText>
          </w:r>
          <w:r>
            <w:fldChar w:fldCharType="separate"/>
          </w:r>
          <w:r>
            <w:rPr>
              <w:rStyle w:val="16"/>
              <w:rFonts w:hint="eastAsia" w:ascii="仿宋_GB2312" w:eastAsia="仿宋_GB2312"/>
              <w:bCs/>
              <w:sz w:val="24"/>
            </w:rPr>
            <w:t>二、</w:t>
          </w:r>
          <w:r>
            <w:rPr>
              <w:rStyle w:val="16"/>
              <w:rFonts w:hint="eastAsia" w:ascii="仿宋_GB2312" w:hAnsi="黑体" w:eastAsia="仿宋_GB2312"/>
              <w:sz w:val="24"/>
            </w:rPr>
            <w:t>收</w:t>
          </w:r>
          <w:r>
            <w:rPr>
              <w:rStyle w:val="16"/>
              <w:rFonts w:hint="eastAsia" w:ascii="仿宋_GB2312" w:hAnsi="黑体" w:eastAsia="仿宋_GB2312"/>
              <w:bCs/>
              <w:sz w:val="24"/>
            </w:rPr>
            <w:t>入决算情况说明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_Toc177484443 \h </w:instrText>
          </w:r>
          <w:r>
            <w:rPr>
              <w:rFonts w:hint="eastAsia" w:ascii="仿宋_GB2312" w:eastAsia="仿宋_GB2312"/>
              <w:sz w:val="24"/>
            </w:rPr>
            <w:fldChar w:fldCharType="separate"/>
          </w:r>
          <w:r>
            <w:rPr>
              <w:rFonts w:hint="eastAsia" w:ascii="仿宋_GB2312" w:eastAsia="仿宋_GB2312"/>
              <w:sz w:val="24"/>
            </w:rPr>
            <w:t>4</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"_Toc177484444" </w:instrText>
          </w:r>
          <w:r>
            <w:fldChar w:fldCharType="separate"/>
          </w:r>
          <w:r>
            <w:rPr>
              <w:rStyle w:val="16"/>
              <w:rFonts w:hint="eastAsia" w:ascii="仿宋_GB2312" w:eastAsia="仿宋_GB2312"/>
              <w:bCs/>
              <w:sz w:val="24"/>
            </w:rPr>
            <w:t>三、</w:t>
          </w:r>
          <w:r>
            <w:rPr>
              <w:rStyle w:val="16"/>
              <w:rFonts w:hint="eastAsia" w:ascii="仿宋_GB2312" w:hAnsi="黑体" w:eastAsia="仿宋_GB2312"/>
              <w:sz w:val="24"/>
            </w:rPr>
            <w:t>支</w:t>
          </w:r>
          <w:r>
            <w:rPr>
              <w:rStyle w:val="16"/>
              <w:rFonts w:hint="eastAsia" w:ascii="仿宋_GB2312" w:hAnsi="黑体" w:eastAsia="仿宋_GB2312"/>
              <w:bCs/>
              <w:sz w:val="24"/>
            </w:rPr>
            <w:t>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_Toc177484444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"_Toc177484445" </w:instrText>
          </w:r>
          <w:r>
            <w:fldChar w:fldCharType="separate"/>
          </w:r>
          <w:r>
            <w:rPr>
              <w:rStyle w:val="16"/>
              <w:rFonts w:hint="eastAsia" w:ascii="仿宋_GB2312" w:hAnsi="黑体" w:eastAsia="仿宋_GB2312"/>
              <w:sz w:val="24"/>
            </w:rPr>
            <w:t>四、财</w:t>
          </w:r>
          <w:r>
            <w:rPr>
              <w:rStyle w:val="16"/>
              <w:rFonts w:hint="eastAsia" w:ascii="仿宋_GB2312" w:hAnsi="黑体" w:eastAsia="仿宋_GB2312"/>
              <w:bCs/>
              <w:sz w:val="24"/>
            </w:rPr>
            <w:t>政拨款收入支出决算总体情况说明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_Toc177484445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"_Toc177484446" </w:instrText>
          </w:r>
          <w:r>
            <w:fldChar w:fldCharType="separate"/>
          </w:r>
          <w:r>
            <w:rPr>
              <w:rStyle w:val="16"/>
              <w:rFonts w:hint="eastAsia" w:ascii="仿宋_GB2312" w:hAnsi="黑体" w:eastAsia="仿宋_GB2312"/>
              <w:sz w:val="24"/>
            </w:rPr>
            <w:t>五</w:t>
          </w:r>
          <w:r>
            <w:rPr>
              <w:rStyle w:val="16"/>
              <w:rFonts w:hint="eastAsia" w:ascii="仿宋_GB2312" w:hAnsi="黑体" w:eastAsia="仿宋_GB2312"/>
              <w:b/>
              <w:sz w:val="24"/>
            </w:rPr>
            <w:t>、一</w:t>
          </w:r>
          <w:r>
            <w:rPr>
              <w:rStyle w:val="16"/>
              <w:rFonts w:hint="eastAsia" w:ascii="仿宋_GB2312" w:hAnsi="黑体" w:eastAsia="仿宋_GB2312"/>
              <w:bCs/>
              <w:sz w:val="24"/>
            </w:rPr>
            <w:t>般公共预算财政拨款支出决算情况说明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_Toc177484446 \h </w:instrText>
          </w:r>
          <w:r>
            <w:rPr>
              <w:rFonts w:hint="eastAsia" w:ascii="仿宋_GB2312" w:eastAsia="仿宋_GB2312"/>
              <w:sz w:val="24"/>
            </w:rPr>
            <w:fldChar w:fldCharType="separate"/>
          </w:r>
          <w:r>
            <w:rPr>
              <w:rFonts w:hint="eastAsia" w:ascii="仿宋_GB2312" w:eastAsia="仿宋_GB2312"/>
              <w:sz w:val="24"/>
            </w:rPr>
            <w:t>6</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"_Toc177484451" </w:instrText>
          </w:r>
          <w:r>
            <w:fldChar w:fldCharType="separate"/>
          </w:r>
          <w:r>
            <w:rPr>
              <w:rStyle w:val="16"/>
              <w:rFonts w:hint="eastAsia" w:ascii="仿宋_GB2312" w:eastAsia="仿宋_GB2312"/>
              <w:sz w:val="24"/>
            </w:rPr>
            <w:t>六</w:t>
          </w:r>
          <w:r>
            <w:rPr>
              <w:rStyle w:val="16"/>
              <w:rFonts w:hint="eastAsia" w:ascii="仿宋_GB2312" w:eastAsia="仿宋_GB2312"/>
              <w:b/>
              <w:sz w:val="24"/>
            </w:rPr>
            <w:t>、</w:t>
          </w:r>
          <w:r>
            <w:rPr>
              <w:rStyle w:val="16"/>
              <w:rFonts w:hint="eastAsia" w:ascii="仿宋_GB2312" w:hAnsi="黑体" w:eastAsia="仿宋_GB2312"/>
              <w:b/>
              <w:sz w:val="24"/>
            </w:rPr>
            <w:t>一</w:t>
          </w:r>
          <w:r>
            <w:rPr>
              <w:rStyle w:val="16"/>
              <w:rFonts w:hint="eastAsia" w:ascii="仿宋_GB2312" w:hAnsi="黑体" w:eastAsia="仿宋_GB2312"/>
              <w:bCs/>
              <w:sz w:val="24"/>
            </w:rPr>
            <w:t>般公共预算财政拨款基本支出决算情况说明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_Toc177484451 \h </w:instrText>
          </w:r>
          <w:r>
            <w:rPr>
              <w:rFonts w:hint="eastAsia" w:ascii="仿宋_GB2312" w:eastAsia="仿宋_GB2312"/>
              <w:sz w:val="24"/>
            </w:rPr>
            <w:fldChar w:fldCharType="separate"/>
          </w:r>
          <w:r>
            <w:rPr>
              <w:rFonts w:hint="eastAsia" w:ascii="仿宋_GB2312" w:eastAsia="仿宋_GB2312"/>
              <w:sz w:val="24"/>
            </w:rPr>
            <w:t>9</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"_Toc177484452" </w:instrText>
          </w:r>
          <w:r>
            <w:fldChar w:fldCharType="separate"/>
          </w:r>
          <w:r>
            <w:rPr>
              <w:rStyle w:val="16"/>
              <w:rFonts w:hint="eastAsia" w:ascii="仿宋_GB2312" w:hAnsi="黑体" w:eastAsia="仿宋_GB2312"/>
              <w:bCs/>
              <w:sz w:val="24"/>
            </w:rPr>
            <w:t>七、</w:t>
          </w:r>
          <w:r>
            <w:rPr>
              <w:rStyle w:val="16"/>
              <w:rFonts w:hint="eastAsia" w:ascii="仿宋_GB2312" w:hAnsi="黑体" w:eastAsia="仿宋_GB2312"/>
              <w:sz w:val="24"/>
            </w:rPr>
            <w:t>财政拨款“三公”经费支出决算情况说明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_Toc177484452 \h </w:instrText>
          </w:r>
          <w:r>
            <w:rPr>
              <w:rFonts w:hint="eastAsia" w:ascii="仿宋_GB2312" w:eastAsia="仿宋_GB2312"/>
              <w:sz w:val="24"/>
            </w:rPr>
            <w:fldChar w:fldCharType="separate"/>
          </w:r>
          <w:r>
            <w:rPr>
              <w:rFonts w:hint="eastAsia" w:ascii="仿宋_GB2312" w:eastAsia="仿宋_GB2312"/>
              <w:sz w:val="24"/>
            </w:rPr>
            <w:t>9</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"_Toc177484455" </w:instrText>
          </w:r>
          <w:r>
            <w:fldChar w:fldCharType="separate"/>
          </w:r>
          <w:r>
            <w:rPr>
              <w:rStyle w:val="16"/>
              <w:rFonts w:hint="eastAsia" w:ascii="仿宋_GB2312" w:eastAsia="仿宋_GB2312"/>
              <w:sz w:val="24"/>
            </w:rPr>
            <w:t>八、</w:t>
          </w:r>
          <w:r>
            <w:rPr>
              <w:rStyle w:val="16"/>
              <w:rFonts w:hint="eastAsia" w:ascii="仿宋_GB2312" w:hAnsi="黑体" w:eastAsia="仿宋_GB2312"/>
              <w:bCs/>
              <w:sz w:val="24"/>
            </w:rPr>
            <w:t>政府性基金预算支出决算情况说明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_Toc177484455 \h </w:instrText>
          </w:r>
          <w:r>
            <w:rPr>
              <w:rFonts w:hint="eastAsia" w:ascii="仿宋_GB2312" w:eastAsia="仿宋_GB2312"/>
              <w:sz w:val="24"/>
            </w:rPr>
            <w:fldChar w:fldCharType="separate"/>
          </w:r>
          <w:r>
            <w:rPr>
              <w:rFonts w:hint="eastAsia" w:ascii="仿宋_GB2312" w:eastAsia="仿宋_GB2312"/>
              <w:sz w:val="24"/>
            </w:rPr>
            <w:t>11</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"_Toc177484456" </w:instrText>
          </w:r>
          <w:r>
            <w:fldChar w:fldCharType="separate"/>
          </w:r>
          <w:r>
            <w:rPr>
              <w:rStyle w:val="16"/>
              <w:rFonts w:hint="eastAsia" w:ascii="仿宋_GB2312" w:eastAsia="仿宋_GB2312"/>
              <w:bCs/>
              <w:sz w:val="24"/>
            </w:rPr>
            <w:t>九、</w:t>
          </w:r>
          <w:r>
            <w:rPr>
              <w:rStyle w:val="16"/>
              <w:rFonts w:hint="eastAsia" w:ascii="仿宋_GB2312" w:hAnsi="黑体" w:eastAsia="仿宋_GB2312"/>
              <w:bCs/>
              <w:sz w:val="24"/>
            </w:rPr>
            <w:t>国有资本经营预算支出决算情况说明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_Toc177484456 \h </w:instrText>
          </w:r>
          <w:r>
            <w:rPr>
              <w:rFonts w:hint="eastAsia" w:ascii="仿宋_GB2312" w:eastAsia="仿宋_GB2312"/>
              <w:sz w:val="24"/>
            </w:rPr>
            <w:fldChar w:fldCharType="separate"/>
          </w:r>
          <w:r>
            <w:rPr>
              <w:rFonts w:hint="eastAsia" w:ascii="仿宋_GB2312" w:eastAsia="仿宋_GB2312"/>
              <w:sz w:val="24"/>
            </w:rPr>
            <w:t>11</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"_Toc177484457" </w:instrText>
          </w:r>
          <w:r>
            <w:fldChar w:fldCharType="separate"/>
          </w:r>
          <w:r>
            <w:rPr>
              <w:rStyle w:val="16"/>
              <w:rFonts w:hint="eastAsia" w:ascii="仿宋_GB2312" w:eastAsia="仿宋_GB2312"/>
              <w:bCs/>
              <w:sz w:val="24"/>
            </w:rPr>
            <w:t>十、</w:t>
          </w:r>
          <w:r>
            <w:rPr>
              <w:rStyle w:val="16"/>
              <w:rFonts w:hint="eastAsia" w:ascii="仿宋_GB2312" w:hAnsi="黑体" w:eastAsia="仿宋_GB2312"/>
              <w:bCs/>
              <w:sz w:val="24"/>
            </w:rPr>
            <w:t>其他重要事项的情况说明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_Toc177484457 \h </w:instrText>
          </w:r>
          <w:r>
            <w:rPr>
              <w:rFonts w:hint="eastAsia" w:ascii="仿宋_GB2312" w:eastAsia="仿宋_GB2312"/>
              <w:sz w:val="24"/>
            </w:rPr>
            <w:fldChar w:fldCharType="separate"/>
          </w:r>
          <w:r>
            <w:rPr>
              <w:rFonts w:hint="eastAsia" w:ascii="仿宋_GB2312" w:eastAsia="仿宋_GB2312"/>
              <w:sz w:val="24"/>
            </w:rPr>
            <w:t>11</w:t>
          </w:r>
          <w:r>
            <w:rPr>
              <w:rFonts w:hint="eastAsia" w:ascii="仿宋_GB2312" w:eastAsia="仿宋_GB2312"/>
              <w:sz w:val="24"/>
            </w:rPr>
            <w:fldChar w:fldCharType="end"/>
          </w:r>
          <w:r>
            <w:rPr>
              <w:rFonts w:hint="eastAsia" w:ascii="仿宋_GB2312" w:eastAsia="仿宋_GB2312"/>
              <w:sz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"_Toc177484462" </w:instrText>
          </w:r>
          <w:r>
            <w:fldChar w:fldCharType="separate"/>
          </w:r>
          <w:r>
            <w:rPr>
              <w:rStyle w:val="16"/>
              <w:rFonts w:hint="eastAsia" w:ascii="仿宋_GB2312" w:hAnsi="黑体" w:eastAsia="仿宋_GB2312"/>
              <w:sz w:val="24"/>
              <w:szCs w:val="24"/>
            </w:rPr>
            <w:t>第三部分 名词解释</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_Toc177484462 \h </w:instrText>
          </w:r>
          <w:r>
            <w:rPr>
              <w:rFonts w:hint="eastAsia" w:ascii="仿宋_GB2312" w:eastAsia="仿宋_GB2312"/>
              <w:sz w:val="24"/>
              <w:szCs w:val="24"/>
            </w:rPr>
            <w:fldChar w:fldCharType="separate"/>
          </w:r>
          <w:r>
            <w:rPr>
              <w:rFonts w:hint="eastAsia" w:ascii="仿宋_GB2312" w:eastAsia="仿宋_GB2312"/>
              <w:sz w:val="24"/>
              <w:szCs w:val="24"/>
            </w:rPr>
            <w:t>13</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"_Toc177484463" </w:instrText>
          </w:r>
          <w:r>
            <w:fldChar w:fldCharType="separate"/>
          </w:r>
          <w:r>
            <w:rPr>
              <w:rStyle w:val="16"/>
              <w:rFonts w:hint="eastAsia" w:ascii="仿宋_GB2312" w:eastAsia="仿宋_GB2312"/>
              <w:sz w:val="24"/>
              <w:szCs w:val="24"/>
            </w:rPr>
            <w:t>第四部分 附件</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_Toc177484463 \h </w:instrText>
          </w:r>
          <w:r>
            <w:rPr>
              <w:rFonts w:hint="eastAsia" w:ascii="仿宋_GB2312" w:eastAsia="仿宋_GB2312"/>
              <w:sz w:val="24"/>
              <w:szCs w:val="24"/>
            </w:rPr>
            <w:fldChar w:fldCharType="separate"/>
          </w:r>
          <w:r>
            <w:rPr>
              <w:rFonts w:hint="eastAsia" w:ascii="仿宋_GB2312" w:eastAsia="仿宋_GB2312"/>
              <w:sz w:val="24"/>
              <w:szCs w:val="24"/>
            </w:rPr>
            <w:t>16</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"_Toc177484466" </w:instrText>
          </w:r>
          <w:r>
            <w:fldChar w:fldCharType="separate"/>
          </w:r>
          <w:r>
            <w:rPr>
              <w:rStyle w:val="16"/>
              <w:rFonts w:hint="eastAsia" w:ascii="仿宋_GB2312" w:eastAsia="仿宋_GB2312"/>
              <w:sz w:val="24"/>
              <w:szCs w:val="24"/>
            </w:rPr>
            <w:t>第五部分 附表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_Toc177484466 \h </w:instrText>
          </w:r>
          <w:r>
            <w:rPr>
              <w:rFonts w:hint="eastAsia" w:ascii="仿宋_GB2312" w:eastAsia="仿宋_GB2312"/>
              <w:sz w:val="24"/>
              <w:szCs w:val="24"/>
            </w:rPr>
            <w:fldChar w:fldCharType="separate"/>
          </w:r>
          <w:r>
            <w:rPr>
              <w:rFonts w:hint="eastAsia" w:ascii="仿宋_GB2312" w:eastAsia="仿宋_GB2312"/>
              <w:sz w:val="24"/>
              <w:szCs w:val="24"/>
            </w:rPr>
            <w:t>31</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rPr>
              <w:rFonts w:hint="eastAsia" w:ascii="仿宋_GB2312" w:eastAsia="仿宋_GB2312"/>
              <w:sz w:val="24"/>
            </w:rPr>
            <w:fldChar w:fldCharType="end"/>
          </w:r>
          <w:r>
            <w:fldChar w:fldCharType="begin"/>
          </w:r>
          <w:r>
            <w:instrText xml:space="preserve"> HYPERLINK \l "_Toc177484442"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一、</w:t>
          </w:r>
          <w:r>
            <w:rPr>
              <w:rFonts w:hint="eastAsia" w:ascii="仿宋_GB2312" w:eastAsia="仿宋_GB2312"/>
              <w:sz w:val="24"/>
            </w:rPr>
            <w:t>收入支出决算总表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"_Toc177484443"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二、</w:t>
          </w:r>
          <w:r>
            <w:rPr>
              <w:rFonts w:hint="eastAsia" w:ascii="仿宋_GB2312" w:eastAsia="仿宋_GB2312"/>
              <w:sz w:val="24"/>
            </w:rPr>
            <w:t>收入决算表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hint="eastAsia" w:ascii="仿宋_GB2312" w:eastAsia="仿宋_GB2312" w:hAnsiTheme="minorHAnsi" w:cstheme="minorBidi"/>
              <w:color w:val="000000" w:themeColor="text1"/>
              <w:sz w:val="24"/>
              <w:lang w:eastAsia="zh-CN"/>
              <w14:textFill>
                <w14:solidFill>
                  <w14:schemeClr w14:val="tx1"/>
                </w14:solidFill>
              </w14:textFill>
            </w:rPr>
          </w:pPr>
          <w:r>
            <w:fldChar w:fldCharType="begin"/>
          </w:r>
          <w:r>
            <w:instrText xml:space="preserve"> HYPERLINK \l "_Toc177484444"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三、</w:t>
          </w:r>
          <w:r>
            <w:rPr>
              <w:rFonts w:hint="eastAsia" w:ascii="仿宋_GB2312" w:eastAsia="仿宋_GB2312"/>
              <w:sz w:val="24"/>
            </w:rPr>
            <w:t>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fldChar w:fldCharType="end"/>
          </w:r>
          <w:r>
            <w:rPr>
              <w:rStyle w:val="16"/>
              <w:rFonts w:hint="eastAsia" w:ascii="仿宋_GB2312" w:eastAsia="仿宋_GB2312"/>
              <w:color w:val="000000" w:themeColor="text1"/>
              <w:sz w:val="24"/>
              <w:u w:val="none"/>
              <w14:textFill>
                <w14:solidFill>
                  <w14:schemeClr w14:val="tx1"/>
                </w14:solidFill>
              </w14:textFill>
            </w:rPr>
            <w:t>3</w:t>
          </w:r>
          <w:r>
            <w:rPr>
              <w:rStyle w:val="16"/>
              <w:rFonts w:hint="eastAsia" w:ascii="仿宋_GB2312" w:eastAsia="仿宋_GB2312"/>
              <w:color w:val="000000" w:themeColor="text1"/>
              <w:sz w:val="24"/>
              <w:u w:val="none"/>
              <w:lang w:val="en-US" w:eastAsia="zh-CN"/>
              <w14:textFill>
                <w14:solidFill>
                  <w14:schemeClr w14:val="tx1"/>
                </w14:solidFill>
              </w14:textFill>
            </w:rPr>
            <w:t>1</w:t>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"_Toc177484445" </w:instrText>
          </w:r>
          <w:r>
            <w:fldChar w:fldCharType="separate"/>
          </w:r>
          <w:r>
            <w:rPr>
              <w:rStyle w:val="16"/>
              <w:rFonts w:hint="eastAsia" w:ascii="仿宋_GB2312" w:hAnsi="黑体" w:eastAsia="仿宋_GB2312"/>
              <w:color w:val="000000" w:themeColor="text1"/>
              <w:sz w:val="24"/>
              <w:u w:val="none"/>
              <w14:textFill>
                <w14:solidFill>
                  <w14:schemeClr w14:val="tx1"/>
                </w14:solidFill>
              </w14:textFill>
            </w:rPr>
            <w:t>四、</w:t>
          </w:r>
          <w:r>
            <w:rPr>
              <w:rFonts w:hint="eastAsia" w:ascii="仿宋_GB2312" w:eastAsia="仿宋_GB2312"/>
              <w:sz w:val="24"/>
            </w:rPr>
            <w:t>财政拨款收入支出决算总表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"_Toc177484446" </w:instrText>
          </w:r>
          <w:r>
            <w:fldChar w:fldCharType="separate"/>
          </w:r>
          <w:r>
            <w:rPr>
              <w:rStyle w:val="16"/>
              <w:rFonts w:hint="eastAsia" w:ascii="仿宋_GB2312" w:hAnsi="黑体" w:eastAsia="仿宋_GB2312"/>
              <w:color w:val="000000" w:themeColor="text1"/>
              <w:sz w:val="24"/>
              <w:u w:val="none"/>
              <w14:textFill>
                <w14:solidFill>
                  <w14:schemeClr w14:val="tx1"/>
                </w14:solidFill>
              </w14:textFill>
            </w:rPr>
            <w:t>五</w:t>
          </w:r>
          <w:r>
            <w:rPr>
              <w:rStyle w:val="16"/>
              <w:rFonts w:hint="eastAsia" w:ascii="仿宋_GB2312" w:hAnsi="黑体" w:eastAsia="仿宋_GB2312"/>
              <w:b/>
              <w:color w:val="000000" w:themeColor="text1"/>
              <w:sz w:val="24"/>
              <w:u w:val="none"/>
              <w14:textFill>
                <w14:solidFill>
                  <w14:schemeClr w14:val="tx1"/>
                </w14:solidFill>
              </w14:textFill>
            </w:rPr>
            <w:t>、</w:t>
          </w:r>
          <w:r>
            <w:rPr>
              <w:rFonts w:hint="eastAsia" w:ascii="仿宋_GB2312" w:eastAsia="仿宋_GB2312"/>
              <w:sz w:val="24"/>
            </w:rPr>
            <w:t>财政拨款支出决算明细表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"_Toc177484451" </w:instrText>
          </w:r>
          <w:r>
            <w:fldChar w:fldCharType="separate"/>
          </w:r>
          <w:r>
            <w:rPr>
              <w:rStyle w:val="16"/>
              <w:rFonts w:hint="eastAsia" w:ascii="仿宋_GB2312" w:eastAsia="仿宋_GB2312"/>
              <w:color w:val="000000" w:themeColor="text1"/>
              <w:sz w:val="24"/>
              <w:u w:val="none"/>
              <w14:textFill>
                <w14:solidFill>
                  <w14:schemeClr w14:val="tx1"/>
                </w14:solidFill>
              </w14:textFill>
            </w:rPr>
            <w:t>六</w:t>
          </w:r>
          <w:r>
            <w:rPr>
              <w:rStyle w:val="16"/>
              <w:rFonts w:hint="eastAsia" w:ascii="仿宋_GB2312" w:eastAsia="仿宋_GB2312"/>
              <w:b/>
              <w:color w:val="000000" w:themeColor="text1"/>
              <w:sz w:val="24"/>
              <w:u w:val="none"/>
              <w14:textFill>
                <w14:solidFill>
                  <w14:schemeClr w14:val="tx1"/>
                </w14:solidFill>
              </w14:textFill>
            </w:rPr>
            <w:t>、</w:t>
          </w:r>
          <w:r>
            <w:rPr>
              <w:rFonts w:hint="eastAsia" w:ascii="仿宋_GB2312" w:eastAsia="仿宋_GB2312"/>
              <w:sz w:val="24"/>
            </w:rPr>
            <w:t>一般公共预算财政拨款支出决算表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"_Toc177484452" </w:instrText>
          </w:r>
          <w:r>
            <w:fldChar w:fldCharType="separate"/>
          </w:r>
          <w:r>
            <w:rPr>
              <w:rStyle w:val="16"/>
              <w:rFonts w:hint="eastAsia" w:ascii="仿宋_GB2312" w:hAnsi="黑体" w:eastAsia="仿宋_GB2312"/>
              <w:bCs/>
              <w:color w:val="000000" w:themeColor="text1"/>
              <w:sz w:val="24"/>
              <w:u w:val="none"/>
              <w14:textFill>
                <w14:solidFill>
                  <w14:schemeClr w14:val="tx1"/>
                </w14:solidFill>
              </w14:textFill>
            </w:rPr>
            <w:t>七、</w:t>
          </w:r>
          <w:r>
            <w:rPr>
              <w:rFonts w:hint="eastAsia" w:ascii="仿宋_GB2312" w:eastAsia="仿宋_GB2312"/>
              <w:sz w:val="24"/>
            </w:rPr>
            <w:t>一般公共预算财政拨款支出决算明细表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"_Toc177484455" </w:instrText>
          </w:r>
          <w:r>
            <w:fldChar w:fldCharType="separate"/>
          </w:r>
          <w:r>
            <w:rPr>
              <w:rStyle w:val="16"/>
              <w:rFonts w:hint="eastAsia" w:ascii="仿宋_GB2312" w:eastAsia="仿宋_GB2312"/>
              <w:color w:val="000000" w:themeColor="text1"/>
              <w:sz w:val="24"/>
              <w:u w:val="none"/>
              <w14:textFill>
                <w14:solidFill>
                  <w14:schemeClr w14:val="tx1"/>
                </w14:solidFill>
              </w14:textFill>
            </w:rPr>
            <w:t>八、</w:t>
          </w:r>
          <w:r>
            <w:rPr>
              <w:rFonts w:hint="eastAsia" w:ascii="仿宋_GB2312" w:eastAsia="仿宋_GB2312"/>
              <w:sz w:val="24"/>
            </w:rPr>
            <w:t>一般公共预算财政拨款基本支出决算明细表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"_Toc177484456"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九、</w:t>
          </w:r>
          <w:r>
            <w:rPr>
              <w:rFonts w:hint="eastAsia" w:ascii="仿宋_GB2312" w:eastAsia="仿宋_GB2312"/>
              <w:sz w:val="24"/>
            </w:rPr>
            <w:t>一般公共预算财政拨款项目支出决算表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"_Toc177484457"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十、</w:t>
          </w:r>
          <w:r>
            <w:rPr>
              <w:rFonts w:hint="eastAsia" w:ascii="仿宋_GB2312" w:eastAsia="仿宋_GB2312"/>
              <w:sz w:val="24"/>
            </w:rPr>
            <w:t>政府性基金预算财政拨款收入支出决算表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"_Toc177484442"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十一、</w:t>
          </w:r>
          <w:r>
            <w:rPr>
              <w:rFonts w:hint="eastAsia" w:ascii="仿宋_GB2312" w:eastAsia="仿宋_GB2312"/>
              <w:sz w:val="24"/>
            </w:rPr>
            <w:t>国有资本经营预算财政拨款收入支出决算表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rPr>
              <w:rStyle w:val="16"/>
              <w:rFonts w:hint="eastAsia" w:ascii="仿宋_GB2312" w:eastAsia="仿宋_GB2312"/>
              <w:color w:val="000000" w:themeColor="text1"/>
              <w:sz w:val="24"/>
              <w:u w:val="none"/>
              <w14:textFill>
                <w14:solidFill>
                  <w14:schemeClr w14:val="tx1"/>
                </w14:solidFill>
              </w14:textFill>
            </w:rPr>
            <w:t>十</w:t>
          </w:r>
          <w:r>
            <w:fldChar w:fldCharType="begin"/>
          </w:r>
          <w:r>
            <w:instrText xml:space="preserve"> HYPERLINK \l "_Toc177484443"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二、</w:t>
          </w:r>
          <w:r>
            <w:rPr>
              <w:rFonts w:hint="eastAsia" w:ascii="仿宋_GB2312" w:eastAsia="仿宋_GB2312"/>
              <w:sz w:val="24"/>
            </w:rPr>
            <w:t>国有资本经营预算财政拨款支出决算表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3</w:t>
          </w:r>
          <w:r>
            <w:rPr>
              <w:rFonts w:hint="eastAsia" w:ascii="仿宋_GB2312" w:eastAsia="仿宋_GB2312"/>
              <w:color w:val="000000" w:themeColor="text1"/>
              <w:sz w:val="24"/>
              <w:lang w:val="en-US" w:eastAsia="zh-CN"/>
              <w14:textFill>
                <w14:solidFill>
                  <w14:schemeClr w14:val="tx1"/>
                </w14:solidFill>
              </w14:textFill>
            </w:rPr>
            <w:t>1</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hint="eastAsia" w:ascii="仿宋_GB2312" w:eastAsia="仿宋_GB2312" w:hAnsiTheme="minorHAnsi" w:cstheme="minorBidi"/>
              <w:color w:val="000000" w:themeColor="text1"/>
              <w:sz w:val="24"/>
              <w:lang w:eastAsia="zh-CN"/>
              <w14:textFill>
                <w14:solidFill>
                  <w14:schemeClr w14:val="tx1"/>
                </w14:solidFill>
              </w14:textFill>
            </w:rPr>
          </w:pPr>
          <w:r>
            <w:rPr>
              <w:rStyle w:val="16"/>
              <w:rFonts w:hint="eastAsia" w:ascii="仿宋_GB2312" w:eastAsia="仿宋_GB2312"/>
              <w:color w:val="000000" w:themeColor="text1"/>
              <w:sz w:val="24"/>
              <w:u w:val="none"/>
              <w14:textFill>
                <w14:solidFill>
                  <w14:schemeClr w14:val="tx1"/>
                </w14:solidFill>
              </w14:textFill>
            </w:rPr>
            <w:t>十</w:t>
          </w:r>
          <w:r>
            <w:fldChar w:fldCharType="begin"/>
          </w:r>
          <w:r>
            <w:instrText xml:space="preserve"> HYPERLINK \l "_Toc177484444"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三、</w:t>
          </w:r>
          <w:r>
            <w:rPr>
              <w:rFonts w:hint="eastAsia" w:ascii="仿宋_GB2312" w:eastAsia="仿宋_GB2312"/>
              <w:sz w:val="24"/>
            </w:rPr>
            <w:t>财政拨款“三公”经费支出决算表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fldChar w:fldCharType="end"/>
          </w:r>
          <w:r>
            <w:rPr>
              <w:rStyle w:val="16"/>
              <w:rFonts w:hint="eastAsia" w:ascii="仿宋_GB2312" w:eastAsia="仿宋_GB2312"/>
              <w:color w:val="000000" w:themeColor="text1"/>
              <w:sz w:val="24"/>
              <w:u w:val="none"/>
              <w14:textFill>
                <w14:solidFill>
                  <w14:schemeClr w14:val="tx1"/>
                </w14:solidFill>
              </w14:textFill>
            </w:rPr>
            <w:t>3</w:t>
          </w:r>
          <w:r>
            <w:rPr>
              <w:rStyle w:val="16"/>
              <w:rFonts w:hint="eastAsia" w:ascii="仿宋_GB2312" w:eastAsia="仿宋_GB2312"/>
              <w:color w:val="000000" w:themeColor="text1"/>
              <w:sz w:val="24"/>
              <w:u w:val="none"/>
              <w:lang w:val="en-US" w:eastAsia="zh-CN"/>
              <w14:textFill>
                <w14:solidFill>
                  <w14:schemeClr w14:val="tx1"/>
                </w14:solidFill>
              </w14:textFill>
            </w:rPr>
            <w:t>1</w:t>
          </w:r>
        </w:p>
        <w:p>
          <w:pPr>
            <w:pStyle w:val="11"/>
            <w:tabs>
              <w:tab w:val="left" w:pos="1260"/>
            </w:tabs>
            <w:spacing w:line="560" w:lineRule="exact"/>
            <w:rPr>
              <w:rFonts w:ascii="仿宋_GB2312" w:eastAsia="仿宋_GB2312" w:hAnsiTheme="minorHAnsi" w:cstheme="minorBidi"/>
              <w:sz w:val="24"/>
            </w:rPr>
          </w:pPr>
        </w:p>
        <w:p/>
      </w:sdtContent>
    </w:sdt>
    <w:p>
      <w:pPr>
        <w:spacing w:line="560" w:lineRule="exact"/>
      </w:pPr>
    </w:p>
    <w:p>
      <w:pPr>
        <w:pStyle w:val="2"/>
      </w:pPr>
    </w:p>
    <w:p/>
    <w:p>
      <w:pPr>
        <w:pStyle w:val="2"/>
      </w:pPr>
    </w:p>
    <w:p/>
    <w:p>
      <w:pPr>
        <w:pStyle w:val="2"/>
      </w:pPr>
    </w:p>
    <w:p/>
    <w:p>
      <w:pPr>
        <w:pStyle w:val="2"/>
      </w:pPr>
    </w:p>
    <w:p/>
    <w:p>
      <w:pPr>
        <w:pStyle w:val="2"/>
      </w:pPr>
    </w:p>
    <w:p/>
    <w:p>
      <w:pPr>
        <w:pStyle w:val="3"/>
        <w:spacing w:line="560" w:lineRule="exact"/>
        <w:jc w:val="center"/>
        <w:rPr>
          <w:rFonts w:eastAsia="黑体"/>
          <w:b w:val="0"/>
          <w:bCs w:val="0"/>
        </w:rPr>
      </w:pPr>
      <w:bookmarkStart w:id="15" w:name="_Toc15377196"/>
      <w:bookmarkStart w:id="16" w:name="_Toc177484438"/>
      <w:bookmarkStart w:id="17" w:name="_Toc15396599"/>
      <w:r>
        <w:rPr>
          <w:rFonts w:hAnsi="黑体" w:eastAsia="黑体"/>
          <w:b w:val="0"/>
        </w:rPr>
        <w:t>第一部分</w:t>
      </w:r>
      <w:r>
        <w:rPr>
          <w:rFonts w:eastAsia="黑体"/>
          <w:b w:val="0"/>
        </w:rPr>
        <w:t xml:space="preserve"> </w:t>
      </w:r>
      <w:r>
        <w:rPr>
          <w:rStyle w:val="17"/>
          <w:rFonts w:hAnsi="黑体" w:eastAsia="黑体"/>
          <w:b w:val="0"/>
          <w:bCs w:val="0"/>
        </w:rPr>
        <w:t>部门概况</w:t>
      </w:r>
      <w:bookmarkEnd w:id="15"/>
      <w:bookmarkEnd w:id="16"/>
      <w:bookmarkEnd w:id="17"/>
    </w:p>
    <w:p>
      <w:pPr>
        <w:pStyle w:val="4"/>
        <w:numPr>
          <w:ilvl w:val="0"/>
          <w:numId w:val="1"/>
        </w:numPr>
        <w:spacing w:line="560" w:lineRule="exact"/>
        <w:rPr>
          <w:rFonts w:ascii="Times New Roman" w:hAnsi="Times New Roman" w:eastAsia="黑体" w:cs="Times New Roman"/>
          <w:b w:val="0"/>
        </w:rPr>
      </w:pPr>
      <w:bookmarkStart w:id="18" w:name="_Toc177484439"/>
      <w:r>
        <w:rPr>
          <w:rFonts w:ascii="Times New Roman" w:hAnsi="黑体" w:eastAsia="黑体" w:cs="Times New Roman"/>
          <w:b w:val="0"/>
        </w:rPr>
        <w:t>部门职责</w:t>
      </w:r>
      <w:bookmarkEnd w:id="18"/>
    </w:p>
    <w:p>
      <w:pPr>
        <w:snapToGrid w:val="0"/>
        <w:spacing w:line="560" w:lineRule="exact"/>
        <w:ind w:firstLine="420" w:firstLineChars="200"/>
        <w:rPr>
          <w:rFonts w:eastAsia="仿宋_GB2312"/>
          <w:sz w:val="32"/>
          <w:szCs w:val="32"/>
        </w:rPr>
      </w:pPr>
      <w:r>
        <w:t xml:space="preserve">  </w:t>
      </w:r>
      <w:r>
        <w:rPr>
          <w:rFonts w:eastAsia="仿宋_GB2312"/>
          <w:sz w:val="32"/>
          <w:szCs w:val="32"/>
        </w:rPr>
        <w:t>负责处理县内外群众给县委、县政府的来信、来电、网上信访，接待群众来访，保证信访渠道畅通；承办上级领导机关及其所属部门、单位和市委、市政府领导交办的信访事项；协调处理跨地区、跨部门的重要信访问题；检查、指导、协调县级各部门、各单位的信访工作，负责组织实施对全县信访工作的目标管理；负责收集人民群众提出的建议意见，为县委、县政府决策提供参考；负责全县信访工作队伍建设，组织信访干部的培训；依据政策规定，认真做好来访群众的思想疏导工作；配合公安、武警、应急部门处理非正常集体上访行为；负责我县群众进京、到省、市重大信访事项和异常、突发信访事件的联络和处理；负责职责范围内的安全生产和职业健康、生态环境保护等工作；完成县委、县政府交办的其他工作。</w:t>
      </w:r>
    </w:p>
    <w:p>
      <w:pPr>
        <w:pStyle w:val="4"/>
        <w:spacing w:line="560" w:lineRule="exact"/>
        <w:ind w:firstLine="640" w:firstLineChars="200"/>
        <w:rPr>
          <w:rStyle w:val="18"/>
          <w:rFonts w:ascii="Times New Roman" w:hAnsi="Times New Roman" w:cs="Times New Roman"/>
          <w:b w:val="0"/>
          <w:bCs w:val="0"/>
        </w:rPr>
      </w:pPr>
      <w:bookmarkStart w:id="19" w:name="_Toc15396601"/>
      <w:bookmarkStart w:id="20" w:name="_Toc177484440"/>
      <w:bookmarkStart w:id="21" w:name="_Toc15377200"/>
      <w:r>
        <w:rPr>
          <w:rFonts w:ascii="Times New Roman" w:hAnsi="Times New Roman" w:eastAsia="黑体" w:cs="Times New Roman"/>
          <w:b w:val="0"/>
        </w:rPr>
        <w:t>二、</w:t>
      </w:r>
      <w:r>
        <w:rPr>
          <w:rFonts w:ascii="Times New Roman" w:hAnsi="黑体" w:eastAsia="黑体" w:cs="Times New Roman"/>
          <w:b w:val="0"/>
        </w:rPr>
        <w:t>机</w:t>
      </w:r>
      <w:r>
        <w:rPr>
          <w:rStyle w:val="18"/>
          <w:rFonts w:ascii="Times New Roman" w:hAnsi="黑体" w:eastAsia="黑体" w:cs="Times New Roman"/>
          <w:b w:val="0"/>
          <w:bCs w:val="0"/>
        </w:rPr>
        <w:t>构设置</w:t>
      </w:r>
      <w:bookmarkEnd w:id="19"/>
      <w:bookmarkEnd w:id="20"/>
      <w:bookmarkEnd w:id="21"/>
    </w:p>
    <w:p>
      <w:pPr>
        <w:spacing w:line="560" w:lineRule="exact"/>
        <w:ind w:firstLine="640" w:firstLineChars="200"/>
        <w:rPr>
          <w:rFonts w:eastAsia="仿宋"/>
          <w:sz w:val="32"/>
          <w:szCs w:val="32"/>
        </w:rPr>
      </w:pPr>
      <w:r>
        <w:rPr>
          <w:rFonts w:hAnsi="仿宋" w:eastAsia="仿宋"/>
          <w:sz w:val="32"/>
          <w:szCs w:val="32"/>
        </w:rPr>
        <w:t>沐川县信访局下属二级预算单位</w:t>
      </w:r>
      <w:r>
        <w:rPr>
          <w:rFonts w:eastAsia="仿宋"/>
          <w:sz w:val="32"/>
          <w:szCs w:val="32"/>
        </w:rPr>
        <w:t>0</w:t>
      </w:r>
      <w:r>
        <w:rPr>
          <w:rFonts w:hAnsi="仿宋" w:eastAsia="仿宋"/>
          <w:sz w:val="32"/>
          <w:szCs w:val="32"/>
        </w:rPr>
        <w:t>个，其中行政单位</w:t>
      </w:r>
      <w:r>
        <w:rPr>
          <w:rFonts w:eastAsia="仿宋"/>
          <w:sz w:val="32"/>
          <w:szCs w:val="32"/>
        </w:rPr>
        <w:t>0</w:t>
      </w:r>
      <w:r>
        <w:rPr>
          <w:rFonts w:hAnsi="仿宋" w:eastAsia="仿宋"/>
          <w:sz w:val="32"/>
          <w:szCs w:val="32"/>
        </w:rPr>
        <w:t>个，参照公务员法管理的事业单位</w:t>
      </w:r>
      <w:r>
        <w:rPr>
          <w:rFonts w:eastAsia="仿宋"/>
          <w:bCs/>
          <w:sz w:val="32"/>
          <w:szCs w:val="32"/>
        </w:rPr>
        <w:t>0</w:t>
      </w:r>
      <w:r>
        <w:rPr>
          <w:rFonts w:hAnsi="仿宋" w:eastAsia="仿宋"/>
          <w:sz w:val="32"/>
          <w:szCs w:val="32"/>
        </w:rPr>
        <w:t>个，其他事业单位</w:t>
      </w:r>
      <w:r>
        <w:rPr>
          <w:rFonts w:eastAsia="仿宋"/>
          <w:sz w:val="32"/>
          <w:szCs w:val="32"/>
        </w:rPr>
        <w:t>0</w:t>
      </w:r>
      <w:r>
        <w:rPr>
          <w:rFonts w:hAnsi="仿宋" w:eastAsia="仿宋"/>
          <w:sz w:val="32"/>
          <w:szCs w:val="32"/>
        </w:rPr>
        <w:t>个。</w:t>
      </w:r>
    </w:p>
    <w:p>
      <w:pPr>
        <w:pStyle w:val="5"/>
        <w:adjustRightInd w:val="0"/>
        <w:snapToGrid w:val="0"/>
        <w:spacing w:before="93" w:line="560" w:lineRule="exact"/>
        <w:ind w:firstLine="640" w:firstLineChars="200"/>
        <w:rPr>
          <w:rFonts w:ascii="Times New Roman" w:eastAsia="仿宋"/>
          <w:kern w:val="2"/>
          <w:sz w:val="32"/>
          <w:szCs w:val="32"/>
        </w:rPr>
      </w:pPr>
      <w:r>
        <w:rPr>
          <w:rFonts w:ascii="Times New Roman" w:hAnsi="仿宋" w:eastAsia="仿宋"/>
          <w:kern w:val="2"/>
          <w:sz w:val="32"/>
          <w:szCs w:val="32"/>
        </w:rPr>
        <w:t>无纳入</w:t>
      </w:r>
      <w:r>
        <w:rPr>
          <w:rFonts w:ascii="Times New Roman" w:eastAsia="仿宋"/>
          <w:kern w:val="2"/>
          <w:sz w:val="32"/>
          <w:szCs w:val="32"/>
        </w:rPr>
        <w:t>2023</w:t>
      </w:r>
      <w:r>
        <w:rPr>
          <w:rFonts w:ascii="Times New Roman" w:hAnsi="仿宋" w:eastAsia="仿宋"/>
          <w:kern w:val="2"/>
          <w:sz w:val="32"/>
          <w:szCs w:val="32"/>
        </w:rPr>
        <w:t>年度部门决算编制范围的二级预算单位</w:t>
      </w:r>
      <w:r>
        <w:rPr>
          <w:rFonts w:ascii="Times New Roman" w:hAnsi="仿宋" w:eastAsia="仿宋"/>
          <w:sz w:val="32"/>
          <w:szCs w:val="32"/>
        </w:rPr>
        <w:t>。</w:t>
      </w:r>
      <w:r>
        <w:rPr>
          <w:rFonts w:ascii="Times New Roman" w:eastAsia="仿宋"/>
          <w:sz w:val="32"/>
          <w:szCs w:val="32"/>
        </w:rPr>
        <w:br w:type="page"/>
      </w:r>
    </w:p>
    <w:p>
      <w:pPr>
        <w:pStyle w:val="3"/>
        <w:spacing w:line="560" w:lineRule="exact"/>
        <w:ind w:right="440"/>
        <w:jc w:val="center"/>
        <w:rPr>
          <w:rFonts w:eastAsia="黑体"/>
          <w:b w:val="0"/>
          <w:bCs w:val="0"/>
        </w:rPr>
      </w:pPr>
      <w:bookmarkStart w:id="22" w:name="_Toc177484441"/>
      <w:bookmarkStart w:id="23" w:name="_Toc15396602"/>
      <w:bookmarkStart w:id="24" w:name="_Toc15377204"/>
      <w:r>
        <w:rPr>
          <w:rFonts w:hAnsi="黑体" w:eastAsia="黑体"/>
          <w:b w:val="0"/>
        </w:rPr>
        <w:t>第二部分</w:t>
      </w:r>
      <w:r>
        <w:rPr>
          <w:rFonts w:eastAsia="黑体"/>
          <w:b w:val="0"/>
        </w:rPr>
        <w:t xml:space="preserve"> 2023</w:t>
      </w:r>
      <w:r>
        <w:rPr>
          <w:rFonts w:hAnsi="黑体" w:eastAsia="黑体"/>
          <w:b w:val="0"/>
        </w:rPr>
        <w:t>年度</w:t>
      </w:r>
      <w:r>
        <w:rPr>
          <w:rStyle w:val="17"/>
          <w:rFonts w:hAnsi="黑体" w:eastAsia="黑体"/>
          <w:b w:val="0"/>
          <w:bCs w:val="0"/>
        </w:rPr>
        <w:t>部门决算情况说明</w:t>
      </w:r>
      <w:bookmarkEnd w:id="22"/>
      <w:bookmarkEnd w:id="23"/>
      <w:bookmarkEnd w:id="24"/>
    </w:p>
    <w:p>
      <w:pPr>
        <w:pStyle w:val="22"/>
        <w:numPr>
          <w:ilvl w:val="0"/>
          <w:numId w:val="2"/>
        </w:numPr>
        <w:spacing w:line="560" w:lineRule="exact"/>
        <w:ind w:firstLineChars="0"/>
        <w:outlineLvl w:val="1"/>
        <w:rPr>
          <w:rStyle w:val="18"/>
          <w:rFonts w:ascii="Times New Roman" w:hAnsi="Times New Roman" w:eastAsia="黑体" w:cs="Times New Roman"/>
          <w:b w:val="0"/>
        </w:rPr>
      </w:pPr>
      <w:bookmarkStart w:id="25" w:name="_Toc15377205"/>
      <w:bookmarkStart w:id="26" w:name="_Toc15396603"/>
      <w:bookmarkStart w:id="27" w:name="_Toc177484442"/>
      <w:r>
        <w:rPr>
          <w:rFonts w:hAnsi="黑体" w:eastAsia="黑体"/>
          <w:sz w:val="32"/>
          <w:szCs w:val="32"/>
        </w:rPr>
        <w:t>收</w:t>
      </w:r>
      <w:r>
        <w:rPr>
          <w:rStyle w:val="18"/>
          <w:rFonts w:ascii="Times New Roman" w:hAnsi="黑体" w:eastAsia="黑体" w:cs="Times New Roman"/>
          <w:b w:val="0"/>
        </w:rPr>
        <w:t>入支出决算总体情况说明</w:t>
      </w:r>
      <w:bookmarkEnd w:id="25"/>
      <w:bookmarkEnd w:id="26"/>
      <w:bookmarkEnd w:id="27"/>
    </w:p>
    <w:p>
      <w:pPr>
        <w:snapToGrid w:val="0"/>
        <w:spacing w:line="560" w:lineRule="exact"/>
        <w:ind w:firstLine="640" w:firstLineChars="200"/>
        <w:rPr>
          <w:rStyle w:val="15"/>
          <w:rFonts w:eastAsia="仿宋_GB2312"/>
          <w:b w:val="0"/>
          <w:color w:val="000000"/>
          <w:sz w:val="32"/>
          <w:szCs w:val="32"/>
        </w:rPr>
      </w:pPr>
      <w:r>
        <w:rPr>
          <w:rFonts w:eastAsia="仿宋"/>
          <w:sz w:val="32"/>
          <w:szCs w:val="32"/>
        </w:rPr>
        <w:t>2023</w:t>
      </w:r>
      <w:r>
        <w:rPr>
          <w:rFonts w:hAnsi="仿宋" w:eastAsia="仿宋"/>
          <w:sz w:val="32"/>
          <w:szCs w:val="32"/>
        </w:rPr>
        <w:t>年度收、支总计均为</w:t>
      </w:r>
      <w:r>
        <w:rPr>
          <w:sz w:val="32"/>
          <w:szCs w:val="32"/>
        </w:rPr>
        <w:t>297.74</w:t>
      </w:r>
      <w:r>
        <w:rPr>
          <w:rFonts w:hAnsi="仿宋" w:eastAsia="仿宋"/>
          <w:sz w:val="32"/>
          <w:szCs w:val="32"/>
        </w:rPr>
        <w:t>万元</w:t>
      </w:r>
      <w:r>
        <w:rPr>
          <w:sz w:val="32"/>
          <w:szCs w:val="32"/>
        </w:rPr>
        <w:t>。</w:t>
      </w:r>
      <w:r>
        <w:rPr>
          <w:rFonts w:hAnsi="仿宋" w:eastAsia="仿宋"/>
          <w:sz w:val="32"/>
          <w:szCs w:val="32"/>
        </w:rPr>
        <w:t>与</w:t>
      </w:r>
      <w:r>
        <w:rPr>
          <w:rFonts w:eastAsia="仿宋"/>
          <w:sz w:val="32"/>
          <w:szCs w:val="32"/>
        </w:rPr>
        <w:t>2022</w:t>
      </w:r>
      <w:r>
        <w:rPr>
          <w:rFonts w:hAnsi="仿宋" w:eastAsia="仿宋"/>
          <w:sz w:val="32"/>
          <w:szCs w:val="32"/>
        </w:rPr>
        <w:t>年度相比，收、支总计各</w:t>
      </w:r>
      <w:r>
        <w:rPr>
          <w:rFonts w:eastAsia="仿宋_GB2312"/>
          <w:color w:val="000000"/>
          <w:sz w:val="32"/>
          <w:szCs w:val="32"/>
        </w:rPr>
        <w:t>增加7.98万元，增长2.75%。主要变动原因是机关事业单位基本工资调标部分支出、</w:t>
      </w:r>
      <w:r>
        <w:rPr>
          <w:rStyle w:val="15"/>
          <w:rFonts w:eastAsia="仿宋_GB2312"/>
          <w:b w:val="0"/>
          <w:color w:val="000000"/>
          <w:sz w:val="32"/>
          <w:szCs w:val="32"/>
        </w:rPr>
        <w:t>社会保障缴费及特殊疑难信访问题专项资金增加。（如图1）</w:t>
      </w:r>
    </w:p>
    <w:p>
      <w:pPr>
        <w:pStyle w:val="2"/>
        <w:spacing w:line="560" w:lineRule="exact"/>
        <w:rPr>
          <w:rFonts w:ascii="Times New Roman" w:hAnsi="Times New Roman"/>
        </w:rPr>
      </w:pPr>
      <w:r>
        <w:rPr>
          <w:rFonts w:ascii="Times New Roman" w:hAnsi="Times New Roman"/>
        </w:rPr>
        <w:drawing>
          <wp:anchor distT="0" distB="0" distL="114300" distR="114300" simplePos="0" relativeHeight="251660288" behindDoc="0" locked="0" layoutInCell="1" allowOverlap="1">
            <wp:simplePos x="0" y="0"/>
            <wp:positionH relativeFrom="column">
              <wp:posOffset>276225</wp:posOffset>
            </wp:positionH>
            <wp:positionV relativeFrom="paragraph">
              <wp:posOffset>257175</wp:posOffset>
            </wp:positionV>
            <wp:extent cx="4806950" cy="2867025"/>
            <wp:effectExtent l="19050" t="0" r="12700" b="0"/>
            <wp:wrapNone/>
            <wp:docPr id="2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60" w:lineRule="exact"/>
        <w:ind w:firstLine="640" w:firstLineChars="200"/>
        <w:jc w:val="left"/>
        <w:rPr>
          <w:rFonts w:eastAsia="仿宋"/>
          <w:sz w:val="32"/>
          <w:szCs w:val="32"/>
        </w:rPr>
      </w:pPr>
    </w:p>
    <w:p>
      <w:pPr>
        <w:pStyle w:val="2"/>
        <w:spacing w:line="560" w:lineRule="exact"/>
        <w:rPr>
          <w:rFonts w:ascii="Times New Roman" w:hAnsi="Times New Roman"/>
        </w:rPr>
      </w:pPr>
    </w:p>
    <w:p>
      <w:pPr>
        <w:spacing w:line="560" w:lineRule="exact"/>
      </w:pPr>
    </w:p>
    <w:p>
      <w:pPr>
        <w:pStyle w:val="2"/>
        <w:spacing w:line="560" w:lineRule="exact"/>
        <w:rPr>
          <w:rFonts w:ascii="Times New Roman" w:hAnsi="Times New Roman"/>
        </w:rPr>
      </w:pPr>
    </w:p>
    <w:p>
      <w:pPr>
        <w:spacing w:line="560" w:lineRule="exact"/>
      </w:pPr>
    </w:p>
    <w:p>
      <w:pPr>
        <w:spacing w:line="560" w:lineRule="exact"/>
      </w:pPr>
    </w:p>
    <w:p>
      <w:pPr>
        <w:spacing w:line="700" w:lineRule="exact"/>
        <w:ind w:firstLine="1600" w:firstLineChars="500"/>
        <w:rPr>
          <w:rFonts w:eastAsia="仿宋_GB2312"/>
          <w:color w:val="000000"/>
          <w:sz w:val="32"/>
          <w:szCs w:val="32"/>
        </w:rPr>
      </w:pPr>
      <w:r>
        <w:rPr>
          <w:rFonts w:eastAsia="仿宋_GB2312"/>
          <w:color w:val="000000"/>
          <w:sz w:val="32"/>
          <w:szCs w:val="32"/>
        </w:rPr>
        <w:t>（图1：收、支决算总计变动情况图）</w:t>
      </w:r>
    </w:p>
    <w:p>
      <w:pPr>
        <w:pStyle w:val="22"/>
        <w:numPr>
          <w:ilvl w:val="0"/>
          <w:numId w:val="2"/>
        </w:numPr>
        <w:spacing w:line="700" w:lineRule="exact"/>
        <w:ind w:firstLineChars="0"/>
        <w:outlineLvl w:val="1"/>
        <w:rPr>
          <w:rStyle w:val="18"/>
          <w:rFonts w:ascii="Times New Roman" w:hAnsi="Times New Roman" w:eastAsia="黑体" w:cs="Times New Roman"/>
          <w:b w:val="0"/>
        </w:rPr>
      </w:pPr>
      <w:bookmarkStart w:id="28" w:name="_Toc15396604"/>
      <w:bookmarkStart w:id="29" w:name="_Toc15377206"/>
      <w:bookmarkStart w:id="30" w:name="_Toc177484443"/>
      <w:r>
        <w:rPr>
          <w:rFonts w:hAnsi="黑体" w:eastAsia="黑体"/>
          <w:sz w:val="32"/>
          <w:szCs w:val="32"/>
        </w:rPr>
        <w:t>收</w:t>
      </w:r>
      <w:r>
        <w:rPr>
          <w:rStyle w:val="18"/>
          <w:rFonts w:ascii="Times New Roman" w:hAnsi="黑体" w:eastAsia="黑体" w:cs="Times New Roman"/>
          <w:b w:val="0"/>
        </w:rPr>
        <w:t>入决算情况说明</w:t>
      </w:r>
      <w:bookmarkEnd w:id="28"/>
      <w:bookmarkEnd w:id="29"/>
      <w:bookmarkEnd w:id="30"/>
    </w:p>
    <w:p>
      <w:pPr>
        <w:snapToGrid w:val="0"/>
        <w:spacing w:line="560" w:lineRule="exact"/>
        <w:ind w:firstLine="640" w:firstLineChars="200"/>
        <w:rPr>
          <w:rStyle w:val="15"/>
          <w:rFonts w:eastAsia="仿宋_GB2312"/>
          <w:b w:val="0"/>
          <w:color w:val="000000"/>
          <w:sz w:val="32"/>
          <w:szCs w:val="32"/>
        </w:rPr>
      </w:pPr>
      <w:r>
        <w:rPr>
          <w:rFonts w:eastAsia="仿宋_GB2312"/>
          <w:sz w:val="32"/>
          <w:szCs w:val="32"/>
        </w:rPr>
        <w:t>2023年度本年收入合计297.74万元，其中：一般公共预算财政拨款收入297.74万元，占100%；政府性基金预算财政拨款收入0万元，占0%；国有资本经营预算财政拨款收入0万元，占0%；上级补助收入0万元，占0%；事业收入0万元，占0%；经营收入0万元，占0%；附属单位上缴收入0万元，占0%；其他收入0万元，占0%。</w:t>
      </w:r>
      <w:r>
        <w:rPr>
          <w:rStyle w:val="15"/>
          <w:rFonts w:eastAsia="仿宋_GB2312"/>
          <w:b w:val="0"/>
          <w:color w:val="000000"/>
          <w:sz w:val="32"/>
          <w:szCs w:val="32"/>
        </w:rPr>
        <w:t>（如图</w:t>
      </w:r>
      <w:r>
        <w:rPr>
          <w:rStyle w:val="15"/>
          <w:rFonts w:hint="eastAsia" w:eastAsia="仿宋_GB2312"/>
          <w:b w:val="0"/>
          <w:color w:val="000000"/>
          <w:sz w:val="32"/>
          <w:szCs w:val="32"/>
        </w:rPr>
        <w:t>2</w:t>
      </w:r>
      <w:r>
        <w:rPr>
          <w:rStyle w:val="15"/>
          <w:rFonts w:eastAsia="仿宋_GB2312"/>
          <w:b w:val="0"/>
          <w:color w:val="000000"/>
          <w:sz w:val="32"/>
          <w:szCs w:val="32"/>
        </w:rPr>
        <w:t>）</w:t>
      </w:r>
    </w:p>
    <w:p>
      <w:pPr>
        <w:spacing w:line="600" w:lineRule="exact"/>
        <w:ind w:firstLine="640" w:firstLineChars="200"/>
        <w:jc w:val="left"/>
        <w:outlineLvl w:val="1"/>
        <w:rPr>
          <w:rFonts w:eastAsia="仿宋_GB2312"/>
          <w:sz w:val="32"/>
          <w:szCs w:val="32"/>
        </w:rPr>
      </w:pPr>
    </w:p>
    <w:p>
      <w:pPr>
        <w:spacing w:line="560" w:lineRule="exact"/>
        <w:ind w:firstLine="640" w:firstLineChars="200"/>
        <w:rPr>
          <w:rFonts w:eastAsia="仿宋_GB2312"/>
          <w:sz w:val="32"/>
          <w:szCs w:val="32"/>
        </w:rPr>
      </w:pPr>
      <w:r>
        <w:rPr>
          <w:rFonts w:eastAsia="仿宋_GB2312"/>
          <w:sz w:val="32"/>
          <w:szCs w:val="32"/>
        </w:rPr>
        <w:drawing>
          <wp:anchor distT="0" distB="0" distL="114300" distR="114300" simplePos="0" relativeHeight="251661312" behindDoc="0" locked="0" layoutInCell="1" allowOverlap="1">
            <wp:simplePos x="0" y="0"/>
            <wp:positionH relativeFrom="column">
              <wp:posOffset>200025</wp:posOffset>
            </wp:positionH>
            <wp:positionV relativeFrom="paragraph">
              <wp:posOffset>9525</wp:posOffset>
            </wp:positionV>
            <wp:extent cx="4777105" cy="2476500"/>
            <wp:effectExtent l="19050" t="0" r="23495" b="0"/>
            <wp:wrapNone/>
            <wp:docPr id="2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spacing w:line="560" w:lineRule="exact"/>
        <w:rPr>
          <w:rFonts w:ascii="Times New Roman" w:hAnsi="Times New Roman"/>
        </w:rPr>
      </w:pPr>
    </w:p>
    <w:p>
      <w:pPr>
        <w:spacing w:line="560" w:lineRule="exact"/>
      </w:pPr>
    </w:p>
    <w:p>
      <w:pPr>
        <w:pStyle w:val="2"/>
        <w:spacing w:line="560" w:lineRule="exact"/>
        <w:rPr>
          <w:rFonts w:ascii="Times New Roman" w:hAnsi="Times New Roman"/>
        </w:rPr>
      </w:pPr>
    </w:p>
    <w:p>
      <w:pPr>
        <w:spacing w:line="560" w:lineRule="exact"/>
      </w:pPr>
    </w:p>
    <w:p>
      <w:pPr>
        <w:spacing w:line="560" w:lineRule="exact"/>
        <w:outlineLvl w:val="1"/>
        <w:rPr>
          <w:rFonts w:eastAsia="仿宋"/>
          <w:sz w:val="32"/>
          <w:szCs w:val="32"/>
        </w:rPr>
      </w:pPr>
    </w:p>
    <w:p>
      <w:pPr>
        <w:spacing w:line="560" w:lineRule="exact"/>
        <w:ind w:firstLine="2080" w:firstLineChars="650"/>
        <w:rPr>
          <w:rFonts w:eastAsia="仿宋"/>
          <w:sz w:val="32"/>
          <w:szCs w:val="32"/>
        </w:rPr>
      </w:pPr>
      <w:r>
        <w:rPr>
          <w:rFonts w:hAnsi="仿宋" w:eastAsia="仿宋"/>
          <w:sz w:val="32"/>
          <w:szCs w:val="32"/>
        </w:rPr>
        <w:t>（图</w:t>
      </w:r>
      <w:r>
        <w:rPr>
          <w:rFonts w:eastAsia="仿宋"/>
          <w:sz w:val="32"/>
          <w:szCs w:val="32"/>
        </w:rPr>
        <w:t>2</w:t>
      </w:r>
      <w:r>
        <w:rPr>
          <w:rFonts w:hAnsi="仿宋" w:eastAsia="仿宋"/>
          <w:sz w:val="32"/>
          <w:szCs w:val="32"/>
        </w:rPr>
        <w:t>：收入决算结构图）</w:t>
      </w:r>
    </w:p>
    <w:p>
      <w:pPr>
        <w:pStyle w:val="22"/>
        <w:numPr>
          <w:ilvl w:val="0"/>
          <w:numId w:val="2"/>
        </w:numPr>
        <w:spacing w:line="560" w:lineRule="exact"/>
        <w:ind w:firstLineChars="0"/>
        <w:outlineLvl w:val="1"/>
        <w:rPr>
          <w:rStyle w:val="18"/>
          <w:rFonts w:ascii="Times New Roman" w:hAnsi="Times New Roman" w:eastAsia="黑体" w:cs="Times New Roman"/>
          <w:b w:val="0"/>
        </w:rPr>
      </w:pPr>
      <w:bookmarkStart w:id="31" w:name="_Toc177484444"/>
      <w:bookmarkStart w:id="32" w:name="_Toc15377207"/>
      <w:bookmarkStart w:id="33" w:name="_Toc15396605"/>
      <w:r>
        <w:rPr>
          <w:rFonts w:hAnsi="黑体" w:eastAsia="黑体"/>
          <w:b/>
          <w:sz w:val="32"/>
          <w:szCs w:val="32"/>
        </w:rPr>
        <w:t>支</w:t>
      </w:r>
      <w:r>
        <w:rPr>
          <w:rStyle w:val="18"/>
          <w:rFonts w:ascii="Times New Roman" w:hAnsi="黑体" w:eastAsia="黑体" w:cs="Times New Roman"/>
          <w:b w:val="0"/>
        </w:rPr>
        <w:t>出决算情况说明</w:t>
      </w:r>
      <w:bookmarkEnd w:id="31"/>
      <w:bookmarkEnd w:id="32"/>
      <w:bookmarkEnd w:id="33"/>
    </w:p>
    <w:p>
      <w:pPr>
        <w:snapToGrid w:val="0"/>
        <w:spacing w:line="560" w:lineRule="exact"/>
        <w:ind w:firstLine="640" w:firstLineChars="200"/>
        <w:rPr>
          <w:rFonts w:eastAsia="仿宋_GB2312"/>
          <w:color w:val="000000"/>
          <w:sz w:val="32"/>
          <w:szCs w:val="32"/>
        </w:rPr>
      </w:pPr>
      <w:r>
        <w:rPr>
          <w:rFonts w:eastAsia="仿宋"/>
          <w:sz w:val="32"/>
          <w:szCs w:val="32"/>
        </w:rPr>
        <w:t>2023</w:t>
      </w:r>
      <w:r>
        <w:rPr>
          <w:rFonts w:hAnsi="仿宋" w:eastAsia="仿宋"/>
          <w:sz w:val="32"/>
          <w:szCs w:val="32"/>
        </w:rPr>
        <w:t>年度本年支出合计</w:t>
      </w:r>
      <w:r>
        <w:rPr>
          <w:sz w:val="32"/>
          <w:szCs w:val="32"/>
        </w:rPr>
        <w:t>297.74</w:t>
      </w:r>
      <w:r>
        <w:rPr>
          <w:rFonts w:hAnsi="仿宋" w:eastAsia="仿宋"/>
          <w:sz w:val="32"/>
          <w:szCs w:val="32"/>
        </w:rPr>
        <w:t>万元，其中：基本支出</w:t>
      </w:r>
      <w:r>
        <w:rPr>
          <w:sz w:val="32"/>
          <w:szCs w:val="32"/>
        </w:rPr>
        <w:t>200.92</w:t>
      </w:r>
      <w:r>
        <w:rPr>
          <w:rFonts w:hAnsi="仿宋" w:eastAsia="仿宋"/>
          <w:sz w:val="32"/>
          <w:szCs w:val="32"/>
        </w:rPr>
        <w:t>万元，占</w:t>
      </w:r>
      <w:r>
        <w:rPr>
          <w:sz w:val="32"/>
          <w:szCs w:val="32"/>
        </w:rPr>
        <w:t>67.48</w:t>
      </w:r>
      <w:r>
        <w:rPr>
          <w:rFonts w:eastAsia="仿宋"/>
          <w:sz w:val="32"/>
          <w:szCs w:val="32"/>
        </w:rPr>
        <w:t>%</w:t>
      </w:r>
      <w:r>
        <w:rPr>
          <w:rFonts w:hAnsi="仿宋" w:eastAsia="仿宋"/>
          <w:sz w:val="32"/>
          <w:szCs w:val="32"/>
        </w:rPr>
        <w:t>；项目支出</w:t>
      </w:r>
      <w:r>
        <w:rPr>
          <w:sz w:val="32"/>
          <w:szCs w:val="32"/>
        </w:rPr>
        <w:t>96.82</w:t>
      </w:r>
      <w:r>
        <w:rPr>
          <w:rFonts w:hAnsi="仿宋" w:eastAsia="仿宋"/>
          <w:sz w:val="32"/>
          <w:szCs w:val="32"/>
        </w:rPr>
        <w:t>万元，占</w:t>
      </w:r>
      <w:r>
        <w:rPr>
          <w:sz w:val="32"/>
          <w:szCs w:val="32"/>
        </w:rPr>
        <w:t>32.52</w:t>
      </w:r>
      <w:r>
        <w:rPr>
          <w:rFonts w:eastAsia="仿宋"/>
          <w:sz w:val="32"/>
          <w:szCs w:val="32"/>
        </w:rPr>
        <w:t>%</w:t>
      </w:r>
      <w:r>
        <w:rPr>
          <w:rFonts w:hAnsi="仿宋" w:eastAsia="仿宋"/>
          <w:sz w:val="32"/>
          <w:szCs w:val="32"/>
        </w:rPr>
        <w:t>；上缴上级支出</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；经营支出</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；对附属单位补助支出</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w:t>
      </w:r>
      <w:r>
        <w:rPr>
          <w:rStyle w:val="15"/>
          <w:rFonts w:eastAsia="仿宋_GB2312"/>
          <w:b w:val="0"/>
          <w:color w:val="000000"/>
          <w:sz w:val="32"/>
          <w:szCs w:val="32"/>
        </w:rPr>
        <w:t>（如图</w:t>
      </w:r>
      <w:r>
        <w:rPr>
          <w:rStyle w:val="15"/>
          <w:rFonts w:hint="eastAsia" w:eastAsia="仿宋_GB2312"/>
          <w:b w:val="0"/>
          <w:color w:val="000000"/>
          <w:sz w:val="32"/>
          <w:szCs w:val="32"/>
        </w:rPr>
        <w:t>3</w:t>
      </w:r>
      <w:r>
        <w:rPr>
          <w:rStyle w:val="15"/>
          <w:rFonts w:eastAsia="仿宋_GB2312"/>
          <w:b w:val="0"/>
          <w:color w:val="000000"/>
          <w:sz w:val="32"/>
          <w:szCs w:val="32"/>
        </w:rPr>
        <w:t>）</w:t>
      </w:r>
    </w:p>
    <w:p>
      <w:pPr>
        <w:pStyle w:val="2"/>
      </w:pPr>
      <w:r>
        <w:drawing>
          <wp:inline distT="0" distB="0" distL="0" distR="0">
            <wp:extent cx="4857750" cy="2324100"/>
            <wp:effectExtent l="19050" t="0" r="19050" b="0"/>
            <wp:docPr id="46" name="图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700" w:lineRule="exact"/>
        <w:ind w:firstLine="1920" w:firstLineChars="600"/>
        <w:rPr>
          <w:rFonts w:eastAsia="仿宋_GB2312"/>
          <w:sz w:val="32"/>
          <w:szCs w:val="32"/>
        </w:rPr>
      </w:pPr>
      <w:r>
        <w:rPr>
          <w:rFonts w:hAnsi="仿宋" w:eastAsia="仿宋"/>
          <w:sz w:val="32"/>
          <w:szCs w:val="32"/>
        </w:rPr>
        <w:t>（图</w:t>
      </w:r>
      <w:r>
        <w:rPr>
          <w:rFonts w:eastAsia="仿宋"/>
          <w:sz w:val="32"/>
          <w:szCs w:val="32"/>
        </w:rPr>
        <w:t>3</w:t>
      </w:r>
      <w:r>
        <w:rPr>
          <w:rFonts w:hAnsi="仿宋" w:eastAsia="仿宋"/>
          <w:sz w:val="32"/>
          <w:szCs w:val="32"/>
        </w:rPr>
        <w:t>：支出决算结构图）</w:t>
      </w:r>
    </w:p>
    <w:p>
      <w:pPr>
        <w:spacing w:line="700" w:lineRule="exact"/>
        <w:ind w:firstLine="640" w:firstLineChars="200"/>
        <w:outlineLvl w:val="1"/>
        <w:rPr>
          <w:rStyle w:val="18"/>
          <w:rFonts w:ascii="Times New Roman" w:hAnsi="Times New Roman" w:eastAsia="黑体" w:cs="Times New Roman"/>
          <w:b w:val="0"/>
        </w:rPr>
      </w:pPr>
      <w:bookmarkStart w:id="34" w:name="_Toc177484445"/>
      <w:bookmarkStart w:id="35" w:name="_Toc15396606"/>
      <w:bookmarkStart w:id="36" w:name="_Toc15377208"/>
      <w:r>
        <w:rPr>
          <w:rFonts w:hAnsi="黑体" w:eastAsia="黑体"/>
          <w:sz w:val="32"/>
          <w:szCs w:val="32"/>
        </w:rPr>
        <w:t>四、财</w:t>
      </w:r>
      <w:r>
        <w:rPr>
          <w:rStyle w:val="18"/>
          <w:rFonts w:ascii="Times New Roman" w:hAnsi="黑体" w:eastAsia="黑体" w:cs="Times New Roman"/>
          <w:b w:val="0"/>
        </w:rPr>
        <w:t>政拨款收入支出决算总体情况说明</w:t>
      </w:r>
      <w:bookmarkEnd w:id="34"/>
      <w:bookmarkEnd w:id="35"/>
      <w:bookmarkEnd w:id="36"/>
    </w:p>
    <w:p>
      <w:pPr>
        <w:spacing w:line="600" w:lineRule="exact"/>
        <w:ind w:firstLine="640"/>
        <w:rPr>
          <w:rFonts w:eastAsia="仿宋_GB2312"/>
        </w:rPr>
      </w:pPr>
      <w:r>
        <w:rPr>
          <w:rFonts w:eastAsia="仿宋_GB2312"/>
          <w:sz w:val="32"/>
          <w:szCs w:val="32"/>
        </w:rPr>
        <w:t>2023年度财政拨款收、支总计均为297.74万元。与2022年度相比，财政拨款收、支总计各增加</w:t>
      </w:r>
      <w:r>
        <w:rPr>
          <w:rFonts w:eastAsia="仿宋_GB2312"/>
          <w:color w:val="000000"/>
          <w:sz w:val="32"/>
          <w:szCs w:val="32"/>
        </w:rPr>
        <w:t>7.98万元，增长2.75%。主要变动原因是机关事业单位基本工资调标部分支出、</w:t>
      </w:r>
      <w:r>
        <w:rPr>
          <w:rStyle w:val="15"/>
          <w:rFonts w:eastAsia="仿宋_GB2312"/>
          <w:b w:val="0"/>
          <w:color w:val="000000"/>
          <w:sz w:val="32"/>
          <w:szCs w:val="32"/>
        </w:rPr>
        <w:t>社会保障缴费及特殊疑难信访问题专项资金增加。（如图4）</w:t>
      </w:r>
    </w:p>
    <w:p>
      <w:pPr>
        <w:spacing w:line="600" w:lineRule="exact"/>
        <w:rPr>
          <w:rFonts w:eastAsia="仿宋"/>
          <w:b/>
          <w:sz w:val="32"/>
          <w:szCs w:val="32"/>
        </w:rPr>
      </w:pPr>
      <w:r>
        <w:rPr>
          <w:rFonts w:eastAsia="仿宋"/>
          <w:b/>
          <w:sz w:val="32"/>
          <w:szCs w:val="32"/>
        </w:rPr>
        <w:drawing>
          <wp:anchor distT="0" distB="0" distL="114300" distR="114300" simplePos="0" relativeHeight="251662336" behindDoc="0" locked="0" layoutInCell="1" allowOverlap="1">
            <wp:simplePos x="0" y="0"/>
            <wp:positionH relativeFrom="column">
              <wp:posOffset>304800</wp:posOffset>
            </wp:positionH>
            <wp:positionV relativeFrom="paragraph">
              <wp:posOffset>342900</wp:posOffset>
            </wp:positionV>
            <wp:extent cx="4806950" cy="2867025"/>
            <wp:effectExtent l="19050" t="0" r="12700" b="0"/>
            <wp:wrapNone/>
            <wp:docPr id="2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spacing w:line="600" w:lineRule="exact"/>
        <w:rPr>
          <w:rFonts w:ascii="Times New Roman" w:hAnsi="Times New Roman"/>
        </w:rPr>
      </w:pPr>
    </w:p>
    <w:p>
      <w:pPr>
        <w:spacing w:line="600" w:lineRule="exact"/>
      </w:pPr>
    </w:p>
    <w:p>
      <w:pPr>
        <w:spacing w:line="600" w:lineRule="exact"/>
      </w:pPr>
    </w:p>
    <w:p>
      <w:pPr>
        <w:spacing w:line="600" w:lineRule="exact"/>
      </w:pPr>
    </w:p>
    <w:p>
      <w:pPr>
        <w:spacing w:line="600" w:lineRule="exact"/>
      </w:pPr>
    </w:p>
    <w:p>
      <w:pPr>
        <w:spacing w:line="600" w:lineRule="exact"/>
      </w:pPr>
    </w:p>
    <w:p>
      <w:pPr>
        <w:pStyle w:val="2"/>
        <w:spacing w:line="600" w:lineRule="exact"/>
        <w:rPr>
          <w:rFonts w:ascii="Times New Roman" w:hAnsi="Times New Roman"/>
        </w:rPr>
      </w:pPr>
    </w:p>
    <w:p>
      <w:pPr>
        <w:spacing w:line="600" w:lineRule="exact"/>
        <w:ind w:firstLine="640" w:firstLineChars="200"/>
        <w:rPr>
          <w:rFonts w:eastAsia="仿宋"/>
          <w:sz w:val="32"/>
          <w:szCs w:val="32"/>
        </w:rPr>
      </w:pPr>
      <w:r>
        <w:rPr>
          <w:rFonts w:hAnsi="仿宋" w:eastAsia="仿宋"/>
          <w:sz w:val="32"/>
          <w:szCs w:val="32"/>
        </w:rPr>
        <w:t>（图</w:t>
      </w:r>
      <w:r>
        <w:rPr>
          <w:rFonts w:eastAsia="仿宋"/>
          <w:sz w:val="32"/>
          <w:szCs w:val="32"/>
        </w:rPr>
        <w:t>4</w:t>
      </w:r>
      <w:r>
        <w:rPr>
          <w:rFonts w:hAnsi="仿宋" w:eastAsia="仿宋"/>
          <w:sz w:val="32"/>
          <w:szCs w:val="32"/>
        </w:rPr>
        <w:t>：财政拨款收、支决算总计变动情况）</w:t>
      </w:r>
    </w:p>
    <w:p>
      <w:pPr>
        <w:spacing w:line="600" w:lineRule="exact"/>
        <w:ind w:firstLine="640" w:firstLineChars="200"/>
        <w:outlineLvl w:val="1"/>
        <w:rPr>
          <w:rFonts w:hAnsi="黑体" w:eastAsia="黑体"/>
          <w:sz w:val="32"/>
          <w:szCs w:val="32"/>
        </w:rPr>
      </w:pPr>
      <w:bookmarkStart w:id="37" w:name="_Toc15377209"/>
      <w:bookmarkStart w:id="38" w:name="_Toc15396607"/>
    </w:p>
    <w:p>
      <w:pPr>
        <w:spacing w:line="600" w:lineRule="exact"/>
        <w:ind w:firstLine="640" w:firstLineChars="200"/>
        <w:outlineLvl w:val="1"/>
        <w:rPr>
          <w:rStyle w:val="18"/>
          <w:rFonts w:ascii="Times New Roman" w:hAnsi="Times New Roman" w:eastAsia="黑体" w:cs="Times New Roman"/>
          <w:b w:val="0"/>
        </w:rPr>
      </w:pPr>
      <w:bookmarkStart w:id="39" w:name="_Toc177484446"/>
      <w:r>
        <w:rPr>
          <w:rFonts w:hAnsi="黑体" w:eastAsia="黑体"/>
          <w:sz w:val="32"/>
          <w:szCs w:val="32"/>
        </w:rPr>
        <w:t>五</w:t>
      </w:r>
      <w:r>
        <w:rPr>
          <w:rFonts w:hAnsi="黑体" w:eastAsia="黑体"/>
          <w:b/>
          <w:sz w:val="32"/>
          <w:szCs w:val="32"/>
        </w:rPr>
        <w:t>、</w:t>
      </w:r>
      <w:r>
        <w:rPr>
          <w:rStyle w:val="18"/>
          <w:rFonts w:ascii="Times New Roman" w:hAnsi="黑体" w:eastAsia="黑体" w:cs="Times New Roman"/>
          <w:b w:val="0"/>
        </w:rPr>
        <w:t>一般公共预算财政拨款支出决算情况说明</w:t>
      </w:r>
      <w:bookmarkEnd w:id="37"/>
      <w:bookmarkEnd w:id="38"/>
      <w:bookmarkEnd w:id="39"/>
    </w:p>
    <w:p>
      <w:pPr>
        <w:spacing w:line="600" w:lineRule="exact"/>
        <w:ind w:firstLine="642" w:firstLineChars="200"/>
        <w:outlineLvl w:val="2"/>
        <w:rPr>
          <w:rFonts w:ascii="楷体_GB2312" w:eastAsia="楷体_GB2312"/>
          <w:b/>
          <w:sz w:val="32"/>
          <w:szCs w:val="32"/>
        </w:rPr>
      </w:pPr>
      <w:bookmarkStart w:id="40" w:name="_Toc15377210"/>
      <w:bookmarkStart w:id="41" w:name="_Toc177484447"/>
      <w:r>
        <w:rPr>
          <w:rFonts w:hint="eastAsia" w:ascii="楷体_GB2312" w:hAnsi="仿宋" w:eastAsia="楷体_GB2312"/>
          <w:b/>
          <w:sz w:val="32"/>
          <w:szCs w:val="32"/>
        </w:rPr>
        <w:t>（一）一般公共预算财政拨款支出决算总体情况</w:t>
      </w:r>
      <w:bookmarkEnd w:id="40"/>
      <w:bookmarkEnd w:id="41"/>
    </w:p>
    <w:p>
      <w:pPr>
        <w:spacing w:line="600" w:lineRule="exact"/>
        <w:ind w:firstLine="640"/>
        <w:rPr>
          <w:rStyle w:val="15"/>
          <w:rFonts w:eastAsia="仿宋_GB2312"/>
          <w:b w:val="0"/>
          <w:color w:val="000000"/>
          <w:sz w:val="32"/>
          <w:szCs w:val="32"/>
        </w:rPr>
      </w:pPr>
      <w:r>
        <w:rPr>
          <w:rFonts w:eastAsia="仿宋"/>
          <w:sz w:val="32"/>
          <w:szCs w:val="32"/>
        </w:rPr>
        <w:t>2023</w:t>
      </w:r>
      <w:r>
        <w:rPr>
          <w:rFonts w:hAnsi="仿宋" w:eastAsia="仿宋"/>
          <w:sz w:val="32"/>
          <w:szCs w:val="32"/>
        </w:rPr>
        <w:t>年度一般公共预算财政拨款支出</w:t>
      </w:r>
      <w:r>
        <w:rPr>
          <w:sz w:val="32"/>
          <w:szCs w:val="32"/>
        </w:rPr>
        <w:t>297.74</w:t>
      </w:r>
      <w:r>
        <w:rPr>
          <w:rFonts w:hAnsi="仿宋" w:eastAsia="仿宋"/>
          <w:sz w:val="32"/>
          <w:szCs w:val="32"/>
        </w:rPr>
        <w:t>万元，占本年支出合计的</w:t>
      </w:r>
      <w:r>
        <w:rPr>
          <w:sz w:val="32"/>
          <w:szCs w:val="32"/>
        </w:rPr>
        <w:t>100</w:t>
      </w:r>
      <w:r>
        <w:rPr>
          <w:rFonts w:eastAsia="仿宋"/>
          <w:sz w:val="32"/>
          <w:szCs w:val="32"/>
        </w:rPr>
        <w:t>%</w:t>
      </w:r>
      <w:r>
        <w:rPr>
          <w:rFonts w:hAnsi="仿宋" w:eastAsia="仿宋"/>
          <w:sz w:val="32"/>
          <w:szCs w:val="32"/>
        </w:rPr>
        <w:t>。与</w:t>
      </w:r>
      <w:r>
        <w:rPr>
          <w:rFonts w:eastAsia="仿宋"/>
          <w:sz w:val="32"/>
          <w:szCs w:val="32"/>
        </w:rPr>
        <w:t>2022</w:t>
      </w:r>
      <w:r>
        <w:rPr>
          <w:rFonts w:hAnsi="仿宋" w:eastAsia="仿宋"/>
          <w:sz w:val="32"/>
          <w:szCs w:val="32"/>
        </w:rPr>
        <w:t>年度相比，一般公共预算财政拨款支出增加</w:t>
      </w:r>
      <w:r>
        <w:rPr>
          <w:rFonts w:eastAsia="仿宋_GB2312"/>
          <w:color w:val="000000"/>
          <w:sz w:val="32"/>
          <w:szCs w:val="32"/>
        </w:rPr>
        <w:t>7.98万元，增长2.75%。主要变动原因是机关事业单位基本工资调标部分支出、</w:t>
      </w:r>
      <w:r>
        <w:rPr>
          <w:rStyle w:val="15"/>
          <w:rFonts w:eastAsia="仿宋_GB2312"/>
          <w:b w:val="0"/>
          <w:color w:val="000000"/>
          <w:sz w:val="32"/>
          <w:szCs w:val="32"/>
        </w:rPr>
        <w:t>社会保障缴费及特殊疑难信访问题专项资金增加。（如图5）</w:t>
      </w:r>
    </w:p>
    <w:p>
      <w:pPr>
        <w:pStyle w:val="2"/>
      </w:pPr>
      <w:r>
        <w:drawing>
          <wp:inline distT="0" distB="0" distL="0" distR="0">
            <wp:extent cx="5238750" cy="2647950"/>
            <wp:effectExtent l="19050" t="0" r="19050" b="0"/>
            <wp:docPr id="47"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Style w:val="13"/>
        <w:tblW w:w="0" w:type="auto"/>
        <w:tblInd w:w="153"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8100" w:type="dxa"/>
          </w:tcPr>
          <w:p>
            <w:pPr>
              <w:spacing w:line="560" w:lineRule="exact"/>
              <w:rPr>
                <w:rFonts w:hAnsi="仿宋" w:eastAsia="仿宋"/>
                <w:sz w:val="32"/>
                <w:szCs w:val="32"/>
              </w:rPr>
            </w:pPr>
          </w:p>
        </w:tc>
      </w:tr>
    </w:tbl>
    <w:p>
      <w:pPr>
        <w:spacing w:line="560" w:lineRule="exact"/>
        <w:ind w:firstLine="480" w:firstLineChars="150"/>
        <w:rPr>
          <w:rFonts w:eastAsia="仿宋_GB2312"/>
          <w:sz w:val="32"/>
          <w:szCs w:val="32"/>
        </w:rPr>
      </w:pPr>
      <w:r>
        <w:rPr>
          <w:rFonts w:eastAsia="仿宋_GB2312"/>
          <w:sz w:val="32"/>
          <w:szCs w:val="32"/>
        </w:rPr>
        <w:t>（图5：一般公共预算财政拨款支出决算变动情况）</w:t>
      </w:r>
      <w:bookmarkStart w:id="42" w:name="_Toc15377211"/>
    </w:p>
    <w:p>
      <w:pPr>
        <w:spacing w:line="560" w:lineRule="exact"/>
        <w:ind w:firstLine="642" w:firstLineChars="200"/>
        <w:outlineLvl w:val="2"/>
        <w:rPr>
          <w:rFonts w:ascii="楷体_GB2312" w:eastAsia="楷体_GB2312"/>
          <w:b/>
          <w:sz w:val="32"/>
          <w:szCs w:val="32"/>
        </w:rPr>
      </w:pPr>
      <w:bookmarkStart w:id="43" w:name="_Toc177484448"/>
      <w:r>
        <w:rPr>
          <w:rFonts w:hint="eastAsia" w:ascii="楷体_GB2312" w:eastAsia="楷体_GB2312"/>
          <w:b/>
          <w:sz w:val="32"/>
          <w:szCs w:val="32"/>
        </w:rPr>
        <w:t>（二）一般公共预算财政拨款支出决算结构情况</w:t>
      </w:r>
      <w:bookmarkEnd w:id="42"/>
      <w:bookmarkEnd w:id="43"/>
    </w:p>
    <w:p>
      <w:pPr>
        <w:snapToGrid w:val="0"/>
        <w:spacing w:line="560" w:lineRule="exact"/>
        <w:ind w:firstLine="640" w:firstLineChars="200"/>
        <w:rPr>
          <w:rFonts w:eastAsia="仿宋_GB2312"/>
        </w:rPr>
      </w:pPr>
      <w:r>
        <w:rPr>
          <w:rFonts w:eastAsia="仿宋_GB2312"/>
          <w:sz w:val="32"/>
          <w:szCs w:val="32"/>
        </w:rPr>
        <w:t>2023年度一般公共预算财政拨款支出297.74万元，主要用于以下方面:</w:t>
      </w:r>
      <w:r>
        <w:rPr>
          <w:rFonts w:eastAsia="仿宋_GB2312"/>
          <w:color w:val="000000"/>
          <w:sz w:val="32"/>
          <w:szCs w:val="32"/>
        </w:rPr>
        <w:t xml:space="preserve"> 一般公共服务支出252.43万元，占84.78%；社会保障和就业支出22.56万元，占7.58%；卫生健康支出7.18万元，占2.41%；住房保障支出15.57万元，占5.23%，</w:t>
      </w:r>
      <w:r>
        <w:rPr>
          <w:rStyle w:val="15"/>
          <w:rFonts w:eastAsia="仿宋_GB2312"/>
          <w:b w:val="0"/>
          <w:color w:val="000000"/>
          <w:sz w:val="32"/>
          <w:szCs w:val="32"/>
        </w:rPr>
        <w:t>（如图6）。</w:t>
      </w:r>
    </w:p>
    <w:p>
      <w:pPr>
        <w:spacing w:line="560" w:lineRule="exact"/>
        <w:ind w:firstLine="640"/>
        <w:rPr>
          <w:rFonts w:eastAsia="仿宋_GB2312"/>
          <w:color w:val="000000"/>
          <w:sz w:val="32"/>
          <w:szCs w:val="32"/>
        </w:rPr>
      </w:pPr>
      <w:r>
        <w:rPr>
          <w:rFonts w:eastAsia="仿宋_GB2312"/>
          <w:color w:val="000000"/>
          <w:sz w:val="32"/>
          <w:szCs w:val="32"/>
        </w:rPr>
        <w:drawing>
          <wp:anchor distT="0" distB="0" distL="114300" distR="114300" simplePos="0" relativeHeight="251663360" behindDoc="0" locked="0" layoutInCell="1" allowOverlap="1">
            <wp:simplePos x="0" y="0"/>
            <wp:positionH relativeFrom="column">
              <wp:posOffset>114300</wp:posOffset>
            </wp:positionH>
            <wp:positionV relativeFrom="paragraph">
              <wp:posOffset>276860</wp:posOffset>
            </wp:positionV>
            <wp:extent cx="5143500" cy="2552700"/>
            <wp:effectExtent l="19050" t="19050" r="19050" b="19050"/>
            <wp:wrapNone/>
            <wp:docPr id="30" name="图表 11"/>
            <wp:cNvGraphicFramePr/>
            <a:graphic xmlns:a="http://schemas.openxmlformats.org/drawingml/2006/main">
              <a:graphicData uri="http://schemas.openxmlformats.org/drawingml/2006/picture">
                <pic:pic xmlns:pic="http://schemas.openxmlformats.org/drawingml/2006/picture">
                  <pic:nvPicPr>
                    <pic:cNvPr id="30" name="图表 11"/>
                    <pic:cNvPicPr>
                      <a:picLocks noChangeArrowheads="1"/>
                    </pic:cNvPicPr>
                  </pic:nvPicPr>
                  <pic:blipFill>
                    <a:blip r:embed="rId13"/>
                    <a:srcRect b="-110"/>
                    <a:stretch>
                      <a:fillRect/>
                    </a:stretch>
                  </pic:blipFill>
                  <pic:spPr>
                    <a:xfrm>
                      <a:off x="0" y="0"/>
                      <a:ext cx="5143500" cy="2552700"/>
                    </a:xfrm>
                    <a:prstGeom prst="rect">
                      <a:avLst/>
                    </a:prstGeom>
                    <a:noFill/>
                    <a:ln w="9525">
                      <a:solidFill>
                        <a:srgbClr val="000000"/>
                      </a:solidFill>
                      <a:miter lim="800000"/>
                      <a:headEnd/>
                      <a:tailEnd/>
                    </a:ln>
                  </pic:spPr>
                </pic:pic>
              </a:graphicData>
            </a:graphic>
          </wp:anchor>
        </w:drawing>
      </w:r>
    </w:p>
    <w:p>
      <w:pPr>
        <w:pStyle w:val="2"/>
        <w:spacing w:line="560" w:lineRule="exact"/>
        <w:rPr>
          <w:rFonts w:ascii="Times New Roman" w:hAnsi="Times New Roman"/>
        </w:rPr>
      </w:pPr>
    </w:p>
    <w:p>
      <w:pPr>
        <w:spacing w:line="560" w:lineRule="exact"/>
      </w:pPr>
    </w:p>
    <w:p>
      <w:pPr>
        <w:pStyle w:val="2"/>
        <w:spacing w:line="560" w:lineRule="exact"/>
        <w:rPr>
          <w:rFonts w:ascii="Times New Roman" w:hAnsi="Times New Roman"/>
        </w:rPr>
      </w:pPr>
    </w:p>
    <w:p/>
    <w:p>
      <w:pPr>
        <w:pStyle w:val="2"/>
      </w:pPr>
    </w:p>
    <w:p>
      <w:pPr>
        <w:spacing w:line="560" w:lineRule="exact"/>
        <w:ind w:firstLine="960" w:firstLineChars="300"/>
        <w:rPr>
          <w:rFonts w:eastAsia="仿宋"/>
          <w:sz w:val="32"/>
          <w:szCs w:val="32"/>
        </w:rPr>
      </w:pPr>
      <w:r>
        <w:rPr>
          <w:rFonts w:hAnsi="仿宋" w:eastAsia="仿宋"/>
          <w:sz w:val="32"/>
          <w:szCs w:val="32"/>
        </w:rPr>
        <w:t>（图</w:t>
      </w:r>
      <w:r>
        <w:rPr>
          <w:rFonts w:eastAsia="仿宋"/>
          <w:sz w:val="32"/>
          <w:szCs w:val="32"/>
        </w:rPr>
        <w:t>6</w:t>
      </w:r>
      <w:r>
        <w:rPr>
          <w:rFonts w:hAnsi="仿宋" w:eastAsia="仿宋"/>
          <w:sz w:val="32"/>
          <w:szCs w:val="32"/>
        </w:rPr>
        <w:t>：一般公共预算财政拨款支出决算结构）</w:t>
      </w:r>
    </w:p>
    <w:p>
      <w:pPr>
        <w:spacing w:line="560" w:lineRule="exact"/>
        <w:ind w:firstLine="642" w:firstLineChars="200"/>
        <w:outlineLvl w:val="2"/>
        <w:rPr>
          <w:rFonts w:ascii="楷体_GB2312" w:eastAsia="楷体_GB2312"/>
          <w:b/>
          <w:sz w:val="32"/>
          <w:szCs w:val="32"/>
        </w:rPr>
      </w:pPr>
      <w:bookmarkStart w:id="44" w:name="_Toc177484449"/>
      <w:bookmarkStart w:id="45" w:name="_Toc15377212"/>
      <w:r>
        <w:rPr>
          <w:rFonts w:ascii="楷体_GB2312" w:eastAsia="楷体_GB2312"/>
          <w:b/>
          <w:sz w:val="32"/>
          <w:szCs w:val="32"/>
        </w:rPr>
        <w:t>（三）一般公共预算财政拨款支出决算具体情况</w:t>
      </w:r>
      <w:bookmarkEnd w:id="44"/>
      <w:bookmarkEnd w:id="45"/>
    </w:p>
    <w:p>
      <w:pPr>
        <w:spacing w:line="560" w:lineRule="exact"/>
        <w:ind w:firstLine="640" w:firstLineChars="200"/>
        <w:outlineLvl w:val="2"/>
        <w:rPr>
          <w:rFonts w:eastAsia="仿宋_GB2312"/>
          <w:sz w:val="32"/>
          <w:szCs w:val="32"/>
        </w:rPr>
      </w:pPr>
      <w:bookmarkStart w:id="46" w:name="_Toc15377213"/>
      <w:bookmarkStart w:id="47" w:name="_Toc15378460"/>
      <w:bookmarkStart w:id="48" w:name="_Toc15377444"/>
      <w:bookmarkStart w:id="49" w:name="_Toc177484450"/>
      <w:r>
        <w:rPr>
          <w:rFonts w:eastAsia="仿宋_GB2312"/>
          <w:sz w:val="32"/>
          <w:szCs w:val="32"/>
        </w:rPr>
        <w:t>2023年度一般公共预算支出决算数为297.74，</w:t>
      </w:r>
      <w:r>
        <w:rPr>
          <w:rStyle w:val="15"/>
          <w:rFonts w:eastAsia="仿宋_GB2312"/>
          <w:b w:val="0"/>
          <w:bCs/>
          <w:sz w:val="32"/>
          <w:szCs w:val="32"/>
        </w:rPr>
        <w:t>完成预算100%。其中：</w:t>
      </w:r>
      <w:bookmarkEnd w:id="46"/>
      <w:bookmarkEnd w:id="47"/>
      <w:bookmarkEnd w:id="48"/>
      <w:bookmarkEnd w:id="49"/>
    </w:p>
    <w:p>
      <w:pPr>
        <w:spacing w:line="560" w:lineRule="exact"/>
        <w:ind w:firstLine="640" w:firstLineChars="200"/>
        <w:rPr>
          <w:rStyle w:val="15"/>
          <w:rFonts w:eastAsia="仿宋_GB2312"/>
          <w:b w:val="0"/>
          <w:bCs/>
          <w:color w:val="000000"/>
          <w:sz w:val="32"/>
          <w:szCs w:val="32"/>
        </w:rPr>
      </w:pPr>
      <w:r>
        <w:rPr>
          <w:rStyle w:val="15"/>
          <w:rFonts w:eastAsia="仿宋_GB2312"/>
          <w:b w:val="0"/>
          <w:bCs/>
          <w:color w:val="000000"/>
          <w:sz w:val="32"/>
          <w:szCs w:val="32"/>
        </w:rPr>
        <w:t>1.</w:t>
      </w:r>
      <w:r>
        <w:rPr>
          <w:rStyle w:val="15"/>
          <w:rFonts w:eastAsia="仿宋_GB2312"/>
          <w:b w:val="0"/>
          <w:color w:val="000000"/>
          <w:sz w:val="32"/>
          <w:szCs w:val="32"/>
        </w:rPr>
        <w:t>一般公共服务（类）</w:t>
      </w:r>
      <w:r>
        <w:rPr>
          <w:rStyle w:val="15"/>
          <w:rFonts w:eastAsia="仿宋_GB2312"/>
          <w:b w:val="0"/>
          <w:sz w:val="32"/>
          <w:szCs w:val="32"/>
        </w:rPr>
        <w:t>政府办公厅（室）及相关机构事务</w:t>
      </w:r>
      <w:r>
        <w:rPr>
          <w:rStyle w:val="15"/>
          <w:rFonts w:eastAsia="仿宋_GB2312"/>
          <w:b w:val="0"/>
          <w:color w:val="000000"/>
          <w:sz w:val="32"/>
          <w:szCs w:val="32"/>
        </w:rPr>
        <w:t>（款）行政运行（项）</w:t>
      </w:r>
      <w:r>
        <w:rPr>
          <w:rStyle w:val="15"/>
          <w:rFonts w:eastAsia="仿宋_GB2312"/>
          <w:b w:val="0"/>
          <w:bCs/>
          <w:color w:val="000000"/>
          <w:sz w:val="32"/>
          <w:szCs w:val="32"/>
        </w:rPr>
        <w:t>: 支出决算为</w:t>
      </w:r>
      <w:r>
        <w:rPr>
          <w:rFonts w:eastAsia="仿宋_GB2312"/>
          <w:sz w:val="32"/>
          <w:szCs w:val="32"/>
        </w:rPr>
        <w:t>96.87</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一般公共服务（类）</w:t>
      </w:r>
      <w:r>
        <w:rPr>
          <w:rStyle w:val="15"/>
          <w:rFonts w:eastAsia="仿宋_GB2312"/>
          <w:b w:val="0"/>
          <w:sz w:val="32"/>
          <w:szCs w:val="32"/>
        </w:rPr>
        <w:t>政府办公厅（室）及相关机构事务</w:t>
      </w:r>
      <w:r>
        <w:rPr>
          <w:rStyle w:val="15"/>
          <w:rFonts w:eastAsia="仿宋_GB2312"/>
          <w:b w:val="0"/>
          <w:color w:val="000000"/>
          <w:sz w:val="32"/>
          <w:szCs w:val="32"/>
        </w:rPr>
        <w:t>（款）信访事务（项）</w:t>
      </w:r>
      <w:r>
        <w:rPr>
          <w:rStyle w:val="15"/>
          <w:rFonts w:eastAsia="仿宋_GB2312"/>
          <w:b w:val="0"/>
          <w:bCs/>
          <w:color w:val="000000"/>
          <w:sz w:val="32"/>
          <w:szCs w:val="32"/>
        </w:rPr>
        <w:t>: 支出决算为</w:t>
      </w:r>
      <w:r>
        <w:rPr>
          <w:rFonts w:eastAsia="仿宋_GB2312"/>
          <w:sz w:val="32"/>
          <w:szCs w:val="32"/>
        </w:rPr>
        <w:t>96.82</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一般公共服务（类）</w:t>
      </w:r>
      <w:r>
        <w:rPr>
          <w:rStyle w:val="15"/>
          <w:rFonts w:eastAsia="仿宋_GB2312"/>
          <w:b w:val="0"/>
          <w:sz w:val="32"/>
          <w:szCs w:val="32"/>
        </w:rPr>
        <w:t>政府办公厅（室）及相关机构事务</w:t>
      </w:r>
      <w:r>
        <w:rPr>
          <w:rStyle w:val="15"/>
          <w:rFonts w:eastAsia="仿宋_GB2312"/>
          <w:b w:val="0"/>
          <w:color w:val="000000"/>
          <w:sz w:val="32"/>
          <w:szCs w:val="32"/>
        </w:rPr>
        <w:t>（款）事业运行（项）</w:t>
      </w:r>
      <w:r>
        <w:rPr>
          <w:rStyle w:val="15"/>
          <w:rFonts w:eastAsia="仿宋_GB2312"/>
          <w:b w:val="0"/>
          <w:bCs/>
          <w:color w:val="000000"/>
          <w:sz w:val="32"/>
          <w:szCs w:val="32"/>
        </w:rPr>
        <w:t>: 支出决算为</w:t>
      </w:r>
      <w:r>
        <w:rPr>
          <w:rFonts w:eastAsia="仿宋_GB2312"/>
          <w:sz w:val="32"/>
          <w:szCs w:val="32"/>
        </w:rPr>
        <w:t>58.74</w:t>
      </w:r>
      <w:r>
        <w:rPr>
          <w:rStyle w:val="15"/>
          <w:rFonts w:eastAsia="仿宋_GB2312"/>
          <w:b w:val="0"/>
          <w:bCs/>
          <w:color w:val="000000"/>
          <w:sz w:val="32"/>
          <w:szCs w:val="32"/>
        </w:rPr>
        <w:t>万元，完成预算100%，决算数与预算数一致</w:t>
      </w:r>
      <w:r>
        <w:rPr>
          <w:rStyle w:val="15"/>
          <w:rFonts w:hint="eastAsia" w:eastAsia="仿宋_GB2312"/>
          <w:b w:val="0"/>
          <w:bCs/>
          <w:color w:val="000000"/>
          <w:sz w:val="32"/>
          <w:szCs w:val="32"/>
        </w:rPr>
        <w:t>。</w:t>
      </w:r>
    </w:p>
    <w:p>
      <w:pPr>
        <w:spacing w:line="560" w:lineRule="exact"/>
        <w:ind w:firstLine="640" w:firstLineChars="200"/>
        <w:rPr>
          <w:rFonts w:eastAsia="仿宋_GB2312"/>
          <w:color w:val="000000"/>
          <w:sz w:val="32"/>
          <w:szCs w:val="32"/>
        </w:rPr>
      </w:pPr>
      <w:r>
        <w:rPr>
          <w:rStyle w:val="15"/>
          <w:rFonts w:eastAsia="仿宋_GB2312"/>
          <w:b w:val="0"/>
          <w:bCs/>
          <w:color w:val="000000"/>
          <w:sz w:val="32"/>
          <w:szCs w:val="32"/>
        </w:rPr>
        <w:t>2.</w:t>
      </w:r>
      <w:r>
        <w:rPr>
          <w:rStyle w:val="15"/>
          <w:rFonts w:eastAsia="仿宋_GB2312"/>
          <w:b w:val="0"/>
          <w:color w:val="000000"/>
          <w:sz w:val="32"/>
          <w:szCs w:val="32"/>
        </w:rPr>
        <w:t>社会保障和就业（类）</w:t>
      </w:r>
      <w:r>
        <w:rPr>
          <w:rStyle w:val="15"/>
          <w:rFonts w:eastAsia="仿宋_GB2312"/>
          <w:b w:val="0"/>
          <w:sz w:val="32"/>
          <w:szCs w:val="32"/>
        </w:rPr>
        <w:t>行政事业单位养老支出</w:t>
      </w:r>
      <w:r>
        <w:rPr>
          <w:rStyle w:val="15"/>
          <w:rFonts w:eastAsia="仿宋_GB2312"/>
          <w:b w:val="0"/>
          <w:color w:val="000000"/>
          <w:sz w:val="32"/>
          <w:szCs w:val="32"/>
        </w:rPr>
        <w:t>（款）</w:t>
      </w:r>
      <w:r>
        <w:rPr>
          <w:rStyle w:val="15"/>
          <w:rFonts w:eastAsia="仿宋_GB2312"/>
          <w:b w:val="0"/>
          <w:sz w:val="32"/>
          <w:szCs w:val="32"/>
        </w:rPr>
        <w:t>机关事业单位基本养老保险缴费支出</w:t>
      </w:r>
      <w:r>
        <w:rPr>
          <w:rStyle w:val="15"/>
          <w:rFonts w:eastAsia="仿宋_GB2312"/>
          <w:b w:val="0"/>
          <w:color w:val="000000"/>
          <w:sz w:val="32"/>
          <w:szCs w:val="32"/>
        </w:rPr>
        <w:t>（项）</w:t>
      </w:r>
      <w:r>
        <w:rPr>
          <w:rStyle w:val="15"/>
          <w:rFonts w:eastAsia="仿宋_GB2312"/>
          <w:b w:val="0"/>
          <w:bCs/>
          <w:color w:val="000000"/>
          <w:sz w:val="32"/>
          <w:szCs w:val="32"/>
        </w:rPr>
        <w:t>: 支出决算为</w:t>
      </w:r>
      <w:r>
        <w:rPr>
          <w:rFonts w:eastAsia="仿宋_GB2312"/>
          <w:sz w:val="32"/>
          <w:szCs w:val="32"/>
        </w:rPr>
        <w:t>18.64</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社会保障和就业（类）</w:t>
      </w:r>
      <w:r>
        <w:rPr>
          <w:rStyle w:val="15"/>
          <w:rFonts w:eastAsia="仿宋_GB2312"/>
          <w:b w:val="0"/>
          <w:sz w:val="32"/>
          <w:szCs w:val="32"/>
        </w:rPr>
        <w:t>行政事业单位养老支出</w:t>
      </w:r>
      <w:r>
        <w:rPr>
          <w:rStyle w:val="15"/>
          <w:rFonts w:eastAsia="仿宋_GB2312"/>
          <w:b w:val="0"/>
          <w:color w:val="000000"/>
          <w:sz w:val="32"/>
          <w:szCs w:val="32"/>
        </w:rPr>
        <w:t>（款）</w:t>
      </w:r>
      <w:r>
        <w:rPr>
          <w:rStyle w:val="15"/>
          <w:rFonts w:eastAsia="仿宋_GB2312"/>
          <w:b w:val="0"/>
          <w:sz w:val="32"/>
          <w:szCs w:val="32"/>
        </w:rPr>
        <w:t>其他行政事业单位养老支出</w:t>
      </w:r>
      <w:r>
        <w:rPr>
          <w:rStyle w:val="15"/>
          <w:rFonts w:eastAsia="仿宋_GB2312"/>
          <w:b w:val="0"/>
          <w:color w:val="000000"/>
          <w:sz w:val="32"/>
          <w:szCs w:val="32"/>
        </w:rPr>
        <w:t>（项）</w:t>
      </w:r>
      <w:r>
        <w:rPr>
          <w:rStyle w:val="15"/>
          <w:rFonts w:eastAsia="仿宋_GB2312"/>
          <w:b w:val="0"/>
          <w:bCs/>
          <w:color w:val="000000"/>
          <w:sz w:val="32"/>
          <w:szCs w:val="32"/>
        </w:rPr>
        <w:t>: 支出决算为</w:t>
      </w:r>
      <w:r>
        <w:rPr>
          <w:rFonts w:eastAsia="仿宋_GB2312"/>
          <w:sz w:val="32"/>
          <w:szCs w:val="32"/>
        </w:rPr>
        <w:t>2.28</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社会保障和就业（类）</w:t>
      </w:r>
      <w:r>
        <w:rPr>
          <w:rStyle w:val="15"/>
          <w:rFonts w:eastAsia="仿宋_GB2312"/>
          <w:b w:val="0"/>
          <w:sz w:val="32"/>
          <w:szCs w:val="32"/>
        </w:rPr>
        <w:t>其他社会保障和就业支出</w:t>
      </w:r>
      <w:r>
        <w:rPr>
          <w:rStyle w:val="15"/>
          <w:rFonts w:eastAsia="仿宋_GB2312"/>
          <w:b w:val="0"/>
          <w:color w:val="000000"/>
          <w:sz w:val="32"/>
          <w:szCs w:val="32"/>
        </w:rPr>
        <w:t>（款）</w:t>
      </w:r>
      <w:r>
        <w:rPr>
          <w:rStyle w:val="15"/>
          <w:rFonts w:eastAsia="仿宋_GB2312"/>
          <w:b w:val="0"/>
          <w:sz w:val="32"/>
          <w:szCs w:val="32"/>
        </w:rPr>
        <w:t>其他社会保障和就业支出</w:t>
      </w:r>
      <w:r>
        <w:rPr>
          <w:rStyle w:val="15"/>
          <w:rFonts w:eastAsia="仿宋_GB2312"/>
          <w:b w:val="0"/>
          <w:color w:val="000000"/>
          <w:sz w:val="32"/>
          <w:szCs w:val="32"/>
        </w:rPr>
        <w:t>（项）</w:t>
      </w:r>
      <w:r>
        <w:rPr>
          <w:rStyle w:val="15"/>
          <w:rFonts w:eastAsia="仿宋_GB2312"/>
          <w:b w:val="0"/>
          <w:bCs/>
          <w:color w:val="000000"/>
          <w:sz w:val="32"/>
          <w:szCs w:val="32"/>
        </w:rPr>
        <w:t>: 支出决算为</w:t>
      </w:r>
      <w:r>
        <w:rPr>
          <w:rFonts w:eastAsia="仿宋_GB2312"/>
          <w:sz w:val="32"/>
          <w:szCs w:val="32"/>
        </w:rPr>
        <w:t>1.64</w:t>
      </w:r>
      <w:r>
        <w:rPr>
          <w:rStyle w:val="15"/>
          <w:rFonts w:eastAsia="仿宋_GB2312"/>
          <w:b w:val="0"/>
          <w:bCs/>
          <w:color w:val="000000"/>
          <w:sz w:val="32"/>
          <w:szCs w:val="32"/>
        </w:rPr>
        <w:t>万元，完成预算100%，决算数与预算数一致</w:t>
      </w:r>
      <w:r>
        <w:rPr>
          <w:rStyle w:val="15"/>
          <w:rFonts w:hint="eastAsia" w:eastAsia="仿宋_GB2312"/>
          <w:b w:val="0"/>
          <w:bCs/>
          <w:color w:val="000000"/>
          <w:sz w:val="32"/>
          <w:szCs w:val="32"/>
        </w:rPr>
        <w:t>。</w:t>
      </w:r>
    </w:p>
    <w:p>
      <w:pPr>
        <w:spacing w:line="560" w:lineRule="exact"/>
        <w:ind w:firstLine="640" w:firstLineChars="200"/>
        <w:rPr>
          <w:rFonts w:eastAsia="仿宋_GB2312"/>
          <w:color w:val="000000"/>
          <w:sz w:val="32"/>
          <w:szCs w:val="32"/>
        </w:rPr>
      </w:pPr>
      <w:r>
        <w:rPr>
          <w:rStyle w:val="15"/>
          <w:rFonts w:eastAsia="仿宋_GB2312"/>
          <w:b w:val="0"/>
          <w:color w:val="000000"/>
          <w:sz w:val="32"/>
          <w:szCs w:val="32"/>
        </w:rPr>
        <w:t>3.</w:t>
      </w:r>
      <w:r>
        <w:rPr>
          <w:rFonts w:eastAsia="仿宋_GB2312"/>
          <w:bCs/>
          <w:sz w:val="32"/>
          <w:szCs w:val="32"/>
        </w:rPr>
        <w:t>卫生健康</w:t>
      </w:r>
      <w:r>
        <w:rPr>
          <w:rStyle w:val="15"/>
          <w:rFonts w:eastAsia="仿宋_GB2312"/>
          <w:b w:val="0"/>
          <w:color w:val="000000"/>
          <w:sz w:val="32"/>
          <w:szCs w:val="32"/>
        </w:rPr>
        <w:t>（类）行政事业单位医疗（款）行政单位医疗（项）:</w:t>
      </w:r>
      <w:r>
        <w:rPr>
          <w:rStyle w:val="15"/>
          <w:rFonts w:eastAsia="仿宋_GB2312"/>
          <w:b w:val="0"/>
          <w:bCs/>
          <w:color w:val="000000"/>
          <w:sz w:val="32"/>
          <w:szCs w:val="32"/>
        </w:rPr>
        <w:t xml:space="preserve"> 支出决算为4.34万元，完成预算100%，决算数与预算数一致；</w:t>
      </w:r>
      <w:r>
        <w:rPr>
          <w:rFonts w:eastAsia="仿宋_GB2312"/>
          <w:bCs/>
          <w:sz w:val="32"/>
          <w:szCs w:val="32"/>
        </w:rPr>
        <w:t>卫生健康</w:t>
      </w:r>
      <w:r>
        <w:rPr>
          <w:rStyle w:val="15"/>
          <w:rFonts w:eastAsia="仿宋_GB2312"/>
          <w:b w:val="0"/>
          <w:color w:val="000000"/>
          <w:sz w:val="32"/>
          <w:szCs w:val="32"/>
        </w:rPr>
        <w:t>（类）行政事业单位医疗（款）事业单位医疗（项）:</w:t>
      </w:r>
      <w:r>
        <w:rPr>
          <w:rStyle w:val="15"/>
          <w:rFonts w:eastAsia="仿宋_GB2312"/>
          <w:b w:val="0"/>
          <w:bCs/>
          <w:color w:val="000000"/>
          <w:sz w:val="32"/>
          <w:szCs w:val="32"/>
        </w:rPr>
        <w:t xml:space="preserve"> 支出决算为2.84万元，完成预算100%，决算数与预算数一致。</w:t>
      </w:r>
    </w:p>
    <w:p>
      <w:pPr>
        <w:spacing w:line="560" w:lineRule="exact"/>
        <w:ind w:firstLine="640" w:firstLineChars="200"/>
        <w:rPr>
          <w:rFonts w:eastAsia="仿宋_GB2312"/>
          <w:color w:val="000000"/>
          <w:sz w:val="32"/>
          <w:szCs w:val="32"/>
        </w:rPr>
      </w:pPr>
      <w:r>
        <w:rPr>
          <w:rStyle w:val="15"/>
          <w:rFonts w:eastAsia="仿宋_GB2312"/>
          <w:b w:val="0"/>
          <w:color w:val="000000"/>
          <w:sz w:val="32"/>
          <w:szCs w:val="32"/>
        </w:rPr>
        <w:t>4.住房保障支出（类）</w:t>
      </w:r>
      <w:r>
        <w:rPr>
          <w:rStyle w:val="15"/>
          <w:rFonts w:eastAsia="仿宋_GB2312"/>
          <w:b w:val="0"/>
          <w:sz w:val="32"/>
          <w:szCs w:val="32"/>
        </w:rPr>
        <w:t>住房改革支出</w:t>
      </w:r>
      <w:r>
        <w:rPr>
          <w:rStyle w:val="15"/>
          <w:rFonts w:eastAsia="仿宋_GB2312"/>
          <w:b w:val="0"/>
          <w:color w:val="000000"/>
          <w:sz w:val="32"/>
          <w:szCs w:val="32"/>
        </w:rPr>
        <w:t>（款）</w:t>
      </w:r>
      <w:r>
        <w:rPr>
          <w:rStyle w:val="15"/>
          <w:rFonts w:eastAsia="仿宋_GB2312"/>
          <w:b w:val="0"/>
          <w:sz w:val="32"/>
          <w:szCs w:val="32"/>
        </w:rPr>
        <w:t>住房公积金</w:t>
      </w:r>
      <w:r>
        <w:rPr>
          <w:rStyle w:val="15"/>
          <w:rFonts w:eastAsia="仿宋_GB2312"/>
          <w:b w:val="0"/>
          <w:color w:val="000000"/>
          <w:sz w:val="32"/>
          <w:szCs w:val="32"/>
        </w:rPr>
        <w:t>（项）:</w:t>
      </w:r>
      <w:r>
        <w:rPr>
          <w:rStyle w:val="15"/>
          <w:rFonts w:eastAsia="仿宋_GB2312"/>
          <w:b w:val="0"/>
          <w:bCs/>
          <w:color w:val="000000"/>
          <w:sz w:val="32"/>
          <w:szCs w:val="32"/>
        </w:rPr>
        <w:t>支出决算为15.57万元，完成预算100%，决算数与预算数一致。</w:t>
      </w:r>
    </w:p>
    <w:p>
      <w:pPr>
        <w:tabs>
          <w:tab w:val="right" w:pos="8306"/>
        </w:tabs>
        <w:spacing w:line="560" w:lineRule="exact"/>
        <w:ind w:firstLine="640"/>
        <w:outlineLvl w:val="1"/>
        <w:rPr>
          <w:rStyle w:val="18"/>
          <w:rFonts w:ascii="Times New Roman" w:hAnsi="Times New Roman" w:cs="Times New Roman"/>
          <w:b w:val="0"/>
        </w:rPr>
      </w:pPr>
      <w:bookmarkStart w:id="50" w:name="_Toc15377214"/>
      <w:bookmarkStart w:id="51" w:name="_Toc15396608"/>
      <w:bookmarkStart w:id="52" w:name="_Toc177484451"/>
      <w:r>
        <w:rPr>
          <w:rFonts w:eastAsia="黑体"/>
          <w:sz w:val="32"/>
          <w:szCs w:val="32"/>
        </w:rPr>
        <w:t>六</w:t>
      </w:r>
      <w:r>
        <w:rPr>
          <w:rFonts w:eastAsia="黑体"/>
          <w:b/>
          <w:sz w:val="32"/>
          <w:szCs w:val="32"/>
        </w:rPr>
        <w:t>、</w:t>
      </w:r>
      <w:r>
        <w:rPr>
          <w:rStyle w:val="18"/>
          <w:rFonts w:ascii="Times New Roman" w:hAnsi="黑体" w:eastAsia="黑体" w:cs="Times New Roman"/>
          <w:b w:val="0"/>
        </w:rPr>
        <w:t>一般公共预算财政拨款基本支出决算情况说明</w:t>
      </w:r>
      <w:bookmarkEnd w:id="50"/>
      <w:bookmarkEnd w:id="51"/>
      <w:bookmarkEnd w:id="52"/>
      <w:r>
        <w:rPr>
          <w:rStyle w:val="18"/>
          <w:rFonts w:ascii="Times New Roman" w:hAnsi="Times New Roman" w:eastAsia="黑体" w:cs="Times New Roman"/>
          <w:b w:val="0"/>
        </w:rPr>
        <w:tab/>
      </w:r>
    </w:p>
    <w:p>
      <w:pPr>
        <w:spacing w:line="560" w:lineRule="exact"/>
        <w:ind w:firstLine="645"/>
        <w:rPr>
          <w:rFonts w:eastAsia="仿宋"/>
          <w:sz w:val="32"/>
          <w:szCs w:val="32"/>
        </w:rPr>
      </w:pPr>
      <w:r>
        <w:rPr>
          <w:rFonts w:eastAsia="仿宋"/>
          <w:sz w:val="32"/>
          <w:szCs w:val="32"/>
        </w:rPr>
        <w:t>2023</w:t>
      </w:r>
      <w:r>
        <w:rPr>
          <w:rFonts w:hAnsi="仿宋" w:eastAsia="仿宋"/>
          <w:sz w:val="32"/>
          <w:szCs w:val="32"/>
        </w:rPr>
        <w:t>年度一般公共预算财政拨款基本支出</w:t>
      </w:r>
      <w:r>
        <w:rPr>
          <w:sz w:val="32"/>
          <w:szCs w:val="32"/>
        </w:rPr>
        <w:t>200.92</w:t>
      </w:r>
      <w:r>
        <w:rPr>
          <w:rFonts w:hAnsi="仿宋" w:eastAsia="仿宋"/>
          <w:sz w:val="32"/>
          <w:szCs w:val="32"/>
        </w:rPr>
        <w:t>万元，其中：</w:t>
      </w:r>
    </w:p>
    <w:p>
      <w:pPr>
        <w:spacing w:line="560" w:lineRule="exact"/>
        <w:ind w:firstLine="640" w:firstLineChars="200"/>
        <w:rPr>
          <w:rFonts w:eastAsia="仿宋_GB2312"/>
          <w:color w:val="000000"/>
          <w:sz w:val="32"/>
          <w:szCs w:val="32"/>
        </w:rPr>
      </w:pPr>
      <w:r>
        <w:rPr>
          <w:rFonts w:eastAsia="仿宋_GB2312"/>
          <w:color w:val="000000"/>
          <w:sz w:val="32"/>
          <w:szCs w:val="32"/>
        </w:rPr>
        <w:t>人员经费183.20万元，主要包括：基本工资、津贴补贴、奖金、绩效工资、机关事业单位基本养老保险缴费、职业年金缴费、其他社会保障缴费、其他工资福利支出、生活补助、医疗费、奖励金、住房公积金、其他对个人和家庭的补助支出等。</w:t>
      </w:r>
    </w:p>
    <w:p>
      <w:pPr>
        <w:spacing w:line="560" w:lineRule="exact"/>
        <w:ind w:firstLine="645"/>
        <w:rPr>
          <w:rFonts w:eastAsia="仿宋_GB2312"/>
          <w:color w:val="000000"/>
          <w:sz w:val="32"/>
          <w:szCs w:val="32"/>
        </w:rPr>
      </w:pPr>
      <w:r>
        <w:rPr>
          <w:rFonts w:eastAsia="仿宋_GB2312"/>
          <w:color w:val="000000"/>
          <w:sz w:val="32"/>
          <w:szCs w:val="32"/>
        </w:rPr>
        <w:t>公用经费17.72万元，主要包括：办公费、手续费、水费、电费、邮电费、差旅费、维修（护）费、公务接待费、工会经费、福利费、其他交通费、其他商品和服务支出、办公设备购置、其他资本性支出等。</w:t>
      </w:r>
    </w:p>
    <w:p>
      <w:pPr>
        <w:tabs>
          <w:tab w:val="right" w:pos="8306"/>
        </w:tabs>
        <w:spacing w:line="560" w:lineRule="exact"/>
        <w:ind w:firstLine="640"/>
        <w:outlineLvl w:val="1"/>
        <w:rPr>
          <w:rStyle w:val="18"/>
          <w:rFonts w:ascii="Times New Roman" w:hAnsi="黑体" w:eastAsia="黑体" w:cs="Times New Roman"/>
          <w:b w:val="0"/>
          <w:bCs w:val="0"/>
        </w:rPr>
      </w:pPr>
      <w:bookmarkStart w:id="53" w:name="_Toc15396609"/>
      <w:bookmarkStart w:id="54" w:name="_Toc15377215"/>
      <w:bookmarkStart w:id="55" w:name="_Toc177484452"/>
      <w:r>
        <w:rPr>
          <w:rStyle w:val="18"/>
          <w:rFonts w:hint="eastAsia" w:ascii="Times New Roman" w:hAnsi="黑体" w:eastAsia="黑体" w:cs="Times New Roman"/>
          <w:b w:val="0"/>
        </w:rPr>
        <w:t>七、</w:t>
      </w:r>
      <w:r>
        <w:rPr>
          <w:rStyle w:val="18"/>
          <w:rFonts w:hint="eastAsia" w:ascii="Times New Roman" w:hAnsi="黑体" w:eastAsia="黑体" w:cs="Times New Roman"/>
          <w:b w:val="0"/>
          <w:bCs w:val="0"/>
        </w:rPr>
        <w:t>财政拨款“三公”经费支出决算情况说明</w:t>
      </w:r>
      <w:bookmarkEnd w:id="53"/>
      <w:bookmarkEnd w:id="54"/>
      <w:bookmarkEnd w:id="55"/>
    </w:p>
    <w:p>
      <w:pPr>
        <w:spacing w:line="560" w:lineRule="exact"/>
        <w:ind w:firstLine="640"/>
        <w:outlineLvl w:val="2"/>
        <w:rPr>
          <w:rFonts w:ascii="楷体_GB2312" w:eastAsia="楷体_GB2312"/>
          <w:b/>
          <w:sz w:val="32"/>
          <w:szCs w:val="32"/>
        </w:rPr>
      </w:pPr>
      <w:bookmarkStart w:id="56" w:name="_Toc15377216"/>
      <w:bookmarkStart w:id="57" w:name="_Toc177484453"/>
      <w:r>
        <w:rPr>
          <w:rFonts w:hint="eastAsia" w:ascii="楷体_GB2312" w:hAnsi="仿宋" w:eastAsia="楷体_GB2312"/>
          <w:b/>
          <w:sz w:val="32"/>
          <w:szCs w:val="32"/>
        </w:rPr>
        <w:t>（一）</w:t>
      </w:r>
      <w:r>
        <w:rPr>
          <w:rFonts w:hint="eastAsia" w:ascii="楷体_GB2312" w:eastAsia="楷体_GB2312"/>
          <w:b/>
          <w:sz w:val="32"/>
          <w:szCs w:val="32"/>
        </w:rPr>
        <w:t>“</w:t>
      </w:r>
      <w:r>
        <w:rPr>
          <w:rFonts w:hint="eastAsia" w:ascii="楷体_GB2312" w:hAnsi="仿宋" w:eastAsia="楷体_GB2312"/>
          <w:b/>
          <w:sz w:val="32"/>
          <w:szCs w:val="32"/>
        </w:rPr>
        <w:t>三公</w:t>
      </w:r>
      <w:r>
        <w:rPr>
          <w:rFonts w:hint="eastAsia" w:ascii="楷体_GB2312" w:eastAsia="楷体_GB2312"/>
          <w:b/>
          <w:sz w:val="32"/>
          <w:szCs w:val="32"/>
        </w:rPr>
        <w:t>”</w:t>
      </w:r>
      <w:r>
        <w:rPr>
          <w:rFonts w:hint="eastAsia" w:ascii="楷体_GB2312" w:hAnsi="仿宋" w:eastAsia="楷体_GB2312"/>
          <w:b/>
          <w:sz w:val="32"/>
          <w:szCs w:val="32"/>
        </w:rPr>
        <w:t>经费财政拨款支出决算总体情况说明</w:t>
      </w:r>
      <w:bookmarkEnd w:id="56"/>
      <w:bookmarkEnd w:id="57"/>
    </w:p>
    <w:p>
      <w:pPr>
        <w:snapToGrid w:val="0"/>
        <w:spacing w:line="560" w:lineRule="exact"/>
        <w:ind w:firstLine="800" w:firstLineChars="250"/>
        <w:rPr>
          <w:rFonts w:eastAsia="仿宋_GB2312"/>
          <w:sz w:val="32"/>
          <w:szCs w:val="32"/>
        </w:rPr>
      </w:pPr>
      <w:r>
        <w:rPr>
          <w:rFonts w:eastAsia="仿宋"/>
          <w:sz w:val="32"/>
          <w:szCs w:val="32"/>
        </w:rPr>
        <w:t>2023</w:t>
      </w:r>
      <w:r>
        <w:rPr>
          <w:rFonts w:hAnsi="仿宋" w:eastAsia="仿宋"/>
          <w:sz w:val="32"/>
          <w:szCs w:val="32"/>
        </w:rPr>
        <w:t>年度</w:t>
      </w:r>
      <w:r>
        <w:rPr>
          <w:rFonts w:eastAsia="仿宋"/>
          <w:sz w:val="32"/>
          <w:szCs w:val="32"/>
        </w:rPr>
        <w:t>“</w:t>
      </w:r>
      <w:r>
        <w:rPr>
          <w:rFonts w:hAnsi="仿宋" w:eastAsia="仿宋"/>
          <w:sz w:val="32"/>
          <w:szCs w:val="32"/>
        </w:rPr>
        <w:t>三公</w:t>
      </w:r>
      <w:r>
        <w:rPr>
          <w:rFonts w:eastAsia="仿宋"/>
          <w:sz w:val="32"/>
          <w:szCs w:val="32"/>
        </w:rPr>
        <w:t>”</w:t>
      </w:r>
      <w:r>
        <w:rPr>
          <w:rFonts w:hAnsi="仿宋" w:eastAsia="仿宋"/>
          <w:sz w:val="32"/>
          <w:szCs w:val="32"/>
        </w:rPr>
        <w:t>经费财政拨款支出决算为</w:t>
      </w:r>
      <w:r>
        <w:rPr>
          <w:sz w:val="32"/>
          <w:szCs w:val="32"/>
        </w:rPr>
        <w:t>0.07</w:t>
      </w:r>
      <w:r>
        <w:rPr>
          <w:rFonts w:hAnsi="仿宋" w:eastAsia="仿宋"/>
          <w:sz w:val="32"/>
          <w:szCs w:val="32"/>
        </w:rPr>
        <w:t>万元，完成预算</w:t>
      </w:r>
      <w:r>
        <w:rPr>
          <w:sz w:val="32"/>
          <w:szCs w:val="32"/>
        </w:rPr>
        <w:t>100</w:t>
      </w:r>
      <w:r>
        <w:rPr>
          <w:rFonts w:eastAsia="仿宋"/>
          <w:sz w:val="32"/>
          <w:szCs w:val="32"/>
        </w:rPr>
        <w:t>%</w:t>
      </w:r>
      <w:r>
        <w:rPr>
          <w:rFonts w:hAnsi="仿宋" w:eastAsia="仿宋"/>
          <w:sz w:val="32"/>
          <w:szCs w:val="32"/>
        </w:rPr>
        <w:t>，较上年度减少</w:t>
      </w:r>
      <w:r>
        <w:rPr>
          <w:rFonts w:eastAsia="仿宋"/>
          <w:sz w:val="32"/>
          <w:szCs w:val="32"/>
        </w:rPr>
        <w:t>0.14</w:t>
      </w:r>
      <w:r>
        <w:rPr>
          <w:rFonts w:hAnsi="仿宋" w:eastAsia="仿宋"/>
          <w:sz w:val="32"/>
          <w:szCs w:val="32"/>
        </w:rPr>
        <w:t>万元，下降</w:t>
      </w:r>
      <w:r>
        <w:rPr>
          <w:rFonts w:eastAsia="仿宋"/>
          <w:sz w:val="32"/>
          <w:szCs w:val="32"/>
        </w:rPr>
        <w:t>66.67%</w:t>
      </w:r>
      <w:r>
        <w:rPr>
          <w:rFonts w:hAnsi="仿宋" w:eastAsia="仿宋"/>
          <w:sz w:val="32"/>
          <w:szCs w:val="32"/>
        </w:rPr>
        <w:t>。决算数小于预算数的主要原因是</w:t>
      </w:r>
      <w:r>
        <w:rPr>
          <w:rFonts w:eastAsia="仿宋_GB2312"/>
          <w:sz w:val="32"/>
          <w:szCs w:val="32"/>
        </w:rPr>
        <w:t>严格执行</w:t>
      </w:r>
      <w:r>
        <w:rPr>
          <w:rFonts w:hint="eastAsia" w:eastAsia="仿宋_GB2312"/>
          <w:sz w:val="32"/>
          <w:szCs w:val="32"/>
          <w:lang w:eastAsia="zh-CN"/>
        </w:rPr>
        <w:t>中央八项规定</w:t>
      </w:r>
      <w:r>
        <w:rPr>
          <w:rFonts w:eastAsia="仿宋_GB2312"/>
          <w:sz w:val="32"/>
          <w:szCs w:val="32"/>
        </w:rPr>
        <w:t>和省、市、县“十项规定”，本着厉行节约反对浪费的原则，加强内部财务管理，压缩不必要的开支。</w:t>
      </w:r>
    </w:p>
    <w:p>
      <w:pPr>
        <w:spacing w:line="560" w:lineRule="exact"/>
        <w:ind w:firstLine="640"/>
        <w:outlineLvl w:val="2"/>
        <w:rPr>
          <w:rFonts w:ascii="楷体_GB2312" w:hAnsi="仿宋" w:eastAsia="楷体_GB2312"/>
          <w:b/>
          <w:sz w:val="32"/>
          <w:szCs w:val="32"/>
        </w:rPr>
      </w:pPr>
      <w:bookmarkStart w:id="58" w:name="_Toc177484454"/>
      <w:bookmarkStart w:id="59" w:name="_Toc15377217"/>
      <w:r>
        <w:rPr>
          <w:rFonts w:ascii="楷体_GB2312" w:hAnsi="仿宋" w:eastAsia="楷体_GB2312"/>
          <w:b/>
          <w:sz w:val="32"/>
          <w:szCs w:val="32"/>
        </w:rPr>
        <w:t>（二）“三公”经费财政拨款支出决算具体情况说明</w:t>
      </w:r>
      <w:bookmarkEnd w:id="58"/>
      <w:bookmarkEnd w:id="59"/>
    </w:p>
    <w:p>
      <w:pPr>
        <w:spacing w:line="560" w:lineRule="exact"/>
        <w:ind w:firstLine="640"/>
        <w:rPr>
          <w:rFonts w:eastAsia="仿宋"/>
          <w:sz w:val="32"/>
          <w:szCs w:val="32"/>
        </w:rPr>
      </w:pPr>
      <w:r>
        <w:rPr>
          <w:rFonts w:eastAsia="仿宋"/>
          <w:sz w:val="32"/>
          <w:szCs w:val="32"/>
        </w:rPr>
        <w:t>2023</w:t>
      </w:r>
      <w:r>
        <w:rPr>
          <w:rFonts w:hAnsi="仿宋" w:eastAsia="仿宋"/>
          <w:sz w:val="32"/>
          <w:szCs w:val="32"/>
        </w:rPr>
        <w:t>年度</w:t>
      </w:r>
      <w:r>
        <w:rPr>
          <w:rFonts w:eastAsia="仿宋"/>
          <w:sz w:val="32"/>
          <w:szCs w:val="32"/>
        </w:rPr>
        <w:t>“</w:t>
      </w:r>
      <w:r>
        <w:rPr>
          <w:rFonts w:hAnsi="仿宋" w:eastAsia="仿宋"/>
          <w:sz w:val="32"/>
          <w:szCs w:val="32"/>
        </w:rPr>
        <w:t>三公</w:t>
      </w:r>
      <w:r>
        <w:rPr>
          <w:rFonts w:eastAsia="仿宋"/>
          <w:sz w:val="32"/>
          <w:szCs w:val="32"/>
        </w:rPr>
        <w:t>”</w:t>
      </w:r>
      <w:r>
        <w:rPr>
          <w:rFonts w:hAnsi="仿宋" w:eastAsia="仿宋"/>
          <w:sz w:val="32"/>
          <w:szCs w:val="32"/>
        </w:rPr>
        <w:t>经费财政拨款支出决算中，因公出国（境）费支出决算</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；公务用车购置及运行维护费支出决算</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；公务接待费支出决算</w:t>
      </w:r>
      <w:r>
        <w:rPr>
          <w:sz w:val="32"/>
          <w:szCs w:val="32"/>
        </w:rPr>
        <w:t>0.07</w:t>
      </w:r>
      <w:r>
        <w:rPr>
          <w:rFonts w:hAnsi="仿宋" w:eastAsia="仿宋"/>
          <w:sz w:val="32"/>
          <w:szCs w:val="32"/>
        </w:rPr>
        <w:t>万元，占</w:t>
      </w:r>
      <w:r>
        <w:rPr>
          <w:sz w:val="32"/>
          <w:szCs w:val="32"/>
        </w:rPr>
        <w:t>100</w:t>
      </w:r>
      <w:r>
        <w:rPr>
          <w:rFonts w:eastAsia="仿宋"/>
          <w:sz w:val="32"/>
          <w:szCs w:val="32"/>
        </w:rPr>
        <w:t>%</w:t>
      </w:r>
      <w:r>
        <w:rPr>
          <w:rFonts w:hAnsi="仿宋" w:eastAsia="仿宋"/>
          <w:sz w:val="32"/>
          <w:szCs w:val="32"/>
        </w:rPr>
        <w:t>。具体情况如下：</w:t>
      </w:r>
    </w:p>
    <w:p>
      <w:pPr>
        <w:pStyle w:val="2"/>
      </w:pPr>
      <w:r>
        <w:drawing>
          <wp:inline distT="0" distB="0" distL="0" distR="0">
            <wp:extent cx="5038725" cy="2562225"/>
            <wp:effectExtent l="19050" t="0" r="9525" b="0"/>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560" w:lineRule="exact"/>
        <w:ind w:firstLine="1280" w:firstLineChars="400"/>
        <w:rPr>
          <w:rFonts w:eastAsia="仿宋"/>
          <w:sz w:val="32"/>
          <w:szCs w:val="32"/>
        </w:rPr>
      </w:pPr>
      <w:r>
        <w:rPr>
          <w:rFonts w:hAnsi="仿宋" w:eastAsia="仿宋"/>
          <w:sz w:val="32"/>
          <w:szCs w:val="32"/>
        </w:rPr>
        <w:t>（图</w:t>
      </w:r>
      <w:r>
        <w:rPr>
          <w:rFonts w:eastAsia="仿宋"/>
          <w:sz w:val="32"/>
          <w:szCs w:val="32"/>
        </w:rPr>
        <w:t>7</w:t>
      </w:r>
      <w:r>
        <w:rPr>
          <w:rFonts w:hAnsi="仿宋" w:eastAsia="仿宋"/>
          <w:sz w:val="32"/>
          <w:szCs w:val="32"/>
        </w:rPr>
        <w:t>：</w:t>
      </w:r>
      <w:r>
        <w:rPr>
          <w:rFonts w:eastAsia="仿宋"/>
          <w:sz w:val="32"/>
          <w:szCs w:val="32"/>
        </w:rPr>
        <w:t>“</w:t>
      </w:r>
      <w:r>
        <w:rPr>
          <w:rFonts w:hAnsi="仿宋" w:eastAsia="仿宋"/>
          <w:sz w:val="32"/>
          <w:szCs w:val="32"/>
        </w:rPr>
        <w:t>三公</w:t>
      </w:r>
      <w:r>
        <w:rPr>
          <w:rFonts w:eastAsia="仿宋"/>
          <w:sz w:val="32"/>
          <w:szCs w:val="32"/>
        </w:rPr>
        <w:t>”</w:t>
      </w:r>
      <w:r>
        <w:rPr>
          <w:rFonts w:hAnsi="仿宋" w:eastAsia="仿宋"/>
          <w:sz w:val="32"/>
          <w:szCs w:val="32"/>
        </w:rPr>
        <w:t>经费财政拨款支出结构）</w:t>
      </w:r>
    </w:p>
    <w:p>
      <w:pPr>
        <w:spacing w:line="560" w:lineRule="exact"/>
        <w:ind w:firstLine="640"/>
        <w:rPr>
          <w:rFonts w:eastAsia="仿宋_GB2312"/>
          <w:sz w:val="32"/>
          <w:szCs w:val="32"/>
        </w:rPr>
      </w:pPr>
      <w:r>
        <w:rPr>
          <w:rFonts w:eastAsia="仿宋_GB2312"/>
          <w:sz w:val="32"/>
          <w:szCs w:val="32"/>
        </w:rPr>
        <w:t>1.因公出国（境）经费支出0万元，</w:t>
      </w:r>
      <w:r>
        <w:rPr>
          <w:rStyle w:val="15"/>
          <w:rFonts w:hint="eastAsia" w:ascii="仿宋_GB2312" w:eastAsia="仿宋_GB2312"/>
          <w:b w:val="0"/>
          <w:bCs/>
          <w:sz w:val="32"/>
          <w:szCs w:val="32"/>
        </w:rPr>
        <w:t>完成预算</w:t>
      </w:r>
      <w:r>
        <w:rPr>
          <w:rFonts w:hint="eastAsia" w:ascii="仿宋_GB2312" w:eastAsia="仿宋_GB2312"/>
          <w:sz w:val="32"/>
          <w:szCs w:val="32"/>
        </w:rPr>
        <w:t>0</w:t>
      </w:r>
      <w:r>
        <w:rPr>
          <w:rStyle w:val="15"/>
          <w:rFonts w:hint="eastAsia" w:ascii="仿宋_GB2312" w:eastAsia="仿宋_GB2312"/>
          <w:b w:val="0"/>
          <w:bCs/>
          <w:sz w:val="32"/>
          <w:szCs w:val="32"/>
        </w:rPr>
        <w:t>%。</w:t>
      </w:r>
      <w:r>
        <w:rPr>
          <w:rFonts w:eastAsia="仿宋_GB2312"/>
          <w:sz w:val="32"/>
          <w:szCs w:val="32"/>
        </w:rPr>
        <w:t>全年安排因公出国（境）团组0次，出国（境）0人。</w:t>
      </w:r>
    </w:p>
    <w:p>
      <w:pPr>
        <w:spacing w:line="560" w:lineRule="exact"/>
        <w:ind w:firstLine="640"/>
        <w:rPr>
          <w:rFonts w:eastAsia="仿宋_GB2312"/>
          <w:sz w:val="32"/>
          <w:szCs w:val="32"/>
        </w:rPr>
      </w:pPr>
      <w:r>
        <w:rPr>
          <w:rFonts w:eastAsia="仿宋_GB2312"/>
          <w:sz w:val="32"/>
          <w:szCs w:val="32"/>
        </w:rPr>
        <w:t>2.公务用车购置及运行维护费支出0万元,</w:t>
      </w:r>
      <w:r>
        <w:rPr>
          <w:rStyle w:val="15"/>
          <w:rFonts w:eastAsia="仿宋_GB2312"/>
          <w:b w:val="0"/>
          <w:bCs/>
          <w:sz w:val="32"/>
          <w:szCs w:val="32"/>
        </w:rPr>
        <w:t>完成预算</w:t>
      </w:r>
      <w:r>
        <w:rPr>
          <w:rFonts w:eastAsia="仿宋_GB2312"/>
          <w:b w:val="0"/>
          <w:bCs/>
          <w:sz w:val="32"/>
          <w:szCs w:val="32"/>
        </w:rPr>
        <w:t>0</w:t>
      </w:r>
      <w:r>
        <w:rPr>
          <w:rStyle w:val="15"/>
          <w:rFonts w:eastAsia="仿宋_GB2312"/>
          <w:b w:val="0"/>
          <w:bCs/>
          <w:sz w:val="32"/>
          <w:szCs w:val="32"/>
        </w:rPr>
        <w:t>%</w:t>
      </w:r>
      <w:r>
        <w:rPr>
          <w:rStyle w:val="15"/>
          <w:rFonts w:eastAsia="仿宋_GB2312"/>
          <w:bCs/>
          <w:sz w:val="32"/>
          <w:szCs w:val="32"/>
        </w:rPr>
        <w:t>。</w:t>
      </w:r>
    </w:p>
    <w:p>
      <w:pPr>
        <w:snapToGrid w:val="0"/>
        <w:spacing w:line="560" w:lineRule="exact"/>
        <w:ind w:firstLine="627" w:firstLineChars="196"/>
        <w:rPr>
          <w:rFonts w:eastAsia="仿宋_GB2312"/>
          <w:sz w:val="32"/>
          <w:szCs w:val="32"/>
        </w:rPr>
      </w:pPr>
      <w:r>
        <w:rPr>
          <w:rFonts w:eastAsia="仿宋_GB2312"/>
          <w:sz w:val="32"/>
          <w:szCs w:val="32"/>
        </w:rPr>
        <w:t>3.公务接待费支出0.07万元，完成预算11.67%</w:t>
      </w:r>
      <w:r>
        <w:rPr>
          <w:rFonts w:eastAsia="仿宋_GB2312"/>
        </w:rPr>
        <w:t>。</w:t>
      </w:r>
      <w:r>
        <w:rPr>
          <w:rFonts w:eastAsia="仿宋_GB2312"/>
          <w:sz w:val="32"/>
          <w:szCs w:val="32"/>
        </w:rPr>
        <w:t>公务接待费支出决算比2022年度减少0.14万元，下降66.67%。主要原因是严格执行</w:t>
      </w:r>
      <w:r>
        <w:rPr>
          <w:rFonts w:hint="eastAsia" w:eastAsia="仿宋_GB2312"/>
          <w:sz w:val="32"/>
          <w:szCs w:val="32"/>
          <w:lang w:eastAsia="zh-CN"/>
        </w:rPr>
        <w:t>中央八项规定</w:t>
      </w:r>
      <w:bookmarkStart w:id="81" w:name="_GoBack"/>
      <w:bookmarkEnd w:id="81"/>
      <w:r>
        <w:rPr>
          <w:rFonts w:eastAsia="仿宋_GB2312"/>
          <w:sz w:val="32"/>
          <w:szCs w:val="32"/>
        </w:rPr>
        <w:t>和省、市、县“十项规定”，本着厉行节约的原则，加强内部财务管理，压缩不必要的开支。</w:t>
      </w:r>
    </w:p>
    <w:p>
      <w:pPr>
        <w:spacing w:line="600" w:lineRule="exact"/>
        <w:ind w:firstLine="640"/>
        <w:rPr>
          <w:rFonts w:eastAsia="仿宋_GB2312"/>
          <w:sz w:val="32"/>
          <w:szCs w:val="32"/>
        </w:rPr>
      </w:pPr>
      <w:r>
        <w:rPr>
          <w:rFonts w:eastAsia="仿宋_GB2312"/>
          <w:sz w:val="32"/>
          <w:szCs w:val="32"/>
        </w:rPr>
        <w:t>其中：国内公务接待支出0.07万元，主要用于执行公务、开展信访业务开支的用餐费。国内公务接待1批次，4人次（不包括陪同人员），共计支出0.07万元，具体内容包括：接待市信访局一行人研究信访事项，</w:t>
      </w:r>
      <w:r>
        <w:rPr>
          <w:rFonts w:eastAsia="仿宋_GB2312"/>
          <w:color w:val="000000"/>
          <w:sz w:val="32"/>
          <w:szCs w:val="32"/>
        </w:rPr>
        <w:t>督查信访积案办理</w:t>
      </w:r>
      <w:r>
        <w:rPr>
          <w:rFonts w:eastAsia="仿宋_GB2312"/>
          <w:sz w:val="32"/>
          <w:szCs w:val="32"/>
        </w:rPr>
        <w:t>，接待支出金额为0.07万元。</w:t>
      </w:r>
      <w:bookmarkStart w:id="60" w:name="_Toc15377218"/>
      <w:bookmarkStart w:id="61" w:name="_Toc15396610"/>
    </w:p>
    <w:p>
      <w:pPr>
        <w:spacing w:line="600" w:lineRule="exact"/>
        <w:ind w:firstLine="640"/>
        <w:outlineLvl w:val="1"/>
        <w:rPr>
          <w:rStyle w:val="18"/>
          <w:rFonts w:ascii="Times New Roman" w:hAnsi="Times New Roman" w:eastAsia="黑体" w:cs="Times New Roman"/>
          <w:b w:val="0"/>
        </w:rPr>
      </w:pPr>
      <w:bookmarkStart w:id="62" w:name="_Toc177484455"/>
      <w:r>
        <w:rPr>
          <w:rFonts w:eastAsia="黑体"/>
          <w:sz w:val="32"/>
          <w:szCs w:val="32"/>
        </w:rPr>
        <w:t>八、</w:t>
      </w:r>
      <w:r>
        <w:rPr>
          <w:rStyle w:val="18"/>
          <w:rFonts w:ascii="Times New Roman" w:hAnsi="黑体" w:eastAsia="黑体" w:cs="Times New Roman"/>
          <w:b w:val="0"/>
        </w:rPr>
        <w:t>政府性基金预算支出决算情况说明</w:t>
      </w:r>
      <w:bookmarkEnd w:id="60"/>
      <w:bookmarkEnd w:id="61"/>
      <w:bookmarkEnd w:id="62"/>
    </w:p>
    <w:p>
      <w:pPr>
        <w:spacing w:line="600" w:lineRule="exact"/>
        <w:ind w:firstLine="640"/>
        <w:rPr>
          <w:rFonts w:eastAsia="仿宋_GB2312"/>
          <w:sz w:val="32"/>
          <w:szCs w:val="32"/>
        </w:rPr>
      </w:pPr>
      <w:r>
        <w:rPr>
          <w:rFonts w:eastAsia="仿宋_GB2312"/>
          <w:sz w:val="32"/>
          <w:szCs w:val="32"/>
        </w:rPr>
        <w:t>2023年度政府性基金预算财政拨款支出</w:t>
      </w:r>
      <w:r>
        <w:rPr>
          <w:sz w:val="32"/>
          <w:szCs w:val="32"/>
        </w:rPr>
        <w:t>0</w:t>
      </w:r>
      <w:r>
        <w:rPr>
          <w:rFonts w:eastAsia="仿宋_GB2312"/>
          <w:sz w:val="32"/>
          <w:szCs w:val="32"/>
        </w:rPr>
        <w:t>万元。</w:t>
      </w:r>
    </w:p>
    <w:p>
      <w:pPr>
        <w:numPr>
          <w:ilvl w:val="0"/>
          <w:numId w:val="3"/>
        </w:numPr>
        <w:spacing w:line="600" w:lineRule="exact"/>
        <w:ind w:firstLine="640"/>
        <w:outlineLvl w:val="1"/>
        <w:rPr>
          <w:rStyle w:val="18"/>
          <w:rFonts w:ascii="Times New Roman" w:hAnsi="Times New Roman" w:eastAsia="黑体" w:cs="Times New Roman"/>
          <w:b w:val="0"/>
        </w:rPr>
      </w:pPr>
      <w:bookmarkStart w:id="63" w:name="_Toc177484456"/>
      <w:bookmarkStart w:id="64" w:name="_Toc15396611"/>
      <w:bookmarkStart w:id="65" w:name="_Toc15377219"/>
      <w:r>
        <w:rPr>
          <w:rStyle w:val="18"/>
          <w:rFonts w:ascii="Times New Roman" w:hAnsi="黑体" w:eastAsia="黑体" w:cs="Times New Roman"/>
          <w:b w:val="0"/>
        </w:rPr>
        <w:t>国有资本经营预算支出决算情况说明</w:t>
      </w:r>
      <w:bookmarkEnd w:id="63"/>
      <w:bookmarkEnd w:id="64"/>
      <w:bookmarkEnd w:id="65"/>
    </w:p>
    <w:p>
      <w:pPr>
        <w:spacing w:line="600" w:lineRule="exact"/>
        <w:ind w:firstLine="640"/>
        <w:rPr>
          <w:rFonts w:eastAsia="仿宋_GB2312"/>
          <w:sz w:val="32"/>
          <w:szCs w:val="32"/>
        </w:rPr>
      </w:pPr>
      <w:r>
        <w:rPr>
          <w:rFonts w:eastAsia="仿宋_GB2312"/>
          <w:sz w:val="32"/>
          <w:szCs w:val="32"/>
        </w:rPr>
        <w:t>2023年度国有资本经营预算财政拨款支出</w:t>
      </w:r>
      <w:r>
        <w:rPr>
          <w:sz w:val="32"/>
          <w:szCs w:val="32"/>
        </w:rPr>
        <w:t>0</w:t>
      </w:r>
      <w:r>
        <w:rPr>
          <w:rFonts w:eastAsia="仿宋_GB2312"/>
          <w:sz w:val="32"/>
          <w:szCs w:val="32"/>
        </w:rPr>
        <w:t>万元。</w:t>
      </w:r>
    </w:p>
    <w:p>
      <w:pPr>
        <w:numPr>
          <w:ilvl w:val="0"/>
          <w:numId w:val="3"/>
        </w:numPr>
        <w:spacing w:line="600" w:lineRule="exact"/>
        <w:ind w:firstLine="640"/>
        <w:outlineLvl w:val="1"/>
        <w:rPr>
          <w:rStyle w:val="18"/>
          <w:rFonts w:ascii="Times New Roman" w:hAnsi="Times New Roman" w:eastAsia="黑体" w:cs="Times New Roman"/>
          <w:b w:val="0"/>
        </w:rPr>
      </w:pPr>
      <w:bookmarkStart w:id="66" w:name="_Toc15396612"/>
      <w:bookmarkStart w:id="67" w:name="_Toc177484457"/>
      <w:bookmarkStart w:id="68" w:name="_Toc15377221"/>
      <w:r>
        <w:rPr>
          <w:rStyle w:val="18"/>
          <w:rFonts w:ascii="Times New Roman" w:hAnsi="黑体" w:eastAsia="黑体" w:cs="Times New Roman"/>
          <w:b w:val="0"/>
        </w:rPr>
        <w:t>其他重要事项的情况说明</w:t>
      </w:r>
      <w:bookmarkEnd w:id="66"/>
      <w:bookmarkEnd w:id="67"/>
      <w:bookmarkEnd w:id="68"/>
    </w:p>
    <w:p>
      <w:pPr>
        <w:spacing w:line="600" w:lineRule="exact"/>
        <w:ind w:firstLine="642" w:firstLineChars="200"/>
        <w:outlineLvl w:val="2"/>
        <w:rPr>
          <w:rFonts w:ascii="楷体_GB2312" w:eastAsia="楷体_GB2312"/>
          <w:sz w:val="32"/>
          <w:szCs w:val="32"/>
        </w:rPr>
      </w:pPr>
      <w:bookmarkStart w:id="69" w:name="_Toc15377222"/>
      <w:bookmarkStart w:id="70" w:name="_Toc177484458"/>
      <w:r>
        <w:rPr>
          <w:rFonts w:hint="eastAsia" w:ascii="楷体_GB2312" w:hAnsi="仿宋" w:eastAsia="楷体_GB2312"/>
          <w:b/>
          <w:sz w:val="32"/>
          <w:szCs w:val="32"/>
        </w:rPr>
        <w:t>（一）机关运行经费支出情况</w:t>
      </w:r>
      <w:bookmarkEnd w:id="69"/>
      <w:bookmarkEnd w:id="70"/>
    </w:p>
    <w:p>
      <w:pPr>
        <w:spacing w:line="600" w:lineRule="exact"/>
        <w:ind w:firstLine="640" w:firstLineChars="200"/>
        <w:rPr>
          <w:rFonts w:eastAsia="仿宋_GB2312"/>
          <w:sz w:val="32"/>
          <w:szCs w:val="32"/>
        </w:rPr>
      </w:pPr>
      <w:r>
        <w:rPr>
          <w:rFonts w:eastAsia="仿宋_GB2312"/>
          <w:sz w:val="32"/>
          <w:szCs w:val="32"/>
        </w:rPr>
        <w:t>2023年度，沐川县信访局机关运行经费支出</w:t>
      </w:r>
      <w:r>
        <w:rPr>
          <w:sz w:val="32"/>
          <w:szCs w:val="32"/>
        </w:rPr>
        <w:t>17.72</w:t>
      </w:r>
      <w:r>
        <w:rPr>
          <w:rFonts w:eastAsia="仿宋_GB2312"/>
          <w:sz w:val="32"/>
          <w:szCs w:val="32"/>
        </w:rPr>
        <w:t>万元，比2022年度增加2.77万元，增长18.53%。主要原因是新进两名行政人员，机关运行经费支出增加。</w:t>
      </w:r>
    </w:p>
    <w:p>
      <w:pPr>
        <w:spacing w:line="600" w:lineRule="exact"/>
        <w:ind w:firstLine="642" w:firstLineChars="200"/>
        <w:outlineLvl w:val="2"/>
        <w:rPr>
          <w:rFonts w:ascii="楷体_GB2312" w:hAnsi="仿宋" w:eastAsia="楷体_GB2312"/>
          <w:b/>
          <w:sz w:val="32"/>
          <w:szCs w:val="32"/>
        </w:rPr>
      </w:pPr>
      <w:bookmarkStart w:id="71" w:name="_Toc177484459"/>
      <w:bookmarkStart w:id="72" w:name="_Toc15377223"/>
      <w:r>
        <w:rPr>
          <w:rFonts w:ascii="楷体_GB2312" w:hAnsi="仿宋" w:eastAsia="楷体_GB2312"/>
          <w:b/>
          <w:sz w:val="32"/>
          <w:szCs w:val="32"/>
        </w:rPr>
        <w:t>（二）政府采购支出情况</w:t>
      </w:r>
      <w:bookmarkEnd w:id="71"/>
      <w:bookmarkEnd w:id="72"/>
    </w:p>
    <w:p>
      <w:pPr>
        <w:spacing w:line="600" w:lineRule="exact"/>
        <w:ind w:firstLine="640" w:firstLineChars="200"/>
        <w:rPr>
          <w:rFonts w:eastAsia="仿宋_GB2312"/>
          <w:sz w:val="32"/>
          <w:szCs w:val="32"/>
        </w:rPr>
      </w:pPr>
      <w:r>
        <w:rPr>
          <w:rFonts w:eastAsia="仿宋_GB2312"/>
          <w:sz w:val="32"/>
          <w:szCs w:val="32"/>
        </w:rPr>
        <w:t>2023年度，沐川县信访局政府采购支出总额</w:t>
      </w:r>
      <w:r>
        <w:rPr>
          <w:sz w:val="32"/>
          <w:szCs w:val="32"/>
        </w:rPr>
        <w:t>1.48</w:t>
      </w:r>
      <w:r>
        <w:rPr>
          <w:rFonts w:eastAsia="仿宋_GB2312"/>
          <w:sz w:val="32"/>
          <w:szCs w:val="32"/>
        </w:rPr>
        <w:t>万元，其中：政府采购货物支出</w:t>
      </w:r>
      <w:r>
        <w:rPr>
          <w:sz w:val="32"/>
          <w:szCs w:val="32"/>
        </w:rPr>
        <w:t>1.48</w:t>
      </w:r>
      <w:r>
        <w:rPr>
          <w:rFonts w:eastAsia="仿宋_GB2312"/>
          <w:sz w:val="32"/>
          <w:szCs w:val="32"/>
        </w:rPr>
        <w:t>万元，用于采购国产电脑2台、多功能一体机1台。政府采购工程支出</w:t>
      </w:r>
      <w:r>
        <w:rPr>
          <w:sz w:val="32"/>
          <w:szCs w:val="32"/>
        </w:rPr>
        <w:t>0</w:t>
      </w:r>
      <w:r>
        <w:rPr>
          <w:rFonts w:eastAsia="仿宋_GB2312"/>
          <w:sz w:val="32"/>
          <w:szCs w:val="32"/>
        </w:rPr>
        <w:t>万元、政府采购服务支出</w:t>
      </w:r>
      <w:r>
        <w:rPr>
          <w:sz w:val="32"/>
          <w:szCs w:val="32"/>
        </w:rPr>
        <w:t>0</w:t>
      </w:r>
      <w:r>
        <w:rPr>
          <w:rFonts w:eastAsia="仿宋_GB2312"/>
          <w:sz w:val="32"/>
          <w:szCs w:val="32"/>
        </w:rPr>
        <w:t>万元。授予中小企业合同金额</w:t>
      </w:r>
      <w:r>
        <w:rPr>
          <w:sz w:val="32"/>
          <w:szCs w:val="32"/>
        </w:rPr>
        <w:t>0</w:t>
      </w:r>
      <w:r>
        <w:rPr>
          <w:rFonts w:eastAsia="仿宋_GB2312"/>
          <w:sz w:val="32"/>
          <w:szCs w:val="32"/>
        </w:rPr>
        <w:t>万元，占政府采购支出总额的</w:t>
      </w:r>
      <w:r>
        <w:rPr>
          <w:sz w:val="32"/>
          <w:szCs w:val="32"/>
        </w:rPr>
        <w:t>0</w:t>
      </w:r>
      <w:r>
        <w:rPr>
          <w:rFonts w:eastAsia="仿宋_GB2312"/>
          <w:sz w:val="32"/>
          <w:szCs w:val="32"/>
        </w:rPr>
        <w:t>%，其中：授予小微企业合同金额</w:t>
      </w:r>
      <w:r>
        <w:rPr>
          <w:sz w:val="32"/>
          <w:szCs w:val="32"/>
        </w:rPr>
        <w:t>0</w:t>
      </w:r>
      <w:r>
        <w:rPr>
          <w:rFonts w:eastAsia="仿宋_GB2312"/>
          <w:sz w:val="32"/>
          <w:szCs w:val="32"/>
        </w:rPr>
        <w:t>万元，占政府采购支出总额的</w:t>
      </w:r>
      <w:r>
        <w:rPr>
          <w:sz w:val="32"/>
          <w:szCs w:val="32"/>
        </w:rPr>
        <w:t>0</w:t>
      </w:r>
      <w:r>
        <w:rPr>
          <w:rFonts w:eastAsia="仿宋_GB2312"/>
          <w:sz w:val="32"/>
          <w:szCs w:val="32"/>
        </w:rPr>
        <w:t>%。</w:t>
      </w:r>
    </w:p>
    <w:p>
      <w:pPr>
        <w:spacing w:line="600" w:lineRule="exact"/>
        <w:ind w:firstLine="642" w:firstLineChars="200"/>
        <w:outlineLvl w:val="2"/>
        <w:rPr>
          <w:rFonts w:ascii="楷体_GB2312" w:hAnsi="仿宋" w:eastAsia="楷体_GB2312"/>
          <w:b/>
          <w:sz w:val="32"/>
          <w:szCs w:val="32"/>
        </w:rPr>
      </w:pPr>
      <w:bookmarkStart w:id="73" w:name="_Toc177484460"/>
      <w:bookmarkStart w:id="74" w:name="_Toc15377224"/>
      <w:r>
        <w:rPr>
          <w:rFonts w:ascii="楷体_GB2312" w:hAnsi="仿宋" w:eastAsia="楷体_GB2312"/>
          <w:b/>
          <w:sz w:val="32"/>
          <w:szCs w:val="32"/>
        </w:rPr>
        <w:t>（三）国有资产占有使用情况</w:t>
      </w:r>
      <w:bookmarkEnd w:id="73"/>
      <w:bookmarkEnd w:id="74"/>
    </w:p>
    <w:p>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截至2023年12月31日，沐川县信访局共有车辆0辆，其中：主要领导干部用车0辆、机要通信用车0辆、应急保障用车0辆、其他用车0辆。单价100万元以上设备（不含车辆）</w:t>
      </w:r>
      <w:r>
        <w:rPr>
          <w:sz w:val="32"/>
          <w:szCs w:val="32"/>
        </w:rPr>
        <w:t>0</w:t>
      </w:r>
      <w:r>
        <w:rPr>
          <w:rFonts w:eastAsia="仿宋_GB2312"/>
          <w:sz w:val="32"/>
          <w:szCs w:val="32"/>
        </w:rPr>
        <w:t>台（套）。</w:t>
      </w:r>
    </w:p>
    <w:p>
      <w:pPr>
        <w:autoSpaceDE w:val="0"/>
        <w:autoSpaceDN w:val="0"/>
        <w:adjustRightInd w:val="0"/>
        <w:spacing w:line="600" w:lineRule="exact"/>
        <w:ind w:firstLine="642" w:firstLineChars="200"/>
        <w:jc w:val="left"/>
        <w:outlineLvl w:val="2"/>
        <w:rPr>
          <w:rFonts w:ascii="楷体_GB2312" w:hAnsi="仿宋" w:eastAsia="楷体_GB2312"/>
          <w:b/>
          <w:sz w:val="32"/>
          <w:szCs w:val="32"/>
        </w:rPr>
      </w:pPr>
      <w:bookmarkStart w:id="75" w:name="_Toc177484461"/>
      <w:r>
        <w:rPr>
          <w:rFonts w:ascii="楷体_GB2312" w:hAnsi="仿宋" w:eastAsia="楷体_GB2312"/>
          <w:b/>
          <w:sz w:val="32"/>
          <w:szCs w:val="32"/>
        </w:rPr>
        <w:t>（四）预算绩效管理情况</w:t>
      </w:r>
      <w:bookmarkEnd w:id="75"/>
    </w:p>
    <w:p>
      <w:pPr>
        <w:pStyle w:val="2"/>
        <w:spacing w:line="600" w:lineRule="exact"/>
        <w:ind w:firstLine="480" w:firstLineChars="150"/>
        <w:rPr>
          <w:rFonts w:hint="eastAsia" w:ascii="Times New Roman" w:hAnsi="Times New Roman" w:eastAsia="仿宋_GB2312"/>
          <w:b w:val="0"/>
          <w:sz w:val="32"/>
          <w:szCs w:val="32"/>
          <w:lang w:eastAsia="zh-CN"/>
        </w:rPr>
      </w:pPr>
      <w:r>
        <w:rPr>
          <w:rFonts w:ascii="Times New Roman" w:hAnsi="Times New Roman" w:eastAsia="仿宋_GB2312"/>
          <w:b w:val="0"/>
          <w:sz w:val="32"/>
          <w:szCs w:val="32"/>
        </w:rPr>
        <w:t>根据预算绩效管理要求，本部门在2023年度预算编制阶段，组织对政务运转工作经费项目、特殊疑难信访问题专项资金项目开展了预算事前绩效评估，对2个项目编制了绩效目标，预算执行过程中，选取2个项目开展绩效监控</w:t>
      </w:r>
      <w:r>
        <w:rPr>
          <w:rFonts w:hint="eastAsia" w:ascii="Times New Roman" w:hAnsi="Times New Roman" w:eastAsia="仿宋_GB2312"/>
          <w:b w:val="0"/>
          <w:sz w:val="32"/>
          <w:szCs w:val="32"/>
          <w:lang w:eastAsia="zh-CN"/>
        </w:rPr>
        <w:t>。</w:t>
      </w:r>
    </w:p>
    <w:p>
      <w:pPr>
        <w:spacing w:line="600" w:lineRule="exact"/>
        <w:ind w:firstLine="640" w:firstLineChars="200"/>
        <w:rPr>
          <w:rFonts w:eastAsia="仿宋_GB2312"/>
          <w:sz w:val="32"/>
          <w:szCs w:val="32"/>
        </w:rPr>
      </w:pPr>
      <w:r>
        <w:rPr>
          <w:rFonts w:eastAsia="仿宋_GB2312"/>
          <w:sz w:val="32"/>
          <w:szCs w:val="32"/>
        </w:rPr>
        <w:t>组织对2023年度一般公共预算、政府性基金预算、国有资本经营预算、社会保险基金预算以及资本资产、债券资金等全面开展绩效自评，形成沐川县信访局部门整体（含部门预算项目）绩效自评报告、特殊疑难信访问题专项资金专项预算项目绩效自评报告，其中，沐川县信访局部门整体（含部门预算项目）绩效自评得分为90分，绩效自评综述：从评价情况来看，群众信访渠道进一步畅通，圆满完成各项工作任务，切实维护了群众合法权益，维护了我县社会和谐稳定。部门预、决算编制合理，支出规范，财政支出既确保了机关正常运转，又保证了项目开支，财政支出绩效良好；特殊疑难信访问题专项资金专项预算项目绩效自评得分为90分，绩效自评综述：</w:t>
      </w:r>
      <w:r>
        <w:rPr>
          <w:rFonts w:eastAsia="仿宋_GB2312"/>
          <w:color w:val="000000"/>
          <w:sz w:val="32"/>
          <w:szCs w:val="32"/>
        </w:rPr>
        <w:t>总体较好，在做好信访稳定工作的同时，充分实现事要解决、案结事了、和谐社会的目标，解决长期积累、久拖未决、难以划分责任主体或无法追查责任单位的特殊疑难信访问题，特别是对事关民生的“无头案、钉子案、骨头案”的当事人实施适度救助，达到息访息诉，极大限度降低进京赴省到市非正常重复上访量</w:t>
      </w:r>
      <w:r>
        <w:rPr>
          <w:rFonts w:eastAsia="仿宋_GB2312"/>
          <w:sz w:val="32"/>
          <w:szCs w:val="32"/>
        </w:rPr>
        <w:t>。绩效自评报告详见附件。</w:t>
      </w:r>
    </w:p>
    <w:p>
      <w:pPr>
        <w:pStyle w:val="2"/>
        <w:rPr>
          <w:rFonts w:ascii="黑体" w:hAnsi="黑体"/>
          <w:b w:val="0"/>
        </w:rPr>
      </w:pPr>
    </w:p>
    <w:p>
      <w:pPr>
        <w:pStyle w:val="3"/>
        <w:spacing w:line="560" w:lineRule="exact"/>
        <w:jc w:val="center"/>
        <w:rPr>
          <w:rFonts w:ascii="黑体" w:hAnsi="黑体" w:eastAsia="黑体"/>
          <w:b w:val="0"/>
        </w:rPr>
      </w:pPr>
      <w:bookmarkStart w:id="76" w:name="_Toc177484462"/>
      <w:r>
        <w:rPr>
          <w:rFonts w:ascii="黑体" w:hAnsi="黑体" w:eastAsia="黑体"/>
          <w:b w:val="0"/>
        </w:rPr>
        <w:t>第</w:t>
      </w:r>
      <w:r>
        <w:rPr>
          <w:rFonts w:hint="eastAsia" w:ascii="黑体" w:hAnsi="黑体" w:eastAsia="黑体"/>
          <w:b w:val="0"/>
        </w:rPr>
        <w:t>三</w:t>
      </w:r>
      <w:r>
        <w:rPr>
          <w:rFonts w:ascii="黑体" w:hAnsi="黑体" w:eastAsia="黑体"/>
          <w:b w:val="0"/>
        </w:rPr>
        <w:t>部分</w:t>
      </w:r>
      <w:r>
        <w:rPr>
          <w:rFonts w:hint="eastAsia" w:ascii="黑体" w:hAnsi="黑体" w:eastAsia="黑体"/>
          <w:b w:val="0"/>
        </w:rPr>
        <w:t xml:space="preserve"> </w:t>
      </w:r>
      <w:r>
        <w:rPr>
          <w:rFonts w:ascii="黑体" w:hAnsi="黑体" w:eastAsia="黑体"/>
          <w:b w:val="0"/>
        </w:rPr>
        <w:t>名词解释</w:t>
      </w:r>
      <w:bookmarkEnd w:id="76"/>
    </w:p>
    <w:p>
      <w:pPr>
        <w:spacing w:line="560" w:lineRule="exact"/>
        <w:ind w:firstLine="640" w:firstLineChars="200"/>
        <w:rPr>
          <w:rFonts w:eastAsia="仿宋_GB2312"/>
          <w:sz w:val="32"/>
          <w:szCs w:val="32"/>
        </w:rPr>
      </w:pPr>
      <w:r>
        <w:rPr>
          <w:rFonts w:eastAsia="仿宋_GB2312"/>
          <w:sz w:val="32"/>
          <w:szCs w:val="32"/>
        </w:rPr>
        <w:t>1.财政拨款收入：指单位从同级财政部门取得的财政预算资金。</w:t>
      </w:r>
    </w:p>
    <w:p>
      <w:pPr>
        <w:spacing w:line="560" w:lineRule="exact"/>
        <w:ind w:firstLine="640" w:firstLineChars="200"/>
        <w:rPr>
          <w:rFonts w:eastAsia="仿宋_GB2312"/>
          <w:sz w:val="32"/>
          <w:szCs w:val="32"/>
        </w:rPr>
      </w:pPr>
      <w:r>
        <w:rPr>
          <w:rFonts w:eastAsia="仿宋_GB2312"/>
          <w:sz w:val="32"/>
          <w:szCs w:val="32"/>
        </w:rPr>
        <w:t xml:space="preserve">2.年初结转和结余：指以前年度尚未完成、结转到本年按有关规定继续使用的资金。 </w:t>
      </w:r>
    </w:p>
    <w:p>
      <w:pPr>
        <w:spacing w:line="560" w:lineRule="exact"/>
        <w:ind w:firstLine="640" w:firstLineChars="200"/>
        <w:rPr>
          <w:rFonts w:eastAsia="仿宋_GB2312"/>
          <w:sz w:val="32"/>
          <w:szCs w:val="32"/>
        </w:rPr>
      </w:pPr>
      <w:r>
        <w:rPr>
          <w:rFonts w:eastAsia="仿宋_GB2312"/>
          <w:sz w:val="32"/>
          <w:szCs w:val="32"/>
        </w:rPr>
        <w:t>3.结余分配：指事业单位按照会计制度规定缴纳的所得税、提取的专用结余以及转入非财政拨款结余的金额等。</w:t>
      </w:r>
    </w:p>
    <w:p>
      <w:pPr>
        <w:spacing w:line="560" w:lineRule="exact"/>
        <w:ind w:firstLine="640" w:firstLineChars="200"/>
        <w:rPr>
          <w:rFonts w:eastAsia="仿宋_GB2312"/>
          <w:sz w:val="32"/>
          <w:szCs w:val="32"/>
        </w:rPr>
      </w:pPr>
      <w:r>
        <w:rPr>
          <w:rFonts w:eastAsia="仿宋_GB2312"/>
          <w:sz w:val="32"/>
          <w:szCs w:val="32"/>
        </w:rPr>
        <w:t>4.年末结转和结余：指单位按有关规定结转到下年或以后年度继续使用的资金。</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5.财政拨款收入：指单位从同级财政部门取得的财政预算资金。</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6.年初结转和结余：指以前年度尚未完成、结转到本年按有关规定继续使用的资金。 </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7.年末结转和结余：指单位按有关规定结转到下年或以后年度继续使用的资金。</w:t>
      </w:r>
    </w:p>
    <w:p>
      <w:pPr>
        <w:pStyle w:val="24"/>
        <w:spacing w:line="560" w:lineRule="exact"/>
        <w:ind w:firstLine="640" w:firstLineChars="200"/>
        <w:rPr>
          <w:rFonts w:ascii="Times New Roman" w:hAnsi="Times New Roman" w:eastAsia="仿宋_GB2312" w:cs="Times New Roman"/>
          <w:sz w:val="32"/>
          <w:szCs w:val="32"/>
        </w:rPr>
      </w:pPr>
      <w:r>
        <w:rPr>
          <w:rStyle w:val="15"/>
          <w:rFonts w:ascii="Times New Roman" w:hAnsi="Times New Roman" w:eastAsia="仿宋_GB2312" w:cs="Times New Roman"/>
          <w:b w:val="0"/>
          <w:sz w:val="32"/>
          <w:szCs w:val="32"/>
        </w:rPr>
        <w:t>8.一般公共服务（类）政府办公厅（室）及相关机构事务（款）行政运行（项）：反映行政单位（包括实行公务员管理的事业单位）的基本支出。</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一般公共服务（类）政府办公厅（室）及相关机构事务（款）信访事务（项）：指保障县信访局机关、下属事业单位等机构正常运转的日常支出，包括基本工资、津贴补贴等人员经费以及办公费、印刷费、水电费、办公设备购置等日常公用经费。以及完成特定的行政工作任务或事业发展目标，用于专项业务工作的经费支出。</w:t>
      </w:r>
    </w:p>
    <w:p>
      <w:pPr>
        <w:pStyle w:val="24"/>
        <w:spacing w:line="560" w:lineRule="exact"/>
        <w:ind w:firstLine="640" w:firstLineChars="200"/>
        <w:rPr>
          <w:rFonts w:ascii="Times New Roman" w:hAnsi="Times New Roman" w:eastAsia="仿宋_GB2312" w:cs="Times New Roman"/>
          <w:sz w:val="32"/>
          <w:szCs w:val="32"/>
        </w:rPr>
      </w:pPr>
      <w:r>
        <w:rPr>
          <w:rStyle w:val="15"/>
          <w:rFonts w:ascii="Times New Roman" w:hAnsi="Times New Roman" w:eastAsia="仿宋_GB2312" w:cs="Times New Roman"/>
          <w:b w:val="0"/>
          <w:sz w:val="32"/>
          <w:szCs w:val="32"/>
        </w:rPr>
        <w:t>10.一般公共服务（类）政府办公厅（室）及相关机构事务（款）事业运行（项）：反映事业单位的基本支出，不包括行政单位（包括实行公务员管理的事业单位）后勤服务中心、医务室等附属事业单位。</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11.社会保障和就业（类）行政事业单位养老支出（款）机关事业单位基本养老保险缴费支出（项）:指县信访局机关及下属事业单位按照规定标准为职工缴纳机关事业单位基本养老保险费等支出。</w:t>
      </w:r>
    </w:p>
    <w:p>
      <w:pPr>
        <w:pStyle w:val="24"/>
        <w:spacing w:line="560" w:lineRule="exact"/>
        <w:ind w:firstLine="640" w:firstLineChars="200"/>
        <w:rPr>
          <w:rStyle w:val="15"/>
          <w:rFonts w:ascii="Times New Roman" w:hAnsi="Times New Roman" w:eastAsia="仿宋_GB2312" w:cs="Times New Roman"/>
          <w:b w:val="0"/>
          <w:bCs/>
          <w:sz w:val="32"/>
          <w:szCs w:val="32"/>
        </w:rPr>
      </w:pPr>
      <w:r>
        <w:rPr>
          <w:rStyle w:val="15"/>
          <w:rFonts w:ascii="Times New Roman" w:hAnsi="Times New Roman" w:eastAsia="仿宋_GB2312" w:cs="Times New Roman"/>
          <w:b w:val="0"/>
          <w:sz w:val="32"/>
          <w:szCs w:val="32"/>
        </w:rPr>
        <w:t>12.社会保障和就业（类）行政事业单位养老支出（款）其他行政事业单位养老支出（项）</w:t>
      </w:r>
      <w:r>
        <w:rPr>
          <w:rStyle w:val="15"/>
          <w:rFonts w:ascii="Times New Roman" w:hAnsi="Times New Roman" w:eastAsia="仿宋_GB2312" w:cs="Times New Roman"/>
          <w:b w:val="0"/>
          <w:bCs/>
          <w:sz w:val="32"/>
          <w:szCs w:val="32"/>
        </w:rPr>
        <w:t>:反映其他用于行政事业单位养老方面的支出。</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13.卫生健康</w:t>
      </w:r>
      <w:r>
        <w:rPr>
          <w:rStyle w:val="15"/>
          <w:rFonts w:ascii="Times New Roman" w:hAnsi="Times New Roman" w:eastAsia="仿宋_GB2312" w:cs="Times New Roman"/>
          <w:b w:val="0"/>
          <w:sz w:val="32"/>
          <w:szCs w:val="32"/>
        </w:rPr>
        <w:t>（类）行政事业单位医疗（款）行政事业单位医疗（项）:反映行政事业单位医疗方面的支出。</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14.住房保障支出（类）住房改革支出（款）住房公积金（项）: 指县信访局机关及下属事业单位按照规定标准为职工缴纳住房公积金等支出。</w:t>
      </w:r>
    </w:p>
    <w:p>
      <w:pPr>
        <w:spacing w:line="560" w:lineRule="exact"/>
        <w:ind w:firstLine="640" w:firstLineChars="200"/>
        <w:rPr>
          <w:rFonts w:eastAsia="仿宋_GB2312"/>
          <w:sz w:val="32"/>
          <w:szCs w:val="32"/>
        </w:rPr>
      </w:pPr>
      <w:r>
        <w:rPr>
          <w:rFonts w:eastAsia="仿宋_GB2312"/>
          <w:sz w:val="32"/>
          <w:szCs w:val="32"/>
        </w:rPr>
        <w:t>15.基本支出：指为保障机构正常运转、完成日常工作任务而发生的人员支出和公用支出。</w:t>
      </w:r>
    </w:p>
    <w:p>
      <w:pPr>
        <w:spacing w:line="560" w:lineRule="exact"/>
        <w:ind w:firstLine="640" w:firstLineChars="200"/>
        <w:rPr>
          <w:rFonts w:eastAsia="仿宋_GB2312"/>
          <w:sz w:val="32"/>
          <w:szCs w:val="32"/>
        </w:rPr>
      </w:pPr>
      <w:r>
        <w:rPr>
          <w:rFonts w:eastAsia="仿宋_GB2312"/>
          <w:sz w:val="32"/>
          <w:szCs w:val="32"/>
        </w:rPr>
        <w:t xml:space="preserve">16.项目支出：指在基本支出之外为完成特定行政任务和事业发展目标所发生的支出。 </w:t>
      </w:r>
    </w:p>
    <w:p>
      <w:pPr>
        <w:spacing w:line="560" w:lineRule="exact"/>
        <w:ind w:firstLine="640" w:firstLineChars="200"/>
        <w:rPr>
          <w:rFonts w:eastAsia="仿宋_GB2312"/>
          <w:sz w:val="32"/>
          <w:szCs w:val="32"/>
        </w:rPr>
      </w:pPr>
      <w:r>
        <w:rPr>
          <w:rFonts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eastAsia="仿宋_GB2312"/>
          <w:sz w:val="32"/>
          <w:szCs w:val="32"/>
        </w:rPr>
      </w:pPr>
      <w:r>
        <w:rPr>
          <w:rFonts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2" w:firstLineChars="200"/>
        <w:rPr>
          <w:rFonts w:eastAsia="仿宋"/>
          <w:b/>
          <w:sz w:val="32"/>
          <w:szCs w:val="32"/>
        </w:rPr>
      </w:pPr>
      <w:r>
        <w:rPr>
          <w:rFonts w:eastAsia="仿宋"/>
          <w:b/>
          <w:sz w:val="32"/>
          <w:szCs w:val="32"/>
        </w:rPr>
        <w:br w:type="page"/>
      </w:r>
    </w:p>
    <w:p>
      <w:pPr>
        <w:pStyle w:val="3"/>
        <w:spacing w:line="560" w:lineRule="exact"/>
        <w:jc w:val="center"/>
        <w:rPr>
          <w:rFonts w:eastAsia="黑体"/>
          <w:b w:val="0"/>
        </w:rPr>
      </w:pPr>
      <w:bookmarkStart w:id="77" w:name="_Toc177484463"/>
      <w:r>
        <w:rPr>
          <w:rFonts w:eastAsia="黑体"/>
          <w:b w:val="0"/>
        </w:rPr>
        <w:t>第四部分 附件</w:t>
      </w:r>
      <w:bookmarkEnd w:id="77"/>
    </w:p>
    <w:p>
      <w:pPr>
        <w:spacing w:line="560" w:lineRule="exact"/>
        <w:rPr>
          <w:rFonts w:eastAsia="黑体"/>
          <w:sz w:val="32"/>
          <w:szCs w:val="32"/>
        </w:rPr>
      </w:pPr>
      <w:r>
        <w:rPr>
          <w:rFonts w:eastAsia="黑体"/>
          <w:sz w:val="32"/>
          <w:szCs w:val="32"/>
        </w:rPr>
        <w:t>附件1</w:t>
      </w:r>
    </w:p>
    <w:p>
      <w:pPr>
        <w:widowControl/>
        <w:spacing w:line="560" w:lineRule="exact"/>
        <w:contextualSpacing/>
        <w:jc w:val="center"/>
        <w:rPr>
          <w:rFonts w:eastAsia="方正小标宋简体"/>
          <w:sz w:val="44"/>
          <w:szCs w:val="44"/>
          <w:shd w:val="clear" w:color="auto" w:fill="FFFFFF"/>
        </w:rPr>
      </w:pPr>
      <w:r>
        <w:rPr>
          <w:rFonts w:eastAsia="方正小标宋简体"/>
          <w:sz w:val="44"/>
          <w:szCs w:val="44"/>
          <w:shd w:val="clear" w:color="auto" w:fill="FFFFFF"/>
        </w:rPr>
        <w:t>沐川县信访局</w:t>
      </w:r>
    </w:p>
    <w:p>
      <w:pPr>
        <w:widowControl/>
        <w:spacing w:line="560" w:lineRule="exact"/>
        <w:contextualSpacing/>
        <w:jc w:val="center"/>
        <w:rPr>
          <w:rFonts w:eastAsia="方正小标宋简体"/>
          <w:sz w:val="44"/>
          <w:szCs w:val="44"/>
          <w:shd w:val="clear" w:color="auto" w:fill="FFFFFF"/>
        </w:rPr>
      </w:pPr>
      <w:r>
        <w:rPr>
          <w:rFonts w:eastAsia="方正小标宋简体"/>
          <w:sz w:val="44"/>
          <w:szCs w:val="44"/>
          <w:shd w:val="clear" w:color="auto" w:fill="FFFFFF"/>
        </w:rPr>
        <w:t>部门整体绩效自评报告</w:t>
      </w:r>
    </w:p>
    <w:p>
      <w:pPr>
        <w:widowControl/>
        <w:adjustRightInd w:val="0"/>
        <w:snapToGrid w:val="0"/>
        <w:spacing w:line="560" w:lineRule="exact"/>
        <w:ind w:firstLine="660" w:firstLineChars="200"/>
        <w:contextualSpacing/>
        <w:jc w:val="left"/>
        <w:rPr>
          <w:rFonts w:eastAsia="方正仿宋_GBK"/>
          <w:color w:val="000000"/>
          <w:kern w:val="0"/>
          <w:sz w:val="33"/>
          <w:szCs w:val="33"/>
          <w:shd w:val="clear" w:color="auto" w:fill="FFFFFF"/>
        </w:rPr>
      </w:pPr>
    </w:p>
    <w:p>
      <w:pPr>
        <w:widowControl/>
        <w:adjustRightInd w:val="0"/>
        <w:snapToGrid w:val="0"/>
        <w:spacing w:line="560" w:lineRule="exact"/>
        <w:ind w:firstLine="640" w:firstLineChars="20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部门基本情况</w:t>
      </w:r>
    </w:p>
    <w:p>
      <w:pPr>
        <w:widowControl/>
        <w:adjustRightInd w:val="0"/>
        <w:snapToGrid w:val="0"/>
        <w:spacing w:line="560" w:lineRule="exact"/>
        <w:ind w:firstLine="642" w:firstLineChars="200"/>
        <w:contextualSpacing/>
        <w:jc w:val="left"/>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（一）机构组成</w:t>
      </w:r>
    </w:p>
    <w:p>
      <w:pPr>
        <w:widowControl/>
        <w:adjustRightInd w:val="0"/>
        <w:snapToGrid w:val="0"/>
        <w:spacing w:line="560" w:lineRule="exact"/>
        <w:ind w:firstLine="640" w:firstLineChars="200"/>
        <w:contextualSpacing/>
        <w:jc w:val="left"/>
        <w:rPr>
          <w:rFonts w:eastAsia="仿宋_GB2312"/>
          <w:kern w:val="0"/>
          <w:sz w:val="32"/>
          <w:szCs w:val="32"/>
          <w:lang w:val="zh-CN"/>
        </w:rPr>
      </w:pPr>
      <w:r>
        <w:rPr>
          <w:rFonts w:eastAsia="仿宋_GB2312"/>
          <w:kern w:val="0"/>
          <w:sz w:val="32"/>
          <w:szCs w:val="32"/>
        </w:rPr>
        <w:t>县信访局是沐川县人民政府工作部门，为正科级，包括县信访局机关，下属事业单位</w:t>
      </w:r>
      <w:r>
        <w:rPr>
          <w:rFonts w:eastAsia="仿宋_GB2312"/>
          <w:kern w:val="0"/>
          <w:sz w:val="32"/>
          <w:szCs w:val="32"/>
          <w:lang w:val="zh-CN"/>
        </w:rPr>
        <w:t>沐川县群众来访接待中心。</w:t>
      </w:r>
    </w:p>
    <w:p>
      <w:pPr>
        <w:widowControl/>
        <w:adjustRightInd w:val="0"/>
        <w:snapToGrid w:val="0"/>
        <w:spacing w:line="560" w:lineRule="exact"/>
        <w:ind w:firstLine="642" w:firstLineChars="200"/>
        <w:contextualSpacing/>
        <w:jc w:val="left"/>
        <w:rPr>
          <w:rFonts w:eastAsia="楷体_GB2312"/>
          <w:b/>
          <w:color w:val="000000"/>
          <w:kern w:val="0"/>
          <w:sz w:val="32"/>
          <w:szCs w:val="32"/>
          <w:shd w:val="clear" w:color="auto" w:fill="FFFFFF"/>
          <w:lang w:val="zh-CN"/>
        </w:rPr>
      </w:pPr>
      <w:r>
        <w:rPr>
          <w:rFonts w:eastAsia="楷体_GB2312"/>
          <w:b/>
          <w:color w:val="000000"/>
          <w:kern w:val="0"/>
          <w:sz w:val="32"/>
          <w:szCs w:val="32"/>
          <w:shd w:val="clear" w:color="auto" w:fill="FFFFFF"/>
          <w:lang w:val="zh-CN"/>
        </w:rPr>
        <w:t>（二）机构职能和人员概况</w:t>
      </w:r>
    </w:p>
    <w:p>
      <w:pPr>
        <w:spacing w:line="560" w:lineRule="exact"/>
        <w:ind w:firstLine="640" w:firstLineChars="200"/>
        <w:rPr>
          <w:rFonts w:eastAsia="仿宋_GB2312"/>
          <w:b/>
          <w:color w:val="000000"/>
          <w:kern w:val="0"/>
          <w:sz w:val="32"/>
          <w:szCs w:val="32"/>
          <w:shd w:val="clear" w:color="auto" w:fill="FFFFFF"/>
          <w:lang w:val="zh-CN"/>
        </w:rPr>
      </w:pPr>
      <w:r>
        <w:rPr>
          <w:rFonts w:eastAsia="仿宋_GB2312"/>
          <w:sz w:val="32"/>
          <w:szCs w:val="32"/>
        </w:rPr>
        <w:t>负责处理县内外群众给县委、县政府的来信、来电、网上信访，接待群众来访，保证信访渠道畅通。及时、准确地向县委、县政府反映来信来访中提出的重要建议、意见和问题。综合分析信访信息，开展调查研究，提出有关建议意见;承办上级领导机关及其所属部门、单位和市委、市政府领导交办的信访事项。督促检查领导同志指示批示的落实情况。根据领导同志意见，向同级有关部门、下级机关及企事业单位交办、转办有关信访事项，督促检查重要信访事项的处理和落实;协调处理跨地区、跨部门的重要信访问题。应急协调处理群众到市到省赴京上访和异常、突发信访事件。协调处理信访遗留问题和重要信访案件;检查、指导、协调县级各部门、各单位的信访工作，负责组织实施对全县信访工作的目标管理。总结推广信访工作经验，提出改进和加强信访工作的意见和建议;负责收集人民群众提出的建议意见，为县委、县政府决策提供参考，对带全局性的或涉及面较大的重要信访问题开展调查研究，提出解决问题的方案或建议;负责全县信访工作队伍建设，组织信访干部的培训;依据政策规定，认真做好来访群众的思想疏导工作;配合公安、武警、应急部门处理非正常集体上访行为;负责我县群众进京、到省、市重大信访事项和异常、突发信访事件的联络与处理;负责职责范围内的安全生产和职业健康、生态环境保护等工作;完成县委、县政府交办的其他工作。</w:t>
      </w:r>
    </w:p>
    <w:p>
      <w:pPr>
        <w:spacing w:line="560" w:lineRule="exact"/>
        <w:ind w:firstLine="561"/>
        <w:rPr>
          <w:rFonts w:eastAsia="仿宋_GB2312"/>
          <w:kern w:val="0"/>
          <w:sz w:val="32"/>
          <w:szCs w:val="32"/>
        </w:rPr>
      </w:pPr>
      <w:r>
        <w:rPr>
          <w:rFonts w:eastAsia="仿宋_GB2312"/>
          <w:kern w:val="0"/>
          <w:sz w:val="32"/>
          <w:szCs w:val="32"/>
        </w:rPr>
        <w:t>县信访局总编制11个，其中：行政编制6个、工勤编制0个、参公编制0个、事业编制5个。</w:t>
      </w:r>
    </w:p>
    <w:p>
      <w:pPr>
        <w:widowControl/>
        <w:numPr>
          <w:ilvl w:val="0"/>
          <w:numId w:val="4"/>
        </w:numPr>
        <w:tabs>
          <w:tab w:val="left" w:pos="3840"/>
        </w:tabs>
        <w:adjustRightInd w:val="0"/>
        <w:snapToGrid w:val="0"/>
        <w:spacing w:line="560" w:lineRule="exact"/>
        <w:ind w:firstLine="472" w:firstLineChars="147"/>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年度主要工作任务</w:t>
      </w:r>
    </w:p>
    <w:p>
      <w:pPr>
        <w:snapToGrid w:val="0"/>
        <w:spacing w:line="560" w:lineRule="exact"/>
        <w:ind w:firstLine="640" w:firstLineChars="200"/>
        <w:rPr>
          <w:rFonts w:eastAsia="仿宋_GB2312"/>
          <w:b/>
          <w:color w:val="000000"/>
          <w:kern w:val="0"/>
          <w:sz w:val="32"/>
          <w:szCs w:val="32"/>
          <w:shd w:val="clear" w:color="auto" w:fill="FFFFFF"/>
          <w:lang w:val="zh-CN"/>
        </w:rPr>
      </w:pPr>
      <w:r>
        <w:rPr>
          <w:rFonts w:eastAsia="仿宋_GB2312"/>
          <w:sz w:val="32"/>
          <w:szCs w:val="32"/>
        </w:rPr>
        <w:t>县信访局2023年度主要任务有深入学习贯彻习近平总书记关于加强和改进人民信访工作的重要思想，坚持干在实处、走在前列，积极适应我国社会主要矛盾的新变化，坚持以人民为中心、以社会治理创新为动力、以依法及时就地解决群众合理诉求为目标，坚定不移信访工作制度改革和信访法治化建设；持续打造阳光信访、责任信访、法治信访、开放信访、和谐信访，突出理念提升、问题化解、机制创新、制度完善、源头治理、科技引领，不断提高专业化制度化、法治化、信息化水平，全力打好重点领域、重点群体、重点问题、重点人员信访矛盾化解攻坚战，实现信访事业可持续发展；畅通诉求表达渠道进一步压实信访工作责任，推动事要解决力度，加强源头防范治理，健全信访工作机制，推进信访队伍建设。</w:t>
      </w:r>
    </w:p>
    <w:p>
      <w:pPr>
        <w:widowControl/>
        <w:numPr>
          <w:ilvl w:val="0"/>
          <w:numId w:val="4"/>
        </w:numPr>
        <w:tabs>
          <w:tab w:val="left" w:pos="3840"/>
        </w:tabs>
        <w:adjustRightInd w:val="0"/>
        <w:snapToGrid w:val="0"/>
        <w:spacing w:line="560" w:lineRule="exact"/>
        <w:ind w:firstLine="472" w:firstLineChars="147"/>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部门整体支出绩效目标</w:t>
      </w:r>
    </w:p>
    <w:p>
      <w:pPr>
        <w:spacing w:line="560" w:lineRule="exact"/>
        <w:ind w:firstLine="640" w:firstLineChars="200"/>
        <w:rPr>
          <w:rFonts w:eastAsia="仿宋_GB2312"/>
          <w:kern w:val="0"/>
          <w:sz w:val="32"/>
          <w:szCs w:val="32"/>
        </w:rPr>
      </w:pPr>
      <w:r>
        <w:rPr>
          <w:rFonts w:eastAsia="仿宋_GB2312"/>
          <w:color w:val="353535"/>
          <w:sz w:val="32"/>
          <w:szCs w:val="32"/>
        </w:rPr>
        <w:t>部门整体支出绩效目标为化解一批复杂、疑难积案，信访攻坚战积案化解，按上级交办数按期办理；加大矛盾纠纷排查化解力度每月开展1次；做好全国、全省“两会”及各会议时期驻京驻蓉信访稳定工作；解决信访问题方面目标及时受理率达到100%,按期办结率达到100%，群众参评率97%，参评群众满意率达到9</w:t>
      </w:r>
      <w:r>
        <w:rPr>
          <w:rFonts w:hint="eastAsia" w:eastAsia="仿宋_GB2312"/>
          <w:color w:val="353535"/>
          <w:sz w:val="32"/>
          <w:szCs w:val="32"/>
        </w:rPr>
        <w:t>0</w:t>
      </w:r>
      <w:r>
        <w:rPr>
          <w:rFonts w:eastAsia="仿宋_GB2312"/>
          <w:color w:val="353535"/>
          <w:sz w:val="32"/>
          <w:szCs w:val="32"/>
        </w:rPr>
        <w:t>%</w:t>
      </w:r>
      <w:r>
        <w:rPr>
          <w:rFonts w:hint="eastAsia" w:eastAsia="仿宋_GB2312"/>
          <w:color w:val="353535"/>
          <w:sz w:val="32"/>
          <w:szCs w:val="32"/>
        </w:rPr>
        <w:t>以上</w:t>
      </w:r>
      <w:r>
        <w:rPr>
          <w:rFonts w:eastAsia="仿宋_GB2312"/>
          <w:color w:val="353535"/>
          <w:sz w:val="32"/>
          <w:szCs w:val="32"/>
        </w:rPr>
        <w:t>；信访基础业务规范化，网上投诉受理平台和阳光视频接访系统正常运行，“人民满意窗口”创建符合相关建设标准要求100%。</w:t>
      </w:r>
    </w:p>
    <w:p>
      <w:pPr>
        <w:widowControl/>
        <w:adjustRightInd w:val="0"/>
        <w:snapToGrid w:val="0"/>
        <w:spacing w:line="560" w:lineRule="exact"/>
        <w:ind w:firstLine="640" w:firstLineChars="200"/>
        <w:contextualSpacing/>
        <w:jc w:val="left"/>
        <w:rPr>
          <w:rFonts w:ascii="黑体" w:hAnsi="黑体" w:eastAsia="黑体"/>
          <w:color w:val="000000"/>
          <w:kern w:val="0"/>
          <w:sz w:val="32"/>
          <w:szCs w:val="32"/>
          <w:shd w:val="clear" w:color="auto" w:fill="FFFFFF"/>
        </w:rPr>
      </w:pPr>
      <w:r>
        <w:rPr>
          <w:rFonts w:ascii="黑体" w:hAnsi="黑体" w:eastAsia="黑体"/>
          <w:color w:val="000000"/>
          <w:kern w:val="0"/>
          <w:sz w:val="32"/>
          <w:szCs w:val="32"/>
          <w:shd w:val="clear" w:color="auto" w:fill="FFFFFF"/>
        </w:rPr>
        <w:t>二、部门财政资金收支情况</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（一）部门财政资金收入情况</w:t>
      </w:r>
    </w:p>
    <w:p>
      <w:pPr>
        <w:widowControl/>
        <w:adjustRightInd w:val="0"/>
        <w:snapToGrid w:val="0"/>
        <w:spacing w:line="560" w:lineRule="exact"/>
        <w:ind w:firstLine="640" w:firstLineChars="200"/>
        <w:contextualSpacing/>
        <w:rPr>
          <w:rStyle w:val="15"/>
          <w:rFonts w:eastAsia="仿宋_GB2312"/>
          <w:b w:val="0"/>
          <w:color w:val="000000"/>
          <w:sz w:val="32"/>
          <w:szCs w:val="32"/>
        </w:rPr>
      </w:pPr>
      <w:r>
        <w:rPr>
          <w:rFonts w:eastAsia="仿宋_GB2312"/>
          <w:color w:val="000000"/>
          <w:sz w:val="32"/>
          <w:szCs w:val="32"/>
        </w:rPr>
        <w:t>2023年县信访局部门财政资金预算数收入合计255.93，比上年增加37.87万元，增加得到主要原因是在职工正常晋升增资部分以及2023年年初预算增加事业人员招考1人，调入1人的工资及社会保障缴费。</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（二）部门财政资金支出情况</w:t>
      </w:r>
    </w:p>
    <w:p>
      <w:pPr>
        <w:widowControl/>
        <w:adjustRightInd w:val="0"/>
        <w:snapToGrid w:val="0"/>
        <w:spacing w:line="560" w:lineRule="exact"/>
        <w:ind w:firstLine="640" w:firstLineChars="200"/>
        <w:contextualSpacing/>
        <w:rPr>
          <w:rFonts w:eastAsia="仿宋_GB2312"/>
          <w:color w:val="000000"/>
          <w:sz w:val="32"/>
          <w:szCs w:val="32"/>
        </w:rPr>
      </w:pPr>
      <w:r>
        <w:rPr>
          <w:rFonts w:eastAsia="仿宋_GB2312"/>
          <w:color w:val="000000"/>
          <w:sz w:val="32"/>
          <w:szCs w:val="32"/>
        </w:rPr>
        <w:t>2023年县信访局</w:t>
      </w:r>
      <w:r>
        <w:rPr>
          <w:rFonts w:eastAsia="仿宋_GB2312"/>
          <w:color w:val="000000"/>
          <w:sz w:val="32"/>
          <w:szCs w:val="32"/>
          <w:lang w:val="zh-CN"/>
        </w:rPr>
        <w:t>部门财政资金</w:t>
      </w:r>
      <w:r>
        <w:rPr>
          <w:rFonts w:eastAsia="仿宋_GB2312"/>
          <w:color w:val="000000"/>
          <w:sz w:val="32"/>
          <w:szCs w:val="32"/>
        </w:rPr>
        <w:t>支出合计297.74万元，2022年为289.76万元，比2022年增加7.98万元，主要原因是机关事业单位基本工资调标部分支出和</w:t>
      </w:r>
      <w:r>
        <w:rPr>
          <w:rStyle w:val="15"/>
          <w:rFonts w:eastAsia="仿宋_GB2312"/>
          <w:b w:val="0"/>
          <w:color w:val="000000"/>
          <w:sz w:val="32"/>
          <w:szCs w:val="32"/>
        </w:rPr>
        <w:t>社会保障缴费及住房公积金支出。</w:t>
      </w:r>
      <w:r>
        <w:rPr>
          <w:rFonts w:eastAsia="仿宋_GB2312"/>
          <w:color w:val="000000"/>
          <w:sz w:val="32"/>
          <w:szCs w:val="32"/>
        </w:rPr>
        <w:t>其中：2023年基本支出200.92万元，占67.48%，2022年基本支出191.93万元，比2022年增加8.99万元；2023年项目支出96.82万元，占32.52%，2022年项目支出97.83万元，比2022年减少1.01万元，主要原因是特殊疑难信访问题专项资金项目支出减少。</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（三）部门财政资金结转结余情况</w:t>
      </w:r>
    </w:p>
    <w:p>
      <w:pPr>
        <w:widowControl/>
        <w:adjustRightInd w:val="0"/>
        <w:snapToGrid w:val="0"/>
        <w:spacing w:line="560" w:lineRule="exact"/>
        <w:ind w:firstLine="640" w:firstLineChars="200"/>
        <w:contextualSpacing/>
        <w:rPr>
          <w:rFonts w:eastAsia="仿宋_GB2312"/>
          <w:color w:val="000000"/>
          <w:sz w:val="32"/>
          <w:szCs w:val="32"/>
        </w:rPr>
      </w:pPr>
      <w:r>
        <w:rPr>
          <w:rFonts w:eastAsia="仿宋_GB2312"/>
          <w:color w:val="000000"/>
          <w:sz w:val="32"/>
          <w:szCs w:val="32"/>
        </w:rPr>
        <w:t>2023年县信访局</w:t>
      </w:r>
      <w:r>
        <w:rPr>
          <w:rFonts w:eastAsia="仿宋_GB2312"/>
          <w:color w:val="000000"/>
          <w:sz w:val="32"/>
          <w:szCs w:val="32"/>
          <w:lang w:val="zh-CN"/>
        </w:rPr>
        <w:t>部门无财政资金结转结余。</w:t>
      </w:r>
    </w:p>
    <w:p>
      <w:pPr>
        <w:widowControl/>
        <w:adjustRightInd w:val="0"/>
        <w:snapToGrid w:val="0"/>
        <w:spacing w:line="560" w:lineRule="exact"/>
        <w:ind w:firstLine="640" w:firstLineChars="200"/>
        <w:contextualSpacing/>
        <w:jc w:val="left"/>
        <w:rPr>
          <w:rFonts w:ascii="黑体" w:hAnsi="黑体" w:eastAsia="黑体"/>
          <w:color w:val="000000"/>
          <w:kern w:val="0"/>
          <w:sz w:val="32"/>
          <w:szCs w:val="32"/>
          <w:shd w:val="clear" w:color="auto" w:fill="FFFFFF"/>
        </w:rPr>
      </w:pPr>
      <w:r>
        <w:rPr>
          <w:rFonts w:ascii="黑体" w:hAnsi="黑体" w:eastAsia="黑体"/>
          <w:color w:val="000000"/>
          <w:kern w:val="0"/>
          <w:sz w:val="32"/>
          <w:szCs w:val="32"/>
          <w:shd w:val="clear" w:color="auto" w:fill="FFFFFF"/>
        </w:rPr>
        <w:t>三、部门整体绩效管理情况</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（一）部门整体履职绩效分析</w:t>
      </w:r>
    </w:p>
    <w:p>
      <w:pPr>
        <w:spacing w:line="560" w:lineRule="exact"/>
        <w:ind w:firstLine="640" w:firstLineChars="200"/>
        <w:rPr>
          <w:rFonts w:eastAsia="仿宋_GB2312"/>
          <w:kern w:val="0"/>
          <w:sz w:val="32"/>
          <w:szCs w:val="32"/>
        </w:rPr>
      </w:pPr>
      <w:r>
        <w:rPr>
          <w:rFonts w:eastAsia="仿宋_GB2312"/>
          <w:color w:val="353535"/>
          <w:sz w:val="32"/>
          <w:szCs w:val="32"/>
        </w:rPr>
        <w:t>县信访局部门整体履职绩效目标完成良好，全国、全省“两会”、成都大运会等重要会议期间驻京驻蓉信访稳定工作开展顺利；保障机关正常运行，化解一批复杂、疑难积案，信访攻坚战积案化解，按上级交办治重化积信访件两件按期办理；定期开展信访工作联席会议；解决信访问题方面目标完成情况及时受理率达到100%,按期办结率达到100%，群众参评率100%，参评群众满意率达到100%；信访基础业务规范化，网上投诉受理平台和阳光视频接访系统正常运行。部门履职情况良好，保障全县社会稳定。</w:t>
      </w:r>
    </w:p>
    <w:p>
      <w:pPr>
        <w:widowControl/>
        <w:numPr>
          <w:ilvl w:val="0"/>
          <w:numId w:val="5"/>
        </w:numPr>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特定目标类项目绩效分析</w:t>
      </w:r>
    </w:p>
    <w:p>
      <w:pPr>
        <w:widowControl/>
        <w:adjustRightInd w:val="0"/>
        <w:snapToGrid w:val="0"/>
        <w:spacing w:line="560" w:lineRule="exact"/>
        <w:ind w:firstLine="642" w:firstLineChars="200"/>
        <w:contextualSpacing/>
        <w:jc w:val="left"/>
        <w:rPr>
          <w:rFonts w:ascii="仿宋_GB2312" w:eastAsia="仿宋_GB2312"/>
          <w:b/>
          <w:color w:val="000000"/>
          <w:kern w:val="0"/>
          <w:sz w:val="32"/>
          <w:szCs w:val="32"/>
          <w:shd w:val="clear" w:color="auto" w:fill="FFFFFF"/>
        </w:rPr>
      </w:pPr>
      <w:r>
        <w:rPr>
          <w:rFonts w:hint="eastAsia" w:ascii="仿宋_GB2312" w:eastAsia="仿宋_GB2312"/>
          <w:b/>
          <w:color w:val="000000"/>
          <w:kern w:val="0"/>
          <w:sz w:val="32"/>
          <w:szCs w:val="32"/>
          <w:shd w:val="clear" w:color="auto" w:fill="FFFFFF"/>
        </w:rPr>
        <w:t>1.整体情况</w:t>
      </w:r>
    </w:p>
    <w:p>
      <w:pPr>
        <w:widowControl/>
        <w:adjustRightInd w:val="0"/>
        <w:snapToGrid w:val="0"/>
        <w:spacing w:line="560" w:lineRule="exact"/>
        <w:ind w:firstLine="640" w:firstLineChars="200"/>
        <w:contextualSpacing/>
        <w:jc w:val="left"/>
        <w:rPr>
          <w:rFonts w:eastAsia="仿宋_GB2312"/>
          <w:sz w:val="32"/>
          <w:szCs w:val="32"/>
          <w:lang w:val="zh-CN"/>
        </w:rPr>
      </w:pPr>
      <w:r>
        <w:rPr>
          <w:rFonts w:eastAsia="仿宋_GB2312"/>
          <w:color w:val="000000"/>
          <w:sz w:val="32"/>
          <w:szCs w:val="32"/>
          <w:lang w:val="zh-CN"/>
        </w:rPr>
        <w:t>县信访局部门</w:t>
      </w:r>
      <w:r>
        <w:rPr>
          <w:rFonts w:eastAsia="仿宋_GB2312"/>
          <w:sz w:val="32"/>
          <w:szCs w:val="32"/>
          <w:lang w:val="zh-CN"/>
        </w:rPr>
        <w:t>特定目标类项目绩效目标完成良好，</w:t>
      </w:r>
      <w:r>
        <w:rPr>
          <w:rFonts w:eastAsia="仿宋_GB2312"/>
          <w:sz w:val="32"/>
          <w:szCs w:val="32"/>
        </w:rPr>
        <w:t>本部门年初预算特定目标类项目主要有“政务运转工作经费”和“特殊疑难信访问题专项资金”2个项目，追加了“信访维稳经费”1个项目。</w:t>
      </w:r>
      <w:r>
        <w:rPr>
          <w:rFonts w:eastAsia="仿宋_GB2312"/>
          <w:sz w:val="32"/>
          <w:szCs w:val="32"/>
          <w:lang w:val="zh-CN"/>
        </w:rPr>
        <w:t>县信访局具体负责</w:t>
      </w:r>
      <w:r>
        <w:rPr>
          <w:rFonts w:eastAsia="仿宋_GB2312"/>
          <w:sz w:val="32"/>
          <w:szCs w:val="32"/>
        </w:rPr>
        <w:t>3个项目</w:t>
      </w:r>
      <w:r>
        <w:rPr>
          <w:rFonts w:eastAsia="仿宋_GB2312"/>
          <w:sz w:val="32"/>
          <w:szCs w:val="32"/>
          <w:lang w:val="zh-CN"/>
        </w:rPr>
        <w:t>的管理、使用，确保资金安全、规范使用。按照县财政局年初预算批复进行资金申报。对</w:t>
      </w:r>
      <w:r>
        <w:rPr>
          <w:rFonts w:eastAsia="仿宋_GB2312"/>
          <w:sz w:val="32"/>
          <w:szCs w:val="32"/>
        </w:rPr>
        <w:t>“政务运转工作经费”、“</w:t>
      </w:r>
      <w:r>
        <w:rPr>
          <w:rFonts w:eastAsia="仿宋_GB2312"/>
          <w:sz w:val="32"/>
          <w:szCs w:val="32"/>
          <w:lang w:val="zh-CN"/>
        </w:rPr>
        <w:t>特殊疑难信访问题专项资金”以及“信访维稳经费”项目实施按需求分月申报计划，按财政批复计划执行。</w:t>
      </w:r>
    </w:p>
    <w:p>
      <w:pPr>
        <w:widowControl/>
        <w:adjustRightInd w:val="0"/>
        <w:snapToGrid w:val="0"/>
        <w:spacing w:line="560" w:lineRule="exact"/>
        <w:ind w:firstLine="642" w:firstLineChars="200"/>
        <w:contextualSpacing/>
        <w:jc w:val="left"/>
        <w:rPr>
          <w:rFonts w:ascii="仿宋_GB2312" w:eastAsia="仿宋_GB2312"/>
          <w:b/>
          <w:color w:val="000000"/>
          <w:kern w:val="0"/>
          <w:sz w:val="32"/>
          <w:szCs w:val="32"/>
          <w:shd w:val="clear" w:color="auto" w:fill="FFFFFF"/>
        </w:rPr>
      </w:pPr>
      <w:r>
        <w:rPr>
          <w:rFonts w:hint="eastAsia" w:ascii="仿宋_GB2312" w:eastAsia="仿宋_GB2312"/>
          <w:b/>
          <w:color w:val="000000"/>
          <w:kern w:val="0"/>
          <w:sz w:val="32"/>
          <w:szCs w:val="32"/>
          <w:shd w:val="clear" w:color="auto" w:fill="FFFFFF"/>
        </w:rPr>
        <w:t>2.100万以上项目</w:t>
      </w:r>
    </w:p>
    <w:p>
      <w:pPr>
        <w:spacing w:line="560" w:lineRule="exact"/>
        <w:ind w:firstLine="640" w:firstLineChars="200"/>
        <w:rPr>
          <w:rFonts w:eastAsia="仿宋_GB2312"/>
          <w:color w:val="000000"/>
          <w:sz w:val="32"/>
          <w:szCs w:val="32"/>
        </w:rPr>
      </w:pPr>
      <w:r>
        <w:rPr>
          <w:rFonts w:eastAsia="仿宋_GB2312"/>
          <w:color w:val="000000"/>
          <w:sz w:val="32"/>
          <w:szCs w:val="32"/>
        </w:rPr>
        <w:t>县信访局无100万以上项目。</w:t>
      </w:r>
    </w:p>
    <w:p>
      <w:pPr>
        <w:widowControl/>
        <w:adjustRightInd w:val="0"/>
        <w:snapToGrid w:val="0"/>
        <w:spacing w:line="560" w:lineRule="exact"/>
        <w:ind w:firstLine="642" w:firstLineChars="200"/>
        <w:contextualSpacing/>
        <w:jc w:val="left"/>
        <w:rPr>
          <w:rFonts w:eastAsia="仿宋_GB2312"/>
          <w:b/>
          <w:color w:val="000000"/>
          <w:kern w:val="0"/>
          <w:sz w:val="32"/>
          <w:szCs w:val="32"/>
          <w:shd w:val="clear" w:color="auto" w:fill="FFFFFF"/>
          <w:lang w:val="zh-CN"/>
        </w:rPr>
      </w:pPr>
      <w:r>
        <w:rPr>
          <w:rFonts w:eastAsia="仿宋_GB2312"/>
          <w:b/>
          <w:color w:val="000000"/>
          <w:kern w:val="0"/>
          <w:sz w:val="32"/>
          <w:szCs w:val="32"/>
          <w:shd w:val="clear" w:color="auto" w:fill="FFFFFF"/>
        </w:rPr>
        <w:t>3.</w:t>
      </w:r>
      <w:r>
        <w:rPr>
          <w:rFonts w:eastAsia="仿宋_GB2312"/>
          <w:b/>
          <w:color w:val="000000"/>
          <w:kern w:val="0"/>
          <w:sz w:val="32"/>
          <w:szCs w:val="32"/>
          <w:shd w:val="clear" w:color="auto" w:fill="FFFFFF"/>
          <w:lang w:val="zh-CN"/>
        </w:rPr>
        <w:t>目标制定与目标实现</w:t>
      </w:r>
    </w:p>
    <w:p>
      <w:pPr>
        <w:spacing w:line="560" w:lineRule="exact"/>
        <w:ind w:firstLine="640" w:firstLineChars="200"/>
        <w:rPr>
          <w:rFonts w:eastAsia="仿宋_GB2312"/>
          <w:color w:val="353535"/>
          <w:sz w:val="32"/>
          <w:szCs w:val="32"/>
        </w:rPr>
      </w:pPr>
      <w:r>
        <w:rPr>
          <w:rFonts w:eastAsia="仿宋_GB2312"/>
          <w:color w:val="000000"/>
          <w:sz w:val="32"/>
          <w:szCs w:val="32"/>
        </w:rPr>
        <w:t>县信访局按相关要求制定适宜3个特定目标类项目的绩效目标，</w:t>
      </w:r>
      <w:r>
        <w:rPr>
          <w:rFonts w:eastAsia="仿宋_GB2312"/>
          <w:color w:val="353535"/>
          <w:sz w:val="32"/>
          <w:szCs w:val="32"/>
        </w:rPr>
        <w:t>特殊疑难信访问题专项资金应实现的具体绩效目标为省市交办信访积案难案，复杂、疑难信访突出问题，通过利用有限的专项资金，科学安排，合理使用；政务运转工作经费项目绩效目标为办理群众来信来访，矛盾纠纷排查化解，网上投诉受理平台运行及阳光视频接访系统运行服务，“人民满意窗口”创建，全国、全省“两会”及重要会议期间驻京驻蓉信访稳定工作；</w:t>
      </w:r>
      <w:r>
        <w:rPr>
          <w:rFonts w:eastAsia="仿宋_GB2312"/>
          <w:color w:val="353535"/>
          <w:sz w:val="32"/>
          <w:szCs w:val="32"/>
          <w:lang w:val="zh-CN"/>
        </w:rPr>
        <w:t>信访维稳经费</w:t>
      </w:r>
      <w:r>
        <w:rPr>
          <w:rFonts w:eastAsia="仿宋_GB2312"/>
          <w:color w:val="353535"/>
          <w:sz w:val="32"/>
          <w:szCs w:val="32"/>
        </w:rPr>
        <w:t>项目绩效目标为保障成都大运会期间以及重要会议期间，信访稳定工作正常开展，确保全县社会和谐稳定。3个特定目标类项目绩效目标充分得以实现，实现情况良好。</w:t>
      </w:r>
    </w:p>
    <w:p>
      <w:pPr>
        <w:widowControl/>
        <w:adjustRightInd w:val="0"/>
        <w:snapToGrid w:val="0"/>
        <w:spacing w:line="560" w:lineRule="exact"/>
        <w:ind w:firstLine="640" w:firstLineChars="200"/>
        <w:contextualSpacing/>
        <w:jc w:val="left"/>
        <w:rPr>
          <w:rFonts w:eastAsia="仿宋_GB2312"/>
          <w:sz w:val="32"/>
          <w:szCs w:val="32"/>
        </w:rPr>
      </w:pPr>
      <w:r>
        <w:rPr>
          <w:rFonts w:eastAsia="仿宋_GB2312"/>
          <w:sz w:val="32"/>
          <w:szCs w:val="32"/>
        </w:rPr>
        <w:t>（1）政务运转工作工作经费项目目标实现情况</w:t>
      </w:r>
    </w:p>
    <w:p>
      <w:pPr>
        <w:spacing w:line="560" w:lineRule="exact"/>
        <w:ind w:firstLine="640" w:firstLineChars="200"/>
        <w:rPr>
          <w:rFonts w:eastAsia="仿宋_GB2312"/>
          <w:color w:val="353535"/>
          <w:sz w:val="32"/>
          <w:szCs w:val="32"/>
        </w:rPr>
      </w:pPr>
      <w:r>
        <w:rPr>
          <w:rFonts w:eastAsia="仿宋_GB2312"/>
          <w:color w:val="353535"/>
          <w:sz w:val="32"/>
          <w:szCs w:val="32"/>
        </w:rPr>
        <w:t>项目年初预算数40万元，执行数为33.99万元，完成预算的84.98%。通过项目实施，保障了信访局机关正常运转，信访工作顺利开展。</w:t>
      </w:r>
    </w:p>
    <w:p>
      <w:pPr>
        <w:widowControl/>
        <w:adjustRightInd w:val="0"/>
        <w:snapToGrid w:val="0"/>
        <w:spacing w:line="560" w:lineRule="exact"/>
        <w:ind w:firstLine="640" w:firstLineChars="200"/>
        <w:contextualSpacing/>
        <w:jc w:val="left"/>
        <w:rPr>
          <w:rFonts w:eastAsia="仿宋_GB2312"/>
          <w:sz w:val="32"/>
          <w:szCs w:val="32"/>
        </w:rPr>
      </w:pPr>
      <w:r>
        <w:rPr>
          <w:rFonts w:eastAsia="仿宋_GB2312"/>
          <w:sz w:val="32"/>
          <w:szCs w:val="32"/>
        </w:rPr>
        <w:t>（2）特殊疑难信访问题专项资金项目目标实现情况</w:t>
      </w:r>
    </w:p>
    <w:p>
      <w:pPr>
        <w:spacing w:line="560" w:lineRule="exact"/>
        <w:ind w:firstLine="640" w:firstLineChars="200"/>
        <w:rPr>
          <w:rFonts w:eastAsia="仿宋_GB2312"/>
          <w:color w:val="353535"/>
          <w:sz w:val="32"/>
          <w:szCs w:val="32"/>
        </w:rPr>
      </w:pPr>
      <w:r>
        <w:rPr>
          <w:rFonts w:eastAsia="仿宋_GB2312"/>
          <w:color w:val="353535"/>
          <w:sz w:val="32"/>
          <w:szCs w:val="32"/>
        </w:rPr>
        <w:t>项目年初预算数50.00万元，2023年6月根据文件批示调剂年初预算指标20.08万元给相应的乡镇及县级部门，本部门调整预算数为29.92万元，年终执行数为29.86万元，完成预算的99.78%。通过项目实施，在畅通信访渠道、化解信访积案、搞好驻京驻蓉及重要时期信访稳定工作，保障了信访稳定工作的顺利开展，使一些疑难、复杂的信访问题得到妥善解决，确保矛盾化解在基层，信访人的合理诉求得到有效解决，确保我县社会和谐稳定。</w:t>
      </w:r>
    </w:p>
    <w:p>
      <w:pPr>
        <w:widowControl/>
        <w:adjustRightInd w:val="0"/>
        <w:snapToGrid w:val="0"/>
        <w:spacing w:line="560" w:lineRule="exact"/>
        <w:ind w:firstLine="640" w:firstLineChars="200"/>
        <w:contextualSpacing/>
        <w:jc w:val="left"/>
        <w:rPr>
          <w:rFonts w:eastAsia="仿宋_GB2312"/>
          <w:sz w:val="32"/>
          <w:szCs w:val="32"/>
        </w:rPr>
      </w:pPr>
      <w:r>
        <w:rPr>
          <w:rFonts w:eastAsia="仿宋_GB2312"/>
          <w:sz w:val="32"/>
          <w:szCs w:val="32"/>
          <w:lang w:val="zh-CN"/>
        </w:rPr>
        <w:t>（</w:t>
      </w:r>
      <w:r>
        <w:rPr>
          <w:rFonts w:eastAsia="仿宋_GB2312"/>
          <w:sz w:val="32"/>
          <w:szCs w:val="32"/>
        </w:rPr>
        <w:t>3</w:t>
      </w:r>
      <w:r>
        <w:rPr>
          <w:rFonts w:eastAsia="仿宋_GB2312"/>
          <w:sz w:val="32"/>
          <w:szCs w:val="32"/>
          <w:lang w:val="zh-CN"/>
        </w:rPr>
        <w:t>）信访维稳经费</w:t>
      </w:r>
      <w:r>
        <w:rPr>
          <w:rFonts w:eastAsia="仿宋_GB2312"/>
          <w:sz w:val="32"/>
          <w:szCs w:val="32"/>
        </w:rPr>
        <w:t>项目目标实现情况</w:t>
      </w:r>
    </w:p>
    <w:p>
      <w:pPr>
        <w:spacing w:line="560" w:lineRule="exact"/>
        <w:ind w:firstLine="640" w:firstLineChars="200"/>
        <w:rPr>
          <w:rFonts w:eastAsia="仿宋_GB2312"/>
          <w:color w:val="353535"/>
          <w:sz w:val="32"/>
          <w:szCs w:val="32"/>
        </w:rPr>
      </w:pPr>
      <w:r>
        <w:rPr>
          <w:rFonts w:eastAsia="仿宋_GB2312"/>
          <w:color w:val="353535"/>
          <w:sz w:val="32"/>
          <w:szCs w:val="32"/>
        </w:rPr>
        <w:t>追加项目执行数为32.98万元。通过项目实施，保障了全国、全省“两会”和成都大运会期间的信访工作顺利开展。</w:t>
      </w:r>
    </w:p>
    <w:p>
      <w:pPr>
        <w:widowControl/>
        <w:adjustRightInd w:val="0"/>
        <w:snapToGrid w:val="0"/>
        <w:spacing w:line="560" w:lineRule="exact"/>
        <w:ind w:firstLine="642" w:firstLineChars="200"/>
        <w:contextualSpacing/>
        <w:jc w:val="left"/>
        <w:rPr>
          <w:rFonts w:ascii="仿宋_GB2312" w:eastAsia="仿宋_GB2312"/>
          <w:b/>
          <w:color w:val="000000"/>
          <w:kern w:val="0"/>
          <w:sz w:val="32"/>
          <w:szCs w:val="32"/>
          <w:shd w:val="clear" w:color="auto" w:fill="FFFFFF"/>
          <w:lang w:val="zh-CN"/>
        </w:rPr>
      </w:pPr>
      <w:r>
        <w:rPr>
          <w:rFonts w:hint="eastAsia" w:ascii="仿宋_GB2312" w:eastAsia="仿宋_GB2312"/>
          <w:b/>
          <w:color w:val="000000"/>
          <w:kern w:val="0"/>
          <w:sz w:val="32"/>
          <w:szCs w:val="32"/>
          <w:shd w:val="clear" w:color="auto" w:fill="FFFFFF"/>
        </w:rPr>
        <w:t>4</w:t>
      </w:r>
      <w:r>
        <w:rPr>
          <w:rFonts w:hint="eastAsia" w:ascii="仿宋_GB2312" w:eastAsia="仿宋_GB2312"/>
          <w:b/>
          <w:color w:val="000000"/>
          <w:kern w:val="0"/>
          <w:sz w:val="32"/>
          <w:szCs w:val="32"/>
          <w:shd w:val="clear" w:color="auto" w:fill="FFFFFF"/>
          <w:lang w:val="zh-CN"/>
        </w:rPr>
        <w:t>.支出控制与及时处置</w:t>
      </w:r>
    </w:p>
    <w:p>
      <w:pPr>
        <w:widowControl/>
        <w:adjustRightInd w:val="0"/>
        <w:snapToGrid w:val="0"/>
        <w:spacing w:line="560" w:lineRule="exact"/>
        <w:ind w:firstLine="640" w:firstLineChars="200"/>
        <w:contextualSpacing/>
        <w:rPr>
          <w:rFonts w:eastAsia="仿宋_GB2312"/>
          <w:color w:val="000000"/>
          <w:sz w:val="32"/>
          <w:szCs w:val="32"/>
        </w:rPr>
      </w:pPr>
      <w:r>
        <w:rPr>
          <w:rFonts w:eastAsia="仿宋_GB2312"/>
          <w:color w:val="000000"/>
          <w:sz w:val="32"/>
          <w:szCs w:val="32"/>
        </w:rPr>
        <w:t>支出控制良好，严格实行专项资金规范运作，加强监督和管理，做到专款专用，及时拨付，杜绝违规违法事件的发生，充分发挥专项资金的有效性。工作经费坚持依法理财、厉行节约、均衡使用、科学管理的原则，严格执行国家相关法律法规和财经纪律，确保机关运行费压减。严格控制“三公”经费的开支，使各项资金得到合理使用。严格执行政府采购制度，因工作需要购置办公设备时，按照采购程序，编制采购计划，并报相关股室备案。按月申报资金，批复计划及时支付，及时处理信访事项。</w:t>
      </w:r>
    </w:p>
    <w:p>
      <w:pPr>
        <w:widowControl/>
        <w:adjustRightInd w:val="0"/>
        <w:snapToGrid w:val="0"/>
        <w:spacing w:line="560" w:lineRule="exact"/>
        <w:ind w:firstLine="642" w:firstLineChars="200"/>
        <w:contextualSpacing/>
        <w:jc w:val="left"/>
        <w:rPr>
          <w:rFonts w:ascii="仿宋_GB2312" w:eastAsia="仿宋_GB2312"/>
          <w:b/>
          <w:color w:val="000000"/>
          <w:kern w:val="0"/>
          <w:sz w:val="32"/>
          <w:szCs w:val="32"/>
          <w:shd w:val="clear" w:color="auto" w:fill="FFFFFF"/>
          <w:lang w:val="zh-CN"/>
        </w:rPr>
      </w:pPr>
      <w:r>
        <w:rPr>
          <w:rFonts w:hint="eastAsia" w:ascii="仿宋_GB2312" w:eastAsia="仿宋_GB2312"/>
          <w:b/>
          <w:color w:val="000000"/>
          <w:kern w:val="0"/>
          <w:sz w:val="32"/>
          <w:szCs w:val="32"/>
          <w:shd w:val="clear" w:color="auto" w:fill="FFFFFF"/>
        </w:rPr>
        <w:t>5</w:t>
      </w:r>
      <w:r>
        <w:rPr>
          <w:rFonts w:hint="eastAsia" w:ascii="仿宋_GB2312" w:eastAsia="仿宋_GB2312"/>
          <w:b/>
          <w:color w:val="000000"/>
          <w:kern w:val="0"/>
          <w:sz w:val="32"/>
          <w:szCs w:val="32"/>
          <w:shd w:val="clear" w:color="auto" w:fill="FFFFFF"/>
          <w:lang w:val="zh-CN"/>
        </w:rPr>
        <w:t>.执行进度与预算完成</w:t>
      </w:r>
    </w:p>
    <w:p>
      <w:pPr>
        <w:widowControl/>
        <w:adjustRightInd w:val="0"/>
        <w:snapToGrid w:val="0"/>
        <w:spacing w:line="560" w:lineRule="exact"/>
        <w:ind w:firstLine="640" w:firstLineChars="200"/>
        <w:contextualSpacing/>
        <w:rPr>
          <w:rFonts w:eastAsia="仿宋_GB2312"/>
          <w:color w:val="000000"/>
          <w:sz w:val="32"/>
          <w:szCs w:val="32"/>
        </w:rPr>
      </w:pPr>
      <w:r>
        <w:rPr>
          <w:rFonts w:eastAsia="仿宋_GB2312"/>
          <w:color w:val="000000"/>
          <w:sz w:val="32"/>
          <w:szCs w:val="32"/>
        </w:rPr>
        <w:t>县信访局按要求调整预算科目，及时调整预算偏差，在执行各项资金预算中，严格按《预算法》、财经法规、预算资金管理办法、财务管理制度等规定，按预算进度申请财政资金，管好、用好每笔资金。职工工资等人员经费按月发放，公务费按季申报，项目支出按项目实施情况经本单位和县财政审核无误后按进度拨付。在支付方式上，工资实行财政直接支付，项目支出和公用经费申请授权支付，尽量采取公务卡结算或转账支付。进一步加强对财务的监督管理力度，加强内控管理，科学、有效的使用财政资金。县信访局在每年年中对所有项目进行中期评估，认真核实项目的进度，梳理全年目标任务完成情况，确保了项目按时完成和财政资金的安全。</w:t>
      </w:r>
    </w:p>
    <w:p>
      <w:pPr>
        <w:spacing w:line="560" w:lineRule="exact"/>
        <w:ind w:firstLine="640" w:firstLineChars="200"/>
        <w:rPr>
          <w:rFonts w:eastAsia="仿宋_GB2312"/>
          <w:sz w:val="32"/>
          <w:szCs w:val="32"/>
        </w:rPr>
      </w:pPr>
      <w:r>
        <w:rPr>
          <w:rFonts w:eastAsia="仿宋_GB2312"/>
          <w:color w:val="000000"/>
          <w:sz w:val="32"/>
          <w:szCs w:val="32"/>
        </w:rPr>
        <w:t>截止2023年12月31日，县信访局</w:t>
      </w:r>
      <w:r>
        <w:rPr>
          <w:rFonts w:eastAsia="仿宋_GB2312"/>
          <w:color w:val="353535"/>
          <w:sz w:val="32"/>
          <w:szCs w:val="32"/>
        </w:rPr>
        <w:t>政务运转工作经费</w:t>
      </w:r>
      <w:r>
        <w:rPr>
          <w:rFonts w:eastAsia="仿宋_GB2312"/>
          <w:color w:val="333333"/>
          <w:kern w:val="0"/>
          <w:sz w:val="32"/>
          <w:szCs w:val="32"/>
        </w:rPr>
        <w:t>项目</w:t>
      </w:r>
      <w:r>
        <w:rPr>
          <w:rFonts w:eastAsia="仿宋_GB2312"/>
          <w:sz w:val="32"/>
          <w:szCs w:val="32"/>
          <w:lang w:val="zh-CN"/>
        </w:rPr>
        <w:t>资金</w:t>
      </w:r>
      <w:r>
        <w:rPr>
          <w:rFonts w:eastAsia="仿宋_GB2312"/>
          <w:sz w:val="32"/>
          <w:szCs w:val="32"/>
        </w:rPr>
        <w:t>支出33.99万元，财政核减6.01万元。</w:t>
      </w:r>
      <w:r>
        <w:rPr>
          <w:rFonts w:eastAsia="仿宋_GB2312"/>
          <w:color w:val="000000"/>
          <w:sz w:val="32"/>
          <w:szCs w:val="32"/>
        </w:rPr>
        <w:t>该项目在上级有关部门的关心、帮助下，顺利推进，圆满完成目标任务。数量指标上信访业务工作、信访稳定、督查工作，维护了全县社会稳定。网上投诉受理平台每年0.84万元和监控租赁费每年0.3</w:t>
      </w:r>
      <w:r>
        <w:rPr>
          <w:rFonts w:hint="eastAsia" w:eastAsia="仿宋_GB2312"/>
          <w:color w:val="000000"/>
          <w:sz w:val="32"/>
          <w:szCs w:val="32"/>
        </w:rPr>
        <w:t>0</w:t>
      </w:r>
      <w:r>
        <w:rPr>
          <w:rFonts w:eastAsia="仿宋_GB2312"/>
          <w:color w:val="000000"/>
          <w:sz w:val="32"/>
          <w:szCs w:val="32"/>
        </w:rPr>
        <w:t>万元支付完成，</w:t>
      </w:r>
      <w:r>
        <w:rPr>
          <w:rFonts w:eastAsia="仿宋_GB2312"/>
          <w:color w:val="000000"/>
          <w:sz w:val="32"/>
          <w:szCs w:val="32"/>
          <w:lang w:val="zh-CN"/>
        </w:rPr>
        <w:t>成本控制目标实现良好，全部支付到位，</w:t>
      </w:r>
      <w:r>
        <w:rPr>
          <w:rFonts w:eastAsia="仿宋_GB2312"/>
          <w:color w:val="000000"/>
          <w:sz w:val="32"/>
          <w:szCs w:val="32"/>
        </w:rPr>
        <w:t>该项目全面完成并无违规记录</w:t>
      </w:r>
      <w:r>
        <w:rPr>
          <w:rFonts w:eastAsia="仿宋_GB2312"/>
          <w:color w:val="000000"/>
          <w:sz w:val="32"/>
          <w:szCs w:val="32"/>
          <w:lang w:val="zh-CN"/>
        </w:rPr>
        <w:t>等情况</w:t>
      </w:r>
      <w:r>
        <w:rPr>
          <w:rFonts w:eastAsia="仿宋_GB2312"/>
          <w:color w:val="000000"/>
          <w:sz w:val="32"/>
          <w:szCs w:val="32"/>
        </w:rPr>
        <w:t>。</w:t>
      </w:r>
    </w:p>
    <w:p>
      <w:pPr>
        <w:adjustRightInd w:val="0"/>
        <w:snapToGrid w:val="0"/>
        <w:spacing w:line="560" w:lineRule="exact"/>
        <w:ind w:firstLine="720"/>
        <w:rPr>
          <w:rFonts w:eastAsia="仿宋_GB2312"/>
          <w:color w:val="000000"/>
          <w:sz w:val="32"/>
          <w:szCs w:val="32"/>
          <w:lang w:val="zh-CN"/>
        </w:rPr>
      </w:pPr>
      <w:r>
        <w:rPr>
          <w:rFonts w:eastAsia="仿宋_GB2312"/>
          <w:sz w:val="32"/>
          <w:szCs w:val="32"/>
        </w:rPr>
        <w:t>截止2023年12月31日，县信访局</w:t>
      </w:r>
      <w:r>
        <w:rPr>
          <w:rFonts w:eastAsia="仿宋_GB2312"/>
          <w:sz w:val="32"/>
          <w:szCs w:val="32"/>
          <w:lang w:val="zh-CN"/>
        </w:rPr>
        <w:t>特殊疑难信访问题专项资金实际</w:t>
      </w:r>
      <w:r>
        <w:rPr>
          <w:rFonts w:eastAsia="仿宋_GB2312"/>
          <w:sz w:val="32"/>
          <w:szCs w:val="32"/>
        </w:rPr>
        <w:t>支出29.86万元，全力攻坚“治重化积”工作，难案疑案积案得到有效化解，2023年中央、省、市交办我县“治重化积”信访件共2件</w:t>
      </w:r>
      <w:r>
        <w:rPr>
          <w:rFonts w:eastAsia="仿宋_GB2312"/>
          <w:color w:val="000000"/>
          <w:sz w:val="32"/>
          <w:szCs w:val="32"/>
        </w:rPr>
        <w:t>，资金开支化解了一批复杂疑难信访问题和信访积案难案，做到案结事了，息访息诉，</w:t>
      </w:r>
      <w:r>
        <w:rPr>
          <w:rFonts w:eastAsia="仿宋_GB2312"/>
          <w:color w:val="353535"/>
          <w:sz w:val="32"/>
          <w:szCs w:val="32"/>
        </w:rPr>
        <w:t>保证了全县社会和谐稳定。</w:t>
      </w:r>
      <w:r>
        <w:rPr>
          <w:rFonts w:eastAsia="仿宋_GB2312"/>
          <w:sz w:val="32"/>
          <w:szCs w:val="32"/>
          <w:lang w:val="zh-CN"/>
        </w:rPr>
        <w:t>特殊疑难信访问题专项资金</w:t>
      </w:r>
      <w:r>
        <w:rPr>
          <w:rFonts w:eastAsia="仿宋_GB2312"/>
          <w:sz w:val="32"/>
          <w:szCs w:val="32"/>
        </w:rPr>
        <w:t>使用</w:t>
      </w:r>
      <w:r>
        <w:rPr>
          <w:rFonts w:eastAsia="仿宋_GB2312"/>
          <w:color w:val="353535"/>
          <w:sz w:val="32"/>
          <w:szCs w:val="32"/>
        </w:rPr>
        <w:t>根据需求申报计划，按计划进行支付，</w:t>
      </w:r>
      <w:r>
        <w:rPr>
          <w:rFonts w:eastAsia="仿宋_GB2312"/>
          <w:sz w:val="32"/>
          <w:szCs w:val="32"/>
          <w:lang w:val="zh-CN"/>
        </w:rPr>
        <w:t>支付依据合规合法，资金预算</w:t>
      </w:r>
      <w:r>
        <w:rPr>
          <w:rFonts w:eastAsia="仿宋_GB2312"/>
          <w:color w:val="000000"/>
          <w:sz w:val="32"/>
          <w:szCs w:val="32"/>
        </w:rPr>
        <w:t>存在一定偏差，需加强预算执行力</w:t>
      </w:r>
      <w:r>
        <w:rPr>
          <w:rFonts w:eastAsia="仿宋_GB2312"/>
          <w:color w:val="000000"/>
          <w:sz w:val="32"/>
          <w:szCs w:val="32"/>
          <w:lang w:val="zh-CN"/>
        </w:rPr>
        <w:t>。</w:t>
      </w:r>
    </w:p>
    <w:p>
      <w:pPr>
        <w:adjustRightInd w:val="0"/>
        <w:snapToGrid w:val="0"/>
        <w:spacing w:line="560" w:lineRule="exact"/>
        <w:ind w:firstLine="720"/>
        <w:rPr>
          <w:rFonts w:eastAsia="仿宋_GB2312"/>
          <w:color w:val="000000"/>
          <w:sz w:val="32"/>
          <w:szCs w:val="32"/>
        </w:rPr>
      </w:pPr>
      <w:r>
        <w:rPr>
          <w:rFonts w:eastAsia="仿宋_GB2312"/>
          <w:color w:val="000000"/>
          <w:sz w:val="32"/>
          <w:szCs w:val="32"/>
        </w:rPr>
        <w:t>截止2023年12月31日，县信访局</w:t>
      </w:r>
      <w:r>
        <w:rPr>
          <w:rFonts w:eastAsia="仿宋_GB2312"/>
          <w:color w:val="000000"/>
          <w:sz w:val="32"/>
          <w:szCs w:val="32"/>
          <w:lang w:val="zh-CN"/>
        </w:rPr>
        <w:t>信访维稳经费</w:t>
      </w:r>
      <w:r>
        <w:rPr>
          <w:rFonts w:eastAsia="仿宋_GB2312"/>
          <w:color w:val="000000"/>
          <w:sz w:val="32"/>
          <w:szCs w:val="32"/>
        </w:rPr>
        <w:t>项目绩效目标为保障成都大运会及重要会议期间稳定，实现了“零进京”目标信访稳定工作顺利开展，确保全县社会和谐稳定。</w:t>
      </w:r>
    </w:p>
    <w:p>
      <w:pPr>
        <w:widowControl/>
        <w:adjustRightInd w:val="0"/>
        <w:snapToGrid w:val="0"/>
        <w:spacing w:line="560" w:lineRule="exact"/>
        <w:ind w:firstLine="642" w:firstLineChars="200"/>
        <w:contextualSpacing/>
        <w:jc w:val="left"/>
        <w:rPr>
          <w:rFonts w:ascii="仿宋_GB2312" w:eastAsia="仿宋_GB2312"/>
          <w:b/>
          <w:color w:val="000000"/>
          <w:kern w:val="0"/>
          <w:sz w:val="32"/>
          <w:szCs w:val="32"/>
          <w:shd w:val="clear" w:color="auto" w:fill="FFFFFF"/>
          <w:lang w:val="zh-CN"/>
        </w:rPr>
      </w:pPr>
      <w:r>
        <w:rPr>
          <w:rFonts w:hint="eastAsia" w:ascii="仿宋_GB2312" w:eastAsia="仿宋_GB2312"/>
          <w:b/>
          <w:color w:val="000000"/>
          <w:kern w:val="0"/>
          <w:sz w:val="32"/>
          <w:szCs w:val="32"/>
          <w:shd w:val="clear" w:color="auto" w:fill="FFFFFF"/>
        </w:rPr>
        <w:t>6</w:t>
      </w:r>
      <w:r>
        <w:rPr>
          <w:rFonts w:hint="eastAsia" w:ascii="仿宋_GB2312" w:eastAsia="仿宋_GB2312"/>
          <w:b/>
          <w:color w:val="000000"/>
          <w:kern w:val="0"/>
          <w:sz w:val="32"/>
          <w:szCs w:val="32"/>
          <w:shd w:val="clear" w:color="auto" w:fill="FFFFFF"/>
          <w:lang w:val="zh-CN"/>
        </w:rPr>
        <w:t>.资金结余率与违规记录</w:t>
      </w:r>
    </w:p>
    <w:p>
      <w:pPr>
        <w:widowControl/>
        <w:adjustRightInd w:val="0"/>
        <w:snapToGrid w:val="0"/>
        <w:spacing w:line="560" w:lineRule="exact"/>
        <w:ind w:firstLine="640" w:firstLineChars="200"/>
        <w:contextualSpacing/>
        <w:jc w:val="left"/>
        <w:rPr>
          <w:rFonts w:eastAsia="仿宋_GB2312"/>
          <w:sz w:val="32"/>
          <w:szCs w:val="32"/>
        </w:rPr>
      </w:pPr>
      <w:r>
        <w:rPr>
          <w:rFonts w:eastAsia="仿宋_GB2312"/>
          <w:color w:val="000000"/>
          <w:sz w:val="32"/>
          <w:szCs w:val="32"/>
          <w:lang w:val="zh-CN"/>
        </w:rPr>
        <w:t>县信访局部门</w:t>
      </w:r>
      <w:r>
        <w:rPr>
          <w:rFonts w:eastAsia="仿宋_GB2312"/>
          <w:sz w:val="32"/>
          <w:szCs w:val="32"/>
        </w:rPr>
        <w:t>政务运转工作经费资金结余率为15.03%；</w:t>
      </w:r>
    </w:p>
    <w:p>
      <w:pPr>
        <w:widowControl/>
        <w:adjustRightInd w:val="0"/>
        <w:snapToGrid w:val="0"/>
        <w:spacing w:line="560" w:lineRule="exact"/>
        <w:contextualSpacing/>
        <w:jc w:val="left"/>
        <w:rPr>
          <w:rFonts w:eastAsia="仿宋_GB2312"/>
          <w:sz w:val="32"/>
          <w:szCs w:val="32"/>
        </w:rPr>
      </w:pPr>
      <w:r>
        <w:rPr>
          <w:rFonts w:eastAsia="仿宋_GB2312"/>
          <w:sz w:val="32"/>
          <w:szCs w:val="32"/>
        </w:rPr>
        <w:t>特殊疑难信访问题专项资金资金结余率为0.20%；信访维稳经费资金结余率0。</w:t>
      </w:r>
      <w:r>
        <w:rPr>
          <w:rFonts w:eastAsia="仿宋_GB2312"/>
          <w:sz w:val="32"/>
          <w:szCs w:val="32"/>
          <w:lang w:val="zh-CN"/>
        </w:rPr>
        <w:t>县信访局具体负责</w:t>
      </w:r>
      <w:r>
        <w:rPr>
          <w:rFonts w:eastAsia="仿宋_GB2312"/>
          <w:sz w:val="32"/>
          <w:szCs w:val="32"/>
        </w:rPr>
        <w:t>3个项目</w:t>
      </w:r>
      <w:r>
        <w:rPr>
          <w:rFonts w:eastAsia="仿宋_GB2312"/>
          <w:sz w:val="32"/>
          <w:szCs w:val="32"/>
          <w:lang w:val="zh-CN"/>
        </w:rPr>
        <w:t>的管理、使用，确保资金安全、规范使用，降低资金结余率。</w:t>
      </w:r>
      <w:r>
        <w:rPr>
          <w:rFonts w:eastAsia="仿宋_GB2312"/>
          <w:kern w:val="0"/>
          <w:sz w:val="32"/>
          <w:szCs w:val="32"/>
        </w:rPr>
        <w:t>县信访局</w:t>
      </w:r>
      <w:r>
        <w:rPr>
          <w:rFonts w:eastAsia="仿宋_GB2312"/>
          <w:kern w:val="0"/>
          <w:sz w:val="32"/>
          <w:szCs w:val="32"/>
          <w:lang w:val="zh-CN"/>
        </w:rPr>
        <w:t>坚持干在实处、走在前列工作取向和稳中求进工作思路，部门绩效总体预算管理</w:t>
      </w:r>
      <w:r>
        <w:rPr>
          <w:rFonts w:eastAsia="仿宋_GB2312"/>
          <w:kern w:val="0"/>
          <w:sz w:val="32"/>
          <w:szCs w:val="32"/>
        </w:rPr>
        <w:t>完成</w:t>
      </w:r>
      <w:r>
        <w:rPr>
          <w:rFonts w:eastAsia="仿宋_GB2312"/>
          <w:kern w:val="0"/>
          <w:sz w:val="32"/>
          <w:szCs w:val="32"/>
          <w:lang w:val="zh-CN"/>
        </w:rPr>
        <w:t>良好</w:t>
      </w:r>
      <w:r>
        <w:rPr>
          <w:rFonts w:eastAsia="仿宋_GB2312"/>
          <w:sz w:val="32"/>
          <w:szCs w:val="32"/>
        </w:rPr>
        <w:t>，财政资金整体支出合理有效，突出资金绩效，保障了我局各项工作的顺利开展，并无违规违纪等情况。</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rPr>
      </w:pPr>
      <w:r>
        <w:rPr>
          <w:rFonts w:hint="eastAsia" w:ascii="楷体_GB2312" w:eastAsia="楷体_GB2312"/>
          <w:b/>
          <w:color w:val="000000"/>
          <w:kern w:val="0"/>
          <w:sz w:val="32"/>
          <w:szCs w:val="32"/>
          <w:shd w:val="clear" w:color="auto" w:fill="FFFFFF"/>
        </w:rPr>
        <w:t>（三）结果应用情况</w:t>
      </w:r>
    </w:p>
    <w:p>
      <w:pPr>
        <w:spacing w:line="560" w:lineRule="exact"/>
        <w:ind w:firstLine="642" w:firstLineChars="200"/>
        <w:outlineLvl w:val="1"/>
        <w:rPr>
          <w:rFonts w:ascii="仿宋_GB2312" w:eastAsia="仿宋_GB2312"/>
          <w:b/>
          <w:bCs/>
          <w:sz w:val="32"/>
          <w:szCs w:val="32"/>
        </w:rPr>
      </w:pPr>
      <w:bookmarkStart w:id="78" w:name="_Toc177484464"/>
      <w:r>
        <w:rPr>
          <w:rFonts w:hint="eastAsia" w:ascii="仿宋_GB2312" w:eastAsia="仿宋_GB2312"/>
          <w:b/>
          <w:bCs/>
          <w:sz w:val="32"/>
          <w:szCs w:val="32"/>
        </w:rPr>
        <w:t>1.内部应用及</w:t>
      </w:r>
      <w:r>
        <w:rPr>
          <w:rFonts w:hint="eastAsia" w:ascii="仿宋_GB2312" w:eastAsia="仿宋_GB2312"/>
          <w:b/>
          <w:bCs/>
          <w:color w:val="000000"/>
          <w:kern w:val="0"/>
          <w:sz w:val="32"/>
          <w:szCs w:val="32"/>
          <w:shd w:val="clear" w:color="auto" w:fill="FFFFFF"/>
          <w:lang w:val="zh-CN"/>
        </w:rPr>
        <w:t>自评公开</w:t>
      </w:r>
      <w:bookmarkEnd w:id="78"/>
    </w:p>
    <w:p>
      <w:pPr>
        <w:adjustRightInd w:val="0"/>
        <w:snapToGrid w:val="0"/>
        <w:spacing w:line="560" w:lineRule="exact"/>
        <w:ind w:firstLine="640" w:firstLineChars="200"/>
        <w:rPr>
          <w:rFonts w:eastAsia="仿宋_GB2312"/>
          <w:sz w:val="32"/>
          <w:szCs w:val="32"/>
        </w:rPr>
      </w:pPr>
      <w:r>
        <w:rPr>
          <w:rFonts w:eastAsia="仿宋_GB2312"/>
          <w:sz w:val="32"/>
          <w:szCs w:val="32"/>
        </w:rPr>
        <w:t>县信访局严格内控制度管理，内部应用规范，严格按要求公开绩效自评及相关信息，认真开展绩效评价，并接受社会监督。</w:t>
      </w:r>
    </w:p>
    <w:p>
      <w:pPr>
        <w:spacing w:line="560" w:lineRule="exact"/>
        <w:ind w:firstLine="642" w:firstLineChars="200"/>
        <w:outlineLvl w:val="1"/>
        <w:rPr>
          <w:rFonts w:ascii="仿宋_GB2312" w:eastAsia="仿宋_GB2312"/>
          <w:b/>
          <w:bCs/>
          <w:sz w:val="32"/>
          <w:szCs w:val="32"/>
        </w:rPr>
      </w:pPr>
      <w:bookmarkStart w:id="79" w:name="_Toc177484465"/>
      <w:r>
        <w:rPr>
          <w:rFonts w:hint="eastAsia" w:ascii="仿宋_GB2312" w:eastAsia="仿宋_GB2312"/>
          <w:b/>
          <w:bCs/>
          <w:sz w:val="32"/>
          <w:szCs w:val="32"/>
        </w:rPr>
        <w:t>2.问题整改及</w:t>
      </w:r>
      <w:r>
        <w:rPr>
          <w:rFonts w:hint="eastAsia" w:ascii="仿宋_GB2312" w:eastAsia="仿宋_GB2312"/>
          <w:b/>
          <w:bCs/>
          <w:sz w:val="32"/>
          <w:szCs w:val="32"/>
          <w:lang w:val="zh-CN"/>
        </w:rPr>
        <w:t>应用反馈</w:t>
      </w:r>
      <w:bookmarkEnd w:id="79"/>
    </w:p>
    <w:p>
      <w:pPr>
        <w:widowControl/>
        <w:adjustRightInd w:val="0"/>
        <w:snapToGrid w:val="0"/>
        <w:spacing w:line="560" w:lineRule="exact"/>
        <w:ind w:firstLine="720"/>
        <w:jc w:val="left"/>
        <w:rPr>
          <w:rFonts w:eastAsia="仿宋_GB2312"/>
          <w:sz w:val="32"/>
          <w:szCs w:val="32"/>
        </w:rPr>
      </w:pPr>
      <w:r>
        <w:rPr>
          <w:rFonts w:eastAsia="仿宋_GB2312"/>
          <w:sz w:val="32"/>
          <w:szCs w:val="32"/>
        </w:rPr>
        <w:t>2023年我局项目整体支出合理有效，突出资金绩效，对于问题整改到位，保障了我局各项工作的顺利开展，总体绩效良好。由于信访工作具有其特殊性，投入产出评价指标难以用数据直接体现。需要更加科学合理编制预算，规范账务处理，完善管理制度，加强资金管理，</w:t>
      </w:r>
      <w:r>
        <w:rPr>
          <w:rFonts w:eastAsia="仿宋_GB2312"/>
          <w:color w:val="333333"/>
          <w:sz w:val="32"/>
          <w:szCs w:val="32"/>
        </w:rPr>
        <w:t>建立</w:t>
      </w:r>
      <w:r>
        <w:rPr>
          <w:rFonts w:eastAsia="仿宋_GB2312"/>
          <w:sz w:val="32"/>
          <w:szCs w:val="32"/>
        </w:rPr>
        <w:t>预算支出绩效评价长效机制。应用结果反馈良好。</w:t>
      </w:r>
    </w:p>
    <w:p>
      <w:pPr>
        <w:widowControl/>
        <w:adjustRightInd w:val="0"/>
        <w:snapToGrid w:val="0"/>
        <w:spacing w:line="560" w:lineRule="exact"/>
        <w:ind w:firstLine="640" w:firstLineChars="200"/>
        <w:contextualSpacing/>
        <w:jc w:val="left"/>
        <w:rPr>
          <w:rFonts w:ascii="黑体" w:hAnsi="黑体" w:eastAsia="黑体"/>
          <w:color w:val="000000"/>
          <w:kern w:val="0"/>
          <w:sz w:val="32"/>
          <w:szCs w:val="32"/>
          <w:shd w:val="clear" w:color="auto" w:fill="FFFFFF"/>
        </w:rPr>
      </w:pPr>
      <w:r>
        <w:rPr>
          <w:rFonts w:ascii="黑体" w:hAnsi="黑体" w:eastAsia="黑体"/>
          <w:color w:val="000000"/>
          <w:kern w:val="0"/>
          <w:sz w:val="32"/>
          <w:szCs w:val="32"/>
          <w:shd w:val="clear" w:color="auto" w:fill="FFFFFF"/>
        </w:rPr>
        <w:t>四、评价结论及建议</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（一）评价结论</w:t>
      </w:r>
    </w:p>
    <w:p>
      <w:pPr>
        <w:widowControl/>
        <w:adjustRightInd w:val="0"/>
        <w:snapToGrid w:val="0"/>
        <w:spacing w:line="560" w:lineRule="exact"/>
        <w:ind w:firstLine="640" w:firstLineChars="200"/>
        <w:contextualSpacing/>
        <w:jc w:val="left"/>
        <w:rPr>
          <w:rFonts w:eastAsia="仿宋_GB2312"/>
          <w:sz w:val="32"/>
          <w:szCs w:val="32"/>
        </w:rPr>
      </w:pPr>
      <w:r>
        <w:rPr>
          <w:rFonts w:eastAsia="仿宋_GB2312"/>
          <w:sz w:val="32"/>
          <w:szCs w:val="32"/>
        </w:rPr>
        <w:t>从自评情况来看，2023年县信访局按照国家政策法规规定，建立健全财务管理制度和约束机制，预、决算编制合理，依法、有效地使用财政资金，提高财政资金的使用效率，合理分配人、财、物，完成了部门职能目标，确保了机关正常运转，保证了项目支出，财政支出绩效良好，取得了一定的经济和社会效益，实现了较高的工作效率和支出绩效，综合考核自评得分90分。</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（二）存在问题</w:t>
      </w:r>
    </w:p>
    <w:p>
      <w:pPr>
        <w:widowControl/>
        <w:adjustRightInd w:val="0"/>
        <w:snapToGrid w:val="0"/>
        <w:spacing w:line="560" w:lineRule="exact"/>
        <w:ind w:firstLine="720"/>
        <w:jc w:val="left"/>
        <w:rPr>
          <w:rFonts w:eastAsia="仿宋_GB2312"/>
          <w:color w:val="000000"/>
          <w:kern w:val="0"/>
          <w:sz w:val="32"/>
          <w:szCs w:val="32"/>
          <w:shd w:val="clear" w:color="auto" w:fill="FFFFFF"/>
          <w:lang w:val="zh-CN"/>
        </w:rPr>
      </w:pPr>
      <w:r>
        <w:rPr>
          <w:rFonts w:eastAsia="仿宋_GB2312"/>
          <w:sz w:val="32"/>
          <w:szCs w:val="32"/>
        </w:rPr>
        <w:t>预算编制的预见性、准确性和科学性还需进一步加强。</w:t>
      </w:r>
    </w:p>
    <w:p>
      <w:pPr>
        <w:widowControl/>
        <w:adjustRightInd w:val="0"/>
        <w:snapToGrid w:val="0"/>
        <w:spacing w:line="560" w:lineRule="exact"/>
        <w:ind w:firstLine="642" w:firstLineChars="200"/>
        <w:contextualSpacing/>
        <w:jc w:val="left"/>
        <w:rPr>
          <w:rFonts w:ascii="楷体_GB2312" w:eastAsia="楷体_GB2312"/>
          <w:b/>
          <w:color w:val="000000"/>
          <w:kern w:val="0"/>
          <w:sz w:val="32"/>
          <w:szCs w:val="32"/>
          <w:shd w:val="clear" w:color="auto" w:fill="FFFFFF"/>
          <w:lang w:val="zh-CN"/>
        </w:rPr>
      </w:pPr>
      <w:r>
        <w:rPr>
          <w:rFonts w:hint="eastAsia" w:ascii="楷体_GB2312" w:eastAsia="楷体_GB2312"/>
          <w:b/>
          <w:color w:val="000000"/>
          <w:kern w:val="0"/>
          <w:sz w:val="32"/>
          <w:szCs w:val="32"/>
          <w:shd w:val="clear" w:color="auto" w:fill="FFFFFF"/>
          <w:lang w:val="zh-CN"/>
        </w:rPr>
        <w:t>（三）改进建议</w:t>
      </w:r>
    </w:p>
    <w:p>
      <w:pPr>
        <w:widowControl/>
        <w:adjustRightInd w:val="0"/>
        <w:snapToGrid w:val="0"/>
        <w:spacing w:line="560" w:lineRule="exact"/>
        <w:ind w:firstLine="640" w:firstLineChars="200"/>
        <w:jc w:val="left"/>
        <w:rPr>
          <w:rFonts w:eastAsia="仿宋_GB2312"/>
          <w:sz w:val="32"/>
          <w:szCs w:val="32"/>
        </w:rPr>
      </w:pPr>
      <w:r>
        <w:rPr>
          <w:rFonts w:eastAsia="仿宋_GB2312"/>
          <w:sz w:val="32"/>
          <w:szCs w:val="32"/>
        </w:rPr>
        <w:t>一是提高预算编制的准确性、科学性，细化预算经济科目，加强预算执行力；二是规范账务处理，提高财务信息质量；三是完善管理制度，进一步加强资产管理；四是进一步完善绩效考核指标。</w:t>
      </w:r>
    </w:p>
    <w:p>
      <w:pPr>
        <w:spacing w:line="560" w:lineRule="exact"/>
        <w:rPr>
          <w:rFonts w:eastAsia="仿宋_GB2312"/>
          <w:sz w:val="32"/>
          <w:szCs w:val="32"/>
          <w:lang w:val="zh-CN"/>
        </w:rPr>
      </w:pPr>
    </w:p>
    <w:p>
      <w:pPr>
        <w:spacing w:line="560" w:lineRule="exact"/>
        <w:ind w:firstLine="640" w:firstLineChars="200"/>
        <w:rPr>
          <w:rFonts w:eastAsia="仿宋_GB2312"/>
          <w:sz w:val="32"/>
          <w:szCs w:val="32"/>
        </w:rPr>
      </w:pPr>
      <w:r>
        <w:rPr>
          <w:rFonts w:eastAsia="仿宋_GB2312"/>
          <w:sz w:val="32"/>
          <w:szCs w:val="32"/>
        </w:rPr>
        <w:t>附表：</w:t>
      </w:r>
      <w:r>
        <w:rPr>
          <w:rFonts w:hint="eastAsia" w:eastAsia="仿宋_GB2312"/>
          <w:sz w:val="32"/>
          <w:szCs w:val="32"/>
        </w:rPr>
        <w:t>沐川县信访局</w:t>
      </w:r>
      <w:r>
        <w:rPr>
          <w:rFonts w:eastAsia="仿宋_GB2312"/>
          <w:sz w:val="32"/>
          <w:szCs w:val="32"/>
        </w:rPr>
        <w:t>部门预算特殊疑难信访问题专项资金项目支出绩效自评表（2023年度）</w:t>
      </w:r>
    </w:p>
    <w:tbl>
      <w:tblPr>
        <w:tblStyle w:val="13"/>
        <w:tblW w:w="0" w:type="auto"/>
        <w:tblInd w:w="93" w:type="dxa"/>
        <w:tblLayout w:type="autofit"/>
        <w:tblCellMar>
          <w:top w:w="0" w:type="dxa"/>
          <w:left w:w="108" w:type="dxa"/>
          <w:bottom w:w="0" w:type="dxa"/>
          <w:right w:w="108" w:type="dxa"/>
        </w:tblCellMar>
      </w:tblPr>
      <w:tblGrid>
        <w:gridCol w:w="1345"/>
        <w:gridCol w:w="616"/>
        <w:gridCol w:w="616"/>
        <w:gridCol w:w="2152"/>
        <w:gridCol w:w="1137"/>
        <w:gridCol w:w="1053"/>
        <w:gridCol w:w="574"/>
        <w:gridCol w:w="506"/>
        <w:gridCol w:w="430"/>
      </w:tblGrid>
      <w:tr>
        <w:tblPrEx>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特殊疑难信访问题专项资金项目支出绩效自评表</w:t>
            </w:r>
          </w:p>
        </w:tc>
      </w:tr>
      <w:tr>
        <w:tblPrEx>
          <w:tblCellMar>
            <w:top w:w="0" w:type="dxa"/>
            <w:left w:w="108" w:type="dxa"/>
            <w:bottom w:w="0" w:type="dxa"/>
            <w:right w:w="108" w:type="dxa"/>
          </w:tblCellMar>
        </w:tblPrEx>
        <w:trPr>
          <w:trHeight w:val="409"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项目名称：</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特殊疑难信访问题专项资金</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年度：</w:t>
            </w:r>
          </w:p>
        </w:tc>
        <w:tc>
          <w:tcPr>
            <w:tcW w:w="0" w:type="auto"/>
            <w:gridSpan w:val="4"/>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2023年度</w:t>
            </w:r>
          </w:p>
        </w:tc>
      </w:tr>
      <w:tr>
        <w:tblPrEx>
          <w:tblCellMar>
            <w:top w:w="0" w:type="dxa"/>
            <w:left w:w="108" w:type="dxa"/>
            <w:bottom w:w="0" w:type="dxa"/>
            <w:right w:w="108" w:type="dxa"/>
          </w:tblCellMar>
        </w:tblPrEx>
        <w:trPr>
          <w:trHeight w:val="40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主管部门：</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沐川县信访局</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实施单位：</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沐川县信访局</w:t>
            </w:r>
          </w:p>
        </w:tc>
      </w:tr>
      <w:tr>
        <w:tblPrEx>
          <w:tblCellMar>
            <w:top w:w="0" w:type="dxa"/>
            <w:left w:w="108" w:type="dxa"/>
            <w:bottom w:w="0" w:type="dxa"/>
            <w:right w:w="108" w:type="dxa"/>
          </w:tblCellMar>
        </w:tblPrEx>
        <w:trPr>
          <w:trHeight w:val="409" w:hRule="atLeast"/>
        </w:trPr>
        <w:tc>
          <w:tcPr>
            <w:tcW w:w="0" w:type="auto"/>
            <w:gridSpan w:val="9"/>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项目资金（万元）</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nil"/>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全年预算数</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全年执行数</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预算执行率</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年度资金总额</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29.86</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29.86</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其中：财政拨款</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29.86</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29.86</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其他资金</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9"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年度总体目标</w:t>
            </w:r>
          </w:p>
        </w:tc>
        <w:tc>
          <w:tcPr>
            <w:tcW w:w="0" w:type="auto"/>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预期目标</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实际完成情况</w:t>
            </w:r>
          </w:p>
        </w:tc>
      </w:tr>
      <w:tr>
        <w:tblPrEx>
          <w:tblCellMar>
            <w:top w:w="0" w:type="dxa"/>
            <w:left w:w="108" w:type="dxa"/>
            <w:bottom w:w="0" w:type="dxa"/>
            <w:right w:w="108" w:type="dxa"/>
          </w:tblCellMar>
        </w:tblPrEx>
        <w:trPr>
          <w:trHeight w:val="1902"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0" w:type="auto"/>
            <w:gridSpan w:val="4"/>
            <w:tcBorders>
              <w:top w:val="single" w:color="auto" w:sz="4" w:space="0"/>
              <w:left w:val="nil"/>
              <w:bottom w:val="nil"/>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解决复杂、长期积累、久拖未决、难以划分责任主体或无法追查责任单位的特殊疑难信访问题，特别是对事关民生的“无头案、钉子案、骨头案”的当事人畅通信访渠道、化解信访积案，实现事要解决、案结事了、和谐社会的工作目标，极大限度降低非正常重复上访量，使矛盾化解在基层，保障全县和谐发展。</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积极完成交办我县治重化积信访案件，严格按照财经法规制度，本着厉行节约原则，符合规定使用财政资金29.86万元。</w:t>
            </w:r>
          </w:p>
        </w:tc>
      </w:tr>
      <w:tr>
        <w:tblPrEx>
          <w:tblCellMar>
            <w:top w:w="0" w:type="dxa"/>
            <w:left w:w="108" w:type="dxa"/>
            <w:bottom w:w="0" w:type="dxa"/>
            <w:right w:w="108" w:type="dxa"/>
          </w:tblCellMar>
        </w:tblPrEx>
        <w:trPr>
          <w:trHeight w:val="529"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实际完成值</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分值/权重</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（百分制）</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扣分原因分析</w:t>
            </w:r>
          </w:p>
        </w:tc>
      </w:tr>
      <w:tr>
        <w:tblPrEx>
          <w:tblCellMar>
            <w:top w:w="0" w:type="dxa"/>
            <w:left w:w="108" w:type="dxa"/>
            <w:bottom w:w="0" w:type="dxa"/>
            <w:right w:w="108" w:type="dxa"/>
          </w:tblCellMar>
        </w:tblPrEx>
        <w:trPr>
          <w:trHeight w:val="409" w:hRule="atLeast"/>
        </w:trPr>
        <w:tc>
          <w:tcPr>
            <w:tcW w:w="0" w:type="auto"/>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    分</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gridSpan w:val="4"/>
            <w:tcBorders>
              <w:top w:val="single" w:color="auto" w:sz="4" w:space="0"/>
              <w:left w:val="single" w:color="auto" w:sz="4" w:space="0"/>
              <w:bottom w:val="single" w:color="auto" w:sz="4" w:space="0"/>
              <w:right w:val="single" w:color="000000"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预算执行率（10分）</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702" w:hRule="atLeast"/>
        </w:trPr>
        <w:tc>
          <w:tcPr>
            <w:tcW w:w="0" w:type="auto"/>
            <w:vMerge w:val="restar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产出指标</w:t>
            </w: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数量指标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化解特殊疑难、复杂信访突出问题及信访积案</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42"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质量指标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color w:val="333333"/>
                <w:kern w:val="0"/>
                <w:sz w:val="18"/>
                <w:szCs w:val="18"/>
              </w:rPr>
            </w:pPr>
            <w:r>
              <w:rPr>
                <w:rFonts w:hint="eastAsia" w:ascii="宋体" w:hAnsi="宋体" w:cs="宋体"/>
                <w:color w:val="333333"/>
                <w:kern w:val="0"/>
                <w:sz w:val="18"/>
                <w:szCs w:val="18"/>
              </w:rPr>
              <w:t>特殊疑难、复杂信访突出问题及信访积案化解率</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时效指标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完成时间</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2023年度</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2023年度</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成本指标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特殊疑难信访问题专项资金</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29.86</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29.86</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8</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80" w:hRule="atLeast"/>
        </w:trPr>
        <w:tc>
          <w:tcPr>
            <w:tcW w:w="0" w:type="auto"/>
            <w:vMerge w:val="restar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效益指标</w:t>
            </w: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经济效益指标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对社会经济增加产生促进作用</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社会经济稳定发展</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社会经济稳定发展</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8</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80"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社会效益指标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对解决疑难、复杂信访突出问题及信访积案</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优良中差</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良</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799"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生态效益指标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化解疑难、复杂信访突出问题及信访积案创造和谐生态环境</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优良中差</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良</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80"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可持续影响指标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信访稳定工作</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优良中差</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良</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满意度指标</w:t>
            </w: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满意度指标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对信访部门满意度</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758" w:hRule="atLeast"/>
        </w:trPr>
        <w:tc>
          <w:tcPr>
            <w:tcW w:w="0" w:type="auto"/>
            <w:gridSpan w:val="9"/>
            <w:tcBorders>
              <w:top w:val="single" w:color="auto" w:sz="4" w:space="0"/>
              <w:left w:val="nil"/>
              <w:bottom w:val="nil"/>
              <w:right w:val="nil"/>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说明：1.预算执行率得分=全年执行数/全年预算数*10分；</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      2.“产出指标、效益指标、满意度指标”一共90分，对应的是一体化系统中单位编制的项目绩效目标。</w:t>
            </w:r>
          </w:p>
        </w:tc>
      </w:tr>
    </w:tbl>
    <w:p>
      <w:pPr>
        <w:spacing w:line="560" w:lineRule="exact"/>
        <w:rPr>
          <w:rFonts w:eastAsia="黑体"/>
          <w:b/>
          <w:sz w:val="24"/>
          <w:szCs w:val="28"/>
        </w:rPr>
      </w:pPr>
    </w:p>
    <w:p>
      <w:pPr>
        <w:pStyle w:val="2"/>
      </w:pPr>
    </w:p>
    <w:p>
      <w:pPr>
        <w:spacing w:line="560" w:lineRule="exact"/>
        <w:rPr>
          <w:rFonts w:ascii="Arial" w:hAnsi="Arial" w:eastAsia="黑体"/>
          <w:b/>
          <w:sz w:val="24"/>
          <w:szCs w:val="28"/>
        </w:rPr>
      </w:pPr>
    </w:p>
    <w:p>
      <w:pPr>
        <w:spacing w:line="560" w:lineRule="exact"/>
        <w:rPr>
          <w:rFonts w:eastAsia="黑体"/>
          <w:sz w:val="32"/>
          <w:szCs w:val="32"/>
        </w:rPr>
      </w:pPr>
      <w:r>
        <w:rPr>
          <w:rFonts w:eastAsia="黑体"/>
          <w:sz w:val="32"/>
          <w:szCs w:val="32"/>
        </w:rPr>
        <w:t>附件2</w:t>
      </w:r>
    </w:p>
    <w:p>
      <w:pPr>
        <w:spacing w:line="560" w:lineRule="exact"/>
        <w:jc w:val="center"/>
        <w:rPr>
          <w:rFonts w:eastAsia="方正小标宋简体"/>
          <w:sz w:val="44"/>
          <w:szCs w:val="44"/>
        </w:rPr>
      </w:pPr>
      <w:r>
        <w:rPr>
          <w:rFonts w:eastAsia="方正小标宋简体"/>
          <w:sz w:val="44"/>
          <w:szCs w:val="44"/>
        </w:rPr>
        <w:t>专项预算项目绩效评价报告</w:t>
      </w:r>
    </w:p>
    <w:p>
      <w:pPr>
        <w:spacing w:line="560" w:lineRule="exact"/>
        <w:rPr>
          <w:rFonts w:eastAsia="仿宋_GB2312"/>
          <w:sz w:val="32"/>
          <w:szCs w:val="32"/>
          <w:lang w:val="zh-CN"/>
        </w:rPr>
      </w:pPr>
    </w:p>
    <w:p>
      <w:pPr>
        <w:spacing w:line="560" w:lineRule="exact"/>
        <w:ind w:firstLine="640" w:firstLineChars="200"/>
        <w:rPr>
          <w:rFonts w:eastAsia="黑体"/>
          <w:sz w:val="32"/>
          <w:szCs w:val="32"/>
          <w:lang w:val="zh-CN"/>
        </w:rPr>
      </w:pPr>
      <w:r>
        <w:rPr>
          <w:rFonts w:eastAsia="黑体"/>
          <w:sz w:val="32"/>
          <w:szCs w:val="32"/>
          <w:lang w:val="zh-CN"/>
        </w:rPr>
        <w:t>一、项目概况</w:t>
      </w:r>
    </w:p>
    <w:p>
      <w:pPr>
        <w:spacing w:line="560" w:lineRule="exact"/>
        <w:ind w:firstLine="642" w:firstLineChars="200"/>
        <w:rPr>
          <w:rFonts w:eastAsia="楷体_GB2312"/>
          <w:b/>
          <w:sz w:val="32"/>
          <w:szCs w:val="32"/>
          <w:lang w:val="zh-CN"/>
        </w:rPr>
      </w:pPr>
      <w:r>
        <w:rPr>
          <w:rFonts w:eastAsia="楷体_GB2312"/>
          <w:b/>
          <w:sz w:val="32"/>
          <w:szCs w:val="32"/>
          <w:lang w:val="zh-CN"/>
        </w:rPr>
        <w:t>（一）设立背景及基本情况</w:t>
      </w:r>
    </w:p>
    <w:p>
      <w:pPr>
        <w:spacing w:line="560" w:lineRule="exact"/>
        <w:ind w:firstLine="640" w:firstLineChars="200"/>
        <w:rPr>
          <w:rFonts w:eastAsia="仿宋_GB2312"/>
          <w:color w:val="353535"/>
          <w:sz w:val="32"/>
          <w:szCs w:val="32"/>
        </w:rPr>
      </w:pPr>
      <w:r>
        <w:rPr>
          <w:rFonts w:eastAsia="仿宋_GB2312"/>
          <w:color w:val="353535"/>
          <w:sz w:val="32"/>
          <w:szCs w:val="32"/>
        </w:rPr>
        <w:t>特殊疑难信访问题专项资金项目的设立原因及背景是存在复杂、长期积累、久拖未决、难以划分责任主体或无法追查责任单位的特殊疑难信访问题。所以建立此项目，</w:t>
      </w:r>
      <w:r>
        <w:rPr>
          <w:rFonts w:eastAsia="仿宋_GB2312"/>
          <w:sz w:val="32"/>
          <w:szCs w:val="32"/>
          <w:lang w:val="zh-CN"/>
        </w:rPr>
        <w:t>项目立项、资金申报的依据为每月按需申报，项目主要内容是</w:t>
      </w:r>
      <w:r>
        <w:rPr>
          <w:rFonts w:eastAsia="仿宋_GB2312"/>
          <w:color w:val="353535"/>
          <w:sz w:val="32"/>
          <w:szCs w:val="32"/>
        </w:rPr>
        <w:t>对事关民生的“无头案、钉子案、骨头案”的当事人实施适度救助，达到息访息诉，实现事要解决、案结事了、和谐社会主管部门检查、指导、协调县级各部门、各单位的信访工作，负责组织实施对全县信访工作的目标管理。</w:t>
      </w:r>
    </w:p>
    <w:p>
      <w:pPr>
        <w:spacing w:line="560" w:lineRule="exact"/>
        <w:ind w:firstLine="642" w:firstLineChars="200"/>
        <w:rPr>
          <w:rFonts w:eastAsia="楷体_GB2312"/>
          <w:b/>
          <w:sz w:val="32"/>
          <w:szCs w:val="32"/>
          <w:lang w:val="zh-CN"/>
        </w:rPr>
      </w:pPr>
      <w:r>
        <w:rPr>
          <w:rFonts w:eastAsia="楷体_GB2312"/>
          <w:b/>
          <w:sz w:val="32"/>
          <w:szCs w:val="32"/>
          <w:lang w:val="zh-CN"/>
        </w:rPr>
        <w:t>（二）实施目的及支持方向</w:t>
      </w:r>
    </w:p>
    <w:p>
      <w:pPr>
        <w:spacing w:line="560" w:lineRule="exact"/>
        <w:ind w:firstLine="640" w:firstLineChars="200"/>
        <w:rPr>
          <w:color w:val="353535"/>
        </w:rPr>
      </w:pPr>
      <w:r>
        <w:rPr>
          <w:rFonts w:eastAsia="仿宋_GB2312"/>
          <w:sz w:val="32"/>
          <w:szCs w:val="32"/>
          <w:lang w:val="zh-CN"/>
        </w:rPr>
        <w:t>制定有</w:t>
      </w:r>
      <w:r>
        <w:rPr>
          <w:rFonts w:eastAsia="仿宋_GB2312"/>
          <w:color w:val="353535"/>
          <w:sz w:val="32"/>
          <w:szCs w:val="32"/>
        </w:rPr>
        <w:t>特殊疑难信访问题专项资金项目</w:t>
      </w:r>
      <w:r>
        <w:rPr>
          <w:rFonts w:eastAsia="仿宋_GB2312"/>
          <w:sz w:val="32"/>
          <w:szCs w:val="32"/>
          <w:lang w:val="zh-CN"/>
        </w:rPr>
        <w:t>资金管理办法，项目实施目的和主要工作任务是为</w:t>
      </w:r>
      <w:r>
        <w:rPr>
          <w:rFonts w:eastAsia="仿宋_GB2312"/>
          <w:color w:val="353535"/>
          <w:sz w:val="32"/>
          <w:szCs w:val="32"/>
        </w:rPr>
        <w:t>了解决复杂、长期积累、久拖未决、难以划分责任主体或无法追查责任单位的特殊疑难信访问题，项目支持方向是对事关民生的“无头案、钉子案、骨头案”的当事人实施适度救助，达到息访息诉，实现事要解决、案结事了、促进社会和谐。</w:t>
      </w:r>
    </w:p>
    <w:p>
      <w:pPr>
        <w:spacing w:line="560" w:lineRule="exact"/>
        <w:ind w:firstLine="642" w:firstLineChars="200"/>
        <w:rPr>
          <w:rFonts w:eastAsia="仿宋_GB2312"/>
          <w:sz w:val="32"/>
          <w:szCs w:val="32"/>
          <w:lang w:val="zh-CN"/>
        </w:rPr>
      </w:pPr>
      <w:r>
        <w:rPr>
          <w:rFonts w:eastAsia="楷体_GB2312"/>
          <w:b/>
          <w:sz w:val="32"/>
          <w:szCs w:val="32"/>
          <w:lang w:val="zh-CN"/>
        </w:rPr>
        <w:t>（三）预算安排及分配管理</w:t>
      </w:r>
    </w:p>
    <w:p>
      <w:pPr>
        <w:spacing w:line="560" w:lineRule="exact"/>
        <w:ind w:firstLine="640" w:firstLineChars="200"/>
        <w:rPr>
          <w:color w:val="353535"/>
          <w:lang w:val="zh-CN"/>
        </w:rPr>
      </w:pPr>
      <w:r>
        <w:rPr>
          <w:rFonts w:eastAsia="仿宋_GB2312"/>
          <w:color w:val="353535"/>
          <w:sz w:val="32"/>
          <w:szCs w:val="32"/>
          <w:lang w:val="zh-CN"/>
        </w:rPr>
        <w:t>特殊疑难信访问题专项资金</w:t>
      </w:r>
      <w:r>
        <w:rPr>
          <w:rFonts w:eastAsia="仿宋_GB2312"/>
          <w:color w:val="353535"/>
          <w:sz w:val="32"/>
          <w:szCs w:val="32"/>
        </w:rPr>
        <w:t>项目预算资金</w:t>
      </w:r>
      <w:r>
        <w:rPr>
          <w:color w:val="353535"/>
          <w:sz w:val="32"/>
          <w:szCs w:val="32"/>
        </w:rPr>
        <w:t>29.86万元</w:t>
      </w:r>
      <w:r>
        <w:rPr>
          <w:rFonts w:eastAsia="仿宋_GB2312"/>
          <w:color w:val="353535"/>
          <w:sz w:val="32"/>
          <w:szCs w:val="32"/>
        </w:rPr>
        <w:t>。每月按需申报，实际申报额度29.86万元。经财政局批复下达后，</w:t>
      </w:r>
      <w:r>
        <w:rPr>
          <w:rFonts w:eastAsia="仿宋_GB2312"/>
          <w:sz w:val="32"/>
          <w:szCs w:val="32"/>
          <w:lang w:val="zh-CN"/>
        </w:rPr>
        <w:t>项目资金以按需分配为原则，使用该资金</w:t>
      </w:r>
      <w:r>
        <w:rPr>
          <w:rFonts w:eastAsia="仿宋_GB2312"/>
          <w:color w:val="353535"/>
          <w:sz w:val="32"/>
          <w:szCs w:val="32"/>
        </w:rPr>
        <w:t>符合</w:t>
      </w:r>
      <w:r>
        <w:rPr>
          <w:rFonts w:eastAsia="仿宋_GB2312"/>
          <w:color w:val="353535"/>
          <w:sz w:val="32"/>
          <w:szCs w:val="32"/>
          <w:lang w:val="zh-CN"/>
        </w:rPr>
        <w:t>特殊疑难信访问题专项</w:t>
      </w:r>
      <w:r>
        <w:rPr>
          <w:rFonts w:eastAsia="仿宋_GB2312"/>
          <w:color w:val="353535"/>
          <w:sz w:val="32"/>
          <w:szCs w:val="32"/>
        </w:rPr>
        <w:t>资金管理办法</w:t>
      </w:r>
      <w:r>
        <w:rPr>
          <w:rFonts w:eastAsia="仿宋_GB2312"/>
          <w:sz w:val="32"/>
          <w:szCs w:val="32"/>
          <w:lang w:val="zh-CN"/>
        </w:rPr>
        <w:t>，项目资金分配</w:t>
      </w:r>
      <w:r>
        <w:rPr>
          <w:rFonts w:eastAsia="仿宋_GB2312"/>
          <w:color w:val="353535"/>
          <w:sz w:val="32"/>
          <w:szCs w:val="32"/>
        </w:rPr>
        <w:t>全部用于化解复杂、疑难信访问题和信访稳定工作。</w:t>
      </w:r>
    </w:p>
    <w:p>
      <w:pPr>
        <w:spacing w:line="560" w:lineRule="exact"/>
        <w:ind w:firstLine="642" w:firstLineChars="200"/>
        <w:rPr>
          <w:rFonts w:eastAsia="仿宋_GB2312"/>
          <w:sz w:val="32"/>
          <w:szCs w:val="32"/>
          <w:lang w:val="zh-CN"/>
        </w:rPr>
      </w:pPr>
      <w:r>
        <w:rPr>
          <w:rFonts w:eastAsia="楷体_GB2312"/>
          <w:b/>
          <w:sz w:val="32"/>
          <w:szCs w:val="32"/>
          <w:lang w:val="zh-CN"/>
        </w:rPr>
        <w:t>（四）项目绩效目标设置</w:t>
      </w:r>
    </w:p>
    <w:p>
      <w:pPr>
        <w:spacing w:line="560" w:lineRule="exact"/>
        <w:ind w:firstLine="640" w:firstLineChars="200"/>
        <w:rPr>
          <w:rFonts w:eastAsia="仿宋_GB2312"/>
          <w:color w:val="353535"/>
          <w:sz w:val="32"/>
          <w:szCs w:val="32"/>
        </w:rPr>
      </w:pPr>
      <w:r>
        <w:rPr>
          <w:rFonts w:eastAsia="仿宋_GB2312"/>
          <w:color w:val="353535"/>
          <w:sz w:val="32"/>
          <w:szCs w:val="32"/>
        </w:rPr>
        <w:t>定性分析应实现的项目整体、区域和具体绩效目标为省市交办信访积案难案，复杂、疑难信访突出问题，通过利用有限的专项资金，科学安排，合理使用；定量分析实现的项目整体、区域和具体绩效目标为化解一批复杂、疑难积案，信访攻坚战积案化解，按上级交办数按期办理，项目实施按需求分月申报计划，按财政批复计划执行。按时开展项目自评工作。</w:t>
      </w:r>
    </w:p>
    <w:p>
      <w:pPr>
        <w:spacing w:line="560" w:lineRule="exact"/>
        <w:ind w:firstLine="640" w:firstLineChars="200"/>
        <w:rPr>
          <w:rFonts w:eastAsia="黑体"/>
          <w:sz w:val="32"/>
          <w:szCs w:val="32"/>
          <w:lang w:val="zh-CN"/>
        </w:rPr>
      </w:pPr>
      <w:r>
        <w:rPr>
          <w:rFonts w:eastAsia="黑体"/>
          <w:sz w:val="32"/>
          <w:szCs w:val="32"/>
          <w:lang w:val="zh-CN"/>
        </w:rPr>
        <w:t>二、评价实施</w:t>
      </w:r>
    </w:p>
    <w:p>
      <w:pPr>
        <w:spacing w:line="560" w:lineRule="exact"/>
        <w:ind w:firstLine="642" w:firstLineChars="200"/>
        <w:rPr>
          <w:rFonts w:eastAsia="楷体_GB2312"/>
          <w:b/>
          <w:sz w:val="32"/>
          <w:szCs w:val="32"/>
          <w:lang w:val="zh-CN"/>
        </w:rPr>
      </w:pPr>
      <w:r>
        <w:rPr>
          <w:rFonts w:eastAsia="楷体_GB2312"/>
          <w:b/>
          <w:sz w:val="32"/>
          <w:szCs w:val="32"/>
          <w:lang w:val="zh-CN"/>
        </w:rPr>
        <w:t>（一）评价目的</w:t>
      </w:r>
    </w:p>
    <w:p>
      <w:pPr>
        <w:spacing w:line="560" w:lineRule="exact"/>
        <w:ind w:firstLine="640" w:firstLineChars="200"/>
      </w:pPr>
      <w:r>
        <w:rPr>
          <w:color w:val="333333"/>
          <w:kern w:val="0"/>
          <w:sz w:val="32"/>
          <w:szCs w:val="32"/>
        </w:rPr>
        <w:t>沐川</w:t>
      </w:r>
      <w:r>
        <w:rPr>
          <w:rFonts w:eastAsia="仿宋_GB2312"/>
          <w:color w:val="333333"/>
          <w:kern w:val="0"/>
          <w:sz w:val="32"/>
          <w:szCs w:val="32"/>
        </w:rPr>
        <w:t>县信访局在实施</w:t>
      </w:r>
      <w:r>
        <w:rPr>
          <w:rFonts w:eastAsia="仿宋_GB2312"/>
          <w:sz w:val="32"/>
          <w:szCs w:val="32"/>
          <w:lang w:val="zh-CN"/>
        </w:rPr>
        <w:t>特殊疑难信访问题专项资金</w:t>
      </w:r>
      <w:r>
        <w:rPr>
          <w:rFonts w:eastAsia="仿宋_GB2312"/>
          <w:color w:val="333333"/>
          <w:kern w:val="0"/>
          <w:sz w:val="32"/>
          <w:szCs w:val="32"/>
        </w:rPr>
        <w:t>项目时，</w:t>
      </w:r>
      <w:r>
        <w:rPr>
          <w:rFonts w:eastAsia="仿宋_GB2312"/>
          <w:sz w:val="32"/>
          <w:szCs w:val="32"/>
          <w:lang w:val="zh-CN"/>
        </w:rPr>
        <w:t>通过项目绩效自评</w:t>
      </w:r>
      <w:r>
        <w:rPr>
          <w:rFonts w:eastAsia="仿宋_GB2312"/>
          <w:color w:val="333333"/>
          <w:kern w:val="0"/>
          <w:sz w:val="32"/>
          <w:szCs w:val="32"/>
        </w:rPr>
        <w:t>加强资金监管，规范监管程序，</w:t>
      </w:r>
      <w:r>
        <w:rPr>
          <w:rFonts w:eastAsia="仿宋_GB2312"/>
          <w:sz w:val="32"/>
          <w:szCs w:val="32"/>
        </w:rPr>
        <w:t>监管工作有序开展，有效化解一批复杂、疑难信访问题，</w:t>
      </w:r>
      <w:r>
        <w:rPr>
          <w:rFonts w:eastAsia="仿宋_GB2312"/>
          <w:color w:val="353535"/>
          <w:sz w:val="32"/>
          <w:szCs w:val="32"/>
        </w:rPr>
        <w:t>保证全县社会和谐稳定。</w:t>
      </w:r>
    </w:p>
    <w:p>
      <w:pPr>
        <w:spacing w:line="560" w:lineRule="exact"/>
        <w:ind w:firstLine="642" w:firstLineChars="200"/>
        <w:rPr>
          <w:rFonts w:eastAsia="楷体_GB2312"/>
          <w:b/>
          <w:sz w:val="32"/>
          <w:szCs w:val="32"/>
          <w:lang w:val="zh-CN"/>
        </w:rPr>
      </w:pPr>
      <w:r>
        <w:rPr>
          <w:rFonts w:eastAsia="楷体_GB2312"/>
          <w:b/>
          <w:sz w:val="32"/>
          <w:szCs w:val="32"/>
          <w:lang w:val="zh-CN"/>
        </w:rPr>
        <w:t>（二）预设问题及评价重点</w:t>
      </w:r>
    </w:p>
    <w:p>
      <w:pPr>
        <w:spacing w:line="560" w:lineRule="exact"/>
        <w:ind w:firstLine="640" w:firstLineChars="200"/>
        <w:rPr>
          <w:rFonts w:eastAsia="仿宋_GB2312"/>
          <w:sz w:val="32"/>
          <w:szCs w:val="32"/>
          <w:lang w:val="zh-CN"/>
        </w:rPr>
      </w:pPr>
      <w:r>
        <w:rPr>
          <w:rFonts w:eastAsia="仿宋_GB2312"/>
          <w:sz w:val="32"/>
          <w:szCs w:val="32"/>
          <w:lang w:val="zh-CN"/>
        </w:rPr>
        <w:t>按照绩效评价指标体系，对资金支出使用全过程监督及其实施效果良好确保社会稳定、极大降低重复上访率。</w:t>
      </w:r>
    </w:p>
    <w:p>
      <w:pPr>
        <w:spacing w:line="560" w:lineRule="exact"/>
        <w:ind w:firstLine="642" w:firstLineChars="200"/>
        <w:rPr>
          <w:rFonts w:eastAsia="楷体_GB2312"/>
          <w:b/>
          <w:sz w:val="32"/>
          <w:szCs w:val="32"/>
          <w:lang w:val="zh-CN"/>
        </w:rPr>
      </w:pPr>
      <w:r>
        <w:rPr>
          <w:rFonts w:eastAsia="楷体_GB2312"/>
          <w:b/>
          <w:sz w:val="32"/>
          <w:szCs w:val="32"/>
          <w:lang w:val="zh-CN"/>
        </w:rPr>
        <w:t>（三）评价选点</w:t>
      </w:r>
    </w:p>
    <w:p>
      <w:pPr>
        <w:spacing w:line="560" w:lineRule="exact"/>
        <w:ind w:firstLine="640" w:firstLineChars="200"/>
        <w:rPr>
          <w:rFonts w:eastAsia="仿宋_GB2312"/>
          <w:sz w:val="32"/>
          <w:szCs w:val="32"/>
          <w:lang w:val="zh-CN"/>
        </w:rPr>
      </w:pPr>
      <w:r>
        <w:rPr>
          <w:rFonts w:eastAsia="仿宋_GB2312"/>
          <w:sz w:val="32"/>
          <w:szCs w:val="32"/>
          <w:lang w:val="zh-CN"/>
        </w:rPr>
        <w:t>特殊疑难信访问题专项资金项目绩效自评所抽样点位是在信访案件按期办结时限，调阅信访信息系统及信访案件，参看群众参评率及满意情况。</w:t>
      </w:r>
    </w:p>
    <w:p>
      <w:pPr>
        <w:spacing w:line="560" w:lineRule="exact"/>
        <w:ind w:firstLine="642" w:firstLineChars="200"/>
        <w:rPr>
          <w:rFonts w:eastAsia="楷体_GB2312"/>
          <w:b/>
          <w:sz w:val="32"/>
          <w:szCs w:val="32"/>
          <w:lang w:val="zh-CN"/>
        </w:rPr>
      </w:pPr>
      <w:r>
        <w:rPr>
          <w:rFonts w:eastAsia="楷体_GB2312"/>
          <w:b/>
          <w:sz w:val="32"/>
          <w:szCs w:val="32"/>
          <w:lang w:val="zh-CN"/>
        </w:rPr>
        <w:t>（四）评价方法</w:t>
      </w:r>
    </w:p>
    <w:p>
      <w:pPr>
        <w:spacing w:line="560" w:lineRule="exact"/>
        <w:ind w:firstLine="640" w:firstLineChars="200"/>
        <w:rPr>
          <w:rFonts w:eastAsia="仿宋_GB2312"/>
          <w:sz w:val="32"/>
          <w:szCs w:val="32"/>
          <w:lang w:val="zh-CN"/>
        </w:rPr>
      </w:pPr>
      <w:r>
        <w:rPr>
          <w:rFonts w:eastAsia="仿宋_GB2312"/>
          <w:sz w:val="32"/>
          <w:szCs w:val="32"/>
          <w:lang w:val="zh-CN"/>
        </w:rPr>
        <w:t>特殊疑难信访问题专项资金</w:t>
      </w:r>
      <w:r>
        <w:rPr>
          <w:rFonts w:eastAsia="仿宋_GB2312"/>
          <w:color w:val="333333"/>
          <w:kern w:val="0"/>
          <w:sz w:val="32"/>
          <w:szCs w:val="32"/>
        </w:rPr>
        <w:t>项目</w:t>
      </w:r>
      <w:r>
        <w:rPr>
          <w:rFonts w:eastAsia="仿宋_GB2312"/>
          <w:sz w:val="32"/>
          <w:szCs w:val="32"/>
          <w:lang w:val="zh-CN"/>
        </w:rPr>
        <w:t>根据其项目情况采用成本效益分析法、单位自评法、座谈调研法等多种方法，开展评价，评价重点为群众满意度指标。</w:t>
      </w:r>
    </w:p>
    <w:p>
      <w:pPr>
        <w:pStyle w:val="12"/>
        <w:shd w:val="clear" w:color="auto" w:fill="FFFFFF"/>
        <w:spacing w:line="560" w:lineRule="exact"/>
        <w:ind w:firstLine="642" w:firstLineChars="200"/>
        <w:rPr>
          <w:rFonts w:ascii="Times New Roman" w:eastAsia="楷体_GB2312"/>
          <w:b/>
          <w:sz w:val="32"/>
          <w:szCs w:val="32"/>
          <w:lang w:val="zh-CN"/>
        </w:rPr>
      </w:pPr>
      <w:r>
        <w:rPr>
          <w:rFonts w:ascii="Times New Roman" w:eastAsia="楷体_GB2312"/>
          <w:b/>
          <w:sz w:val="32"/>
          <w:szCs w:val="32"/>
          <w:lang w:val="zh-CN"/>
        </w:rPr>
        <w:t>（五）评价组织</w:t>
      </w:r>
    </w:p>
    <w:p>
      <w:pPr>
        <w:pStyle w:val="12"/>
        <w:shd w:val="clear" w:color="auto" w:fill="FFFFFF"/>
        <w:spacing w:line="560" w:lineRule="exact"/>
        <w:ind w:firstLine="640" w:firstLineChars="200"/>
        <w:rPr>
          <w:rFonts w:ascii="Times New Roman" w:eastAsia="仿宋_GB2312"/>
          <w:color w:val="333333"/>
          <w:sz w:val="32"/>
          <w:szCs w:val="32"/>
        </w:rPr>
      </w:pPr>
      <w:r>
        <w:rPr>
          <w:rFonts w:ascii="Times New Roman" w:eastAsia="仿宋_GB2312"/>
          <w:sz w:val="32"/>
          <w:szCs w:val="32"/>
        </w:rPr>
        <w:t>沐川县信访局</w:t>
      </w:r>
      <w:r>
        <w:rPr>
          <w:rFonts w:ascii="Times New Roman" w:eastAsia="仿宋_GB2312"/>
          <w:sz w:val="32"/>
          <w:szCs w:val="32"/>
          <w:lang w:val="zh-CN"/>
        </w:rPr>
        <w:t>特殊疑难信访问题专项资金</w:t>
      </w:r>
      <w:r>
        <w:rPr>
          <w:rFonts w:ascii="Times New Roman" w:eastAsia="仿宋_GB2312"/>
          <w:sz w:val="32"/>
          <w:szCs w:val="32"/>
        </w:rPr>
        <w:t>项目</w:t>
      </w:r>
      <w:r>
        <w:rPr>
          <w:rFonts w:ascii="Times New Roman" w:eastAsia="仿宋_GB2312"/>
          <w:sz w:val="32"/>
          <w:szCs w:val="32"/>
          <w:lang w:val="zh-CN"/>
        </w:rPr>
        <w:t>评价组人员及职责分工</w:t>
      </w:r>
      <w:r>
        <w:rPr>
          <w:rFonts w:ascii="Times New Roman" w:eastAsia="仿宋_GB2312"/>
          <w:sz w:val="32"/>
          <w:szCs w:val="32"/>
        </w:rPr>
        <w:t>由</w:t>
      </w:r>
      <w:r>
        <w:rPr>
          <w:rFonts w:ascii="Times New Roman" w:eastAsia="仿宋_GB2312"/>
          <w:sz w:val="32"/>
          <w:szCs w:val="32"/>
          <w:lang w:val="zh-CN"/>
        </w:rPr>
        <w:t>局长</w:t>
      </w:r>
      <w:r>
        <w:rPr>
          <w:rFonts w:ascii="Times New Roman" w:eastAsia="仿宋_GB2312"/>
          <w:sz w:val="32"/>
          <w:szCs w:val="32"/>
        </w:rPr>
        <w:t>为项目</w:t>
      </w:r>
      <w:r>
        <w:rPr>
          <w:rFonts w:ascii="Times New Roman" w:eastAsia="仿宋_GB2312"/>
          <w:color w:val="000000"/>
          <w:sz w:val="32"/>
          <w:szCs w:val="32"/>
        </w:rPr>
        <w:t>负责人，副局长及其他部门人员为本项目工作人员，负责协调处理项目方面的各项工作。在项目实施时</w:t>
      </w:r>
      <w:r>
        <w:rPr>
          <w:rFonts w:ascii="Times New Roman" w:eastAsia="仿宋_GB2312"/>
          <w:color w:val="333333"/>
          <w:sz w:val="32"/>
          <w:szCs w:val="32"/>
        </w:rPr>
        <w:t>，项目资金管理严格按制度执行，如需会议纪要、实施方案、稳控措施、审核报告、息诉息访承诺书、办结报告等一系列文件，严格审批程序，确定上报项目。</w:t>
      </w:r>
    </w:p>
    <w:p>
      <w:pPr>
        <w:spacing w:line="560" w:lineRule="exact"/>
        <w:ind w:firstLine="640" w:firstLineChars="200"/>
        <w:rPr>
          <w:rFonts w:eastAsia="黑体"/>
          <w:sz w:val="32"/>
          <w:szCs w:val="32"/>
          <w:lang w:val="zh-CN"/>
        </w:rPr>
      </w:pPr>
      <w:r>
        <w:rPr>
          <w:rFonts w:eastAsia="黑体"/>
          <w:sz w:val="32"/>
          <w:szCs w:val="32"/>
          <w:lang w:val="zh-CN"/>
        </w:rPr>
        <w:t>三、绩效分析</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w:t>
      </w:r>
      <w:r>
        <w:rPr>
          <w:rFonts w:eastAsia="仿宋_GB2312"/>
          <w:sz w:val="32"/>
          <w:szCs w:val="32"/>
          <w:lang w:val="zh-CN"/>
        </w:rPr>
        <w:t>根据预算绩效评价指标体系“通用指标”“专用指标”“个性指标”涉及二、三级指标进行逐项绩效分析并评分。</w:t>
      </w:r>
    </w:p>
    <w:p>
      <w:pPr>
        <w:spacing w:line="560" w:lineRule="exact"/>
        <w:ind w:firstLine="642" w:firstLineChars="200"/>
        <w:rPr>
          <w:rFonts w:eastAsia="楷体_GB2312"/>
          <w:b/>
          <w:sz w:val="32"/>
          <w:szCs w:val="32"/>
          <w:lang w:val="zh-CN"/>
        </w:rPr>
      </w:pPr>
      <w:r>
        <w:rPr>
          <w:rFonts w:eastAsia="楷体_GB2312"/>
          <w:b/>
          <w:sz w:val="32"/>
          <w:szCs w:val="32"/>
          <w:lang w:val="zh-CN"/>
        </w:rPr>
        <w:t>（一）通用指标绩效分析。</w:t>
      </w:r>
    </w:p>
    <w:p>
      <w:pPr>
        <w:spacing w:line="560" w:lineRule="exact"/>
        <w:ind w:firstLine="642" w:firstLineChars="200"/>
        <w:rPr>
          <w:rFonts w:ascii="仿宋_GB2312" w:eastAsia="仿宋_GB2312"/>
          <w:b/>
          <w:sz w:val="32"/>
          <w:szCs w:val="32"/>
          <w:lang w:val="zh-CN"/>
        </w:rPr>
      </w:pPr>
      <w:r>
        <w:rPr>
          <w:rFonts w:hint="eastAsia" w:ascii="仿宋_GB2312" w:eastAsia="仿宋_GB2312"/>
          <w:b/>
          <w:sz w:val="32"/>
          <w:szCs w:val="32"/>
          <w:lang w:val="zh-CN"/>
        </w:rPr>
        <w:t>1.项目决策</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w:t>
      </w:r>
      <w:r>
        <w:rPr>
          <w:rFonts w:eastAsia="仿宋_GB2312"/>
          <w:sz w:val="32"/>
          <w:szCs w:val="32"/>
          <w:lang w:val="zh-CN"/>
        </w:rPr>
        <w:t>决策程序合理、规划论证恰当、资金投向精准。</w:t>
      </w:r>
    </w:p>
    <w:p>
      <w:pPr>
        <w:spacing w:line="560" w:lineRule="exact"/>
        <w:ind w:firstLine="642" w:firstLineChars="200"/>
        <w:rPr>
          <w:rFonts w:ascii="仿宋_GB2312" w:eastAsia="仿宋_GB2312"/>
          <w:b/>
          <w:sz w:val="32"/>
          <w:szCs w:val="32"/>
          <w:lang w:val="zh-CN"/>
        </w:rPr>
      </w:pPr>
      <w:r>
        <w:rPr>
          <w:rFonts w:ascii="仿宋_GB2312" w:eastAsia="仿宋_GB2312"/>
          <w:b/>
          <w:sz w:val="32"/>
          <w:szCs w:val="32"/>
          <w:lang w:val="zh-CN"/>
        </w:rPr>
        <w:t>2.项目管理</w:t>
      </w:r>
    </w:p>
    <w:p>
      <w:pPr>
        <w:spacing w:line="560" w:lineRule="exact"/>
        <w:ind w:firstLine="640" w:firstLineChars="200"/>
        <w:rPr>
          <w:rFonts w:eastAsia="仿宋_GB2312"/>
          <w:sz w:val="32"/>
          <w:szCs w:val="32"/>
          <w:lang w:val="zh-CN"/>
        </w:rPr>
      </w:pPr>
      <w:r>
        <w:rPr>
          <w:rFonts w:eastAsia="楷体_GB2312"/>
          <w:sz w:val="32"/>
          <w:szCs w:val="32"/>
          <w:lang w:val="zh-CN"/>
        </w:rPr>
        <w:t>项目</w:t>
      </w:r>
      <w:r>
        <w:rPr>
          <w:rFonts w:eastAsia="仿宋_GB2312"/>
          <w:sz w:val="32"/>
          <w:szCs w:val="32"/>
          <w:lang w:val="zh-CN"/>
        </w:rPr>
        <w:t>资金的制度办法与分配管理严格按照</w:t>
      </w:r>
      <w:r>
        <w:rPr>
          <w:rFonts w:eastAsia="仿宋_GB2312"/>
          <w:kern w:val="0"/>
          <w:sz w:val="32"/>
          <w:szCs w:val="32"/>
          <w:lang w:val="zh-CN"/>
        </w:rPr>
        <w:t>特殊疑难信访问题专项资金</w:t>
      </w:r>
      <w:r>
        <w:rPr>
          <w:rFonts w:eastAsia="仿宋_GB2312"/>
          <w:kern w:val="0"/>
          <w:sz w:val="32"/>
          <w:szCs w:val="32"/>
        </w:rPr>
        <w:t>使用管理办法执行，全过程实施</w:t>
      </w:r>
      <w:r>
        <w:rPr>
          <w:rFonts w:eastAsia="仿宋_GB2312"/>
          <w:sz w:val="32"/>
          <w:szCs w:val="32"/>
          <w:lang w:val="zh-CN"/>
        </w:rPr>
        <w:t>绩效监管。</w:t>
      </w:r>
    </w:p>
    <w:p>
      <w:pPr>
        <w:spacing w:line="560" w:lineRule="exact"/>
        <w:ind w:firstLine="642" w:firstLineChars="200"/>
        <w:rPr>
          <w:rFonts w:ascii="仿宋_GB2312" w:eastAsia="仿宋_GB2312"/>
          <w:b/>
          <w:sz w:val="32"/>
          <w:szCs w:val="32"/>
          <w:lang w:val="zh-CN"/>
        </w:rPr>
      </w:pPr>
      <w:r>
        <w:rPr>
          <w:rFonts w:ascii="仿宋_GB2312" w:eastAsia="仿宋_GB2312"/>
          <w:b/>
          <w:sz w:val="32"/>
          <w:szCs w:val="32"/>
          <w:lang w:val="zh-CN"/>
        </w:rPr>
        <w:t>3.项目实施</w:t>
      </w:r>
    </w:p>
    <w:p>
      <w:pPr>
        <w:spacing w:line="560" w:lineRule="exact"/>
        <w:ind w:firstLine="640" w:firstLineChars="200"/>
        <w:rPr>
          <w:rFonts w:eastAsia="仿宋_GB2312"/>
          <w:sz w:val="32"/>
          <w:szCs w:val="32"/>
          <w:lang w:val="zh-CN"/>
        </w:rPr>
      </w:pPr>
      <w:r>
        <w:rPr>
          <w:rFonts w:eastAsia="仿宋_GB2312"/>
          <w:sz w:val="32"/>
          <w:szCs w:val="32"/>
          <w:lang w:val="zh-CN"/>
        </w:rPr>
        <w:t>预算执行相对合理、资金使用程序合法合规。</w:t>
      </w:r>
    </w:p>
    <w:p>
      <w:pPr>
        <w:spacing w:line="560" w:lineRule="exact"/>
        <w:ind w:firstLine="642" w:firstLineChars="200"/>
        <w:rPr>
          <w:rFonts w:ascii="仿宋_GB2312" w:eastAsia="仿宋_GB2312"/>
          <w:b/>
          <w:sz w:val="32"/>
          <w:szCs w:val="32"/>
          <w:lang w:val="zh-CN"/>
        </w:rPr>
      </w:pPr>
      <w:r>
        <w:rPr>
          <w:rFonts w:ascii="仿宋_GB2312" w:eastAsia="仿宋_GB2312"/>
          <w:b/>
          <w:sz w:val="32"/>
          <w:szCs w:val="32"/>
          <w:lang w:val="zh-CN"/>
        </w:rPr>
        <w:t>4.项目结果</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w:t>
      </w:r>
      <w:r>
        <w:rPr>
          <w:rFonts w:eastAsia="仿宋_GB2312"/>
          <w:sz w:val="32"/>
          <w:szCs w:val="32"/>
          <w:lang w:val="zh-CN"/>
        </w:rPr>
        <w:t>目标完成良好、准时高效完成。</w:t>
      </w:r>
    </w:p>
    <w:p>
      <w:pPr>
        <w:spacing w:line="560" w:lineRule="exact"/>
        <w:ind w:firstLine="642" w:firstLineChars="200"/>
        <w:rPr>
          <w:rFonts w:eastAsia="楷体_GB2312"/>
          <w:b/>
          <w:sz w:val="32"/>
          <w:szCs w:val="32"/>
          <w:lang w:val="zh-CN"/>
        </w:rPr>
      </w:pPr>
      <w:r>
        <w:rPr>
          <w:rFonts w:eastAsia="楷体_GB2312"/>
          <w:b/>
          <w:sz w:val="32"/>
          <w:szCs w:val="32"/>
          <w:lang w:val="zh-CN"/>
        </w:rPr>
        <w:t>（二）专用指标绩效分析。</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w:t>
      </w:r>
      <w:r>
        <w:rPr>
          <w:rFonts w:eastAsia="仿宋_GB2312"/>
          <w:sz w:val="32"/>
          <w:szCs w:val="32"/>
          <w:lang w:val="zh-CN"/>
        </w:rPr>
        <w:t>专项预算项目资金支持对象包括产业发展、民生保障、基础设施、行政运转等方面。</w:t>
      </w:r>
    </w:p>
    <w:p>
      <w:pPr>
        <w:spacing w:line="560" w:lineRule="exact"/>
        <w:ind w:firstLine="642" w:firstLineChars="200"/>
        <w:rPr>
          <w:rFonts w:ascii="仿宋_GB2312" w:eastAsia="仿宋_GB2312"/>
          <w:b/>
          <w:sz w:val="32"/>
          <w:szCs w:val="32"/>
          <w:lang w:val="zh-CN"/>
        </w:rPr>
      </w:pPr>
      <w:r>
        <w:rPr>
          <w:rFonts w:hint="eastAsia" w:ascii="仿宋_GB2312" w:eastAsia="仿宋_GB2312"/>
          <w:b/>
          <w:sz w:val="32"/>
          <w:szCs w:val="32"/>
          <w:lang w:val="zh-CN"/>
        </w:rPr>
        <w:t>1.产业发展</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项目的设立</w:t>
      </w:r>
      <w:r>
        <w:rPr>
          <w:rFonts w:eastAsia="仿宋_GB2312"/>
          <w:sz w:val="32"/>
          <w:szCs w:val="32"/>
          <w:lang w:val="zh-CN"/>
        </w:rPr>
        <w:t>符合更好的信访部门的职能职责、对全县产业成长、经济增长有正向性促进。</w:t>
      </w:r>
    </w:p>
    <w:p>
      <w:pPr>
        <w:spacing w:line="560" w:lineRule="exact"/>
        <w:ind w:firstLine="642" w:firstLineChars="200"/>
        <w:rPr>
          <w:rFonts w:ascii="仿宋_GB2312" w:eastAsia="仿宋_GB2312"/>
          <w:b/>
          <w:sz w:val="32"/>
          <w:szCs w:val="32"/>
          <w:lang w:val="zh-CN"/>
        </w:rPr>
      </w:pPr>
      <w:r>
        <w:rPr>
          <w:rFonts w:ascii="仿宋_GB2312" w:eastAsia="仿宋_GB2312"/>
          <w:b/>
          <w:sz w:val="32"/>
          <w:szCs w:val="32"/>
          <w:lang w:val="zh-CN"/>
        </w:rPr>
        <w:t>2.民生保障</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w:t>
      </w:r>
      <w:r>
        <w:rPr>
          <w:rFonts w:eastAsia="仿宋_GB2312"/>
          <w:sz w:val="32"/>
          <w:szCs w:val="32"/>
          <w:lang w:val="zh-CN"/>
        </w:rPr>
        <w:t>保障民生有助于区域均衡、保障对象精准及标准合理、群众满意度达90%。</w:t>
      </w:r>
    </w:p>
    <w:p>
      <w:pPr>
        <w:spacing w:line="560" w:lineRule="exact"/>
        <w:ind w:firstLine="642" w:firstLineChars="200"/>
        <w:rPr>
          <w:rFonts w:ascii="仿宋_GB2312" w:eastAsia="仿宋_GB2312"/>
          <w:b/>
          <w:sz w:val="32"/>
          <w:szCs w:val="32"/>
          <w:lang w:val="zh-CN"/>
        </w:rPr>
      </w:pPr>
      <w:r>
        <w:rPr>
          <w:rFonts w:ascii="仿宋_GB2312" w:eastAsia="仿宋_GB2312"/>
          <w:b/>
          <w:sz w:val="32"/>
          <w:szCs w:val="32"/>
          <w:lang w:val="zh-CN"/>
        </w:rPr>
        <w:t>3.基础设施</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项目促进其他</w:t>
      </w:r>
      <w:r>
        <w:rPr>
          <w:rFonts w:eastAsia="仿宋_GB2312"/>
          <w:sz w:val="32"/>
          <w:szCs w:val="32"/>
          <w:lang w:val="zh-CN"/>
        </w:rPr>
        <w:t>在建项目的工程进度和资金拨付；有助于基础设施建成、项目验收、功能实现以及后续管护。</w:t>
      </w:r>
    </w:p>
    <w:p>
      <w:pPr>
        <w:spacing w:line="560" w:lineRule="exact"/>
        <w:ind w:firstLine="642" w:firstLineChars="200"/>
        <w:rPr>
          <w:rFonts w:ascii="仿宋_GB2312" w:eastAsia="仿宋_GB2312"/>
          <w:b/>
          <w:sz w:val="32"/>
          <w:szCs w:val="32"/>
          <w:lang w:val="zh-CN"/>
        </w:rPr>
      </w:pPr>
      <w:r>
        <w:rPr>
          <w:rFonts w:ascii="仿宋_GB2312" w:eastAsia="仿宋_GB2312"/>
          <w:b/>
          <w:sz w:val="32"/>
          <w:szCs w:val="32"/>
          <w:lang w:val="zh-CN"/>
        </w:rPr>
        <w:t>4.行政运转</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w:t>
      </w:r>
      <w:r>
        <w:rPr>
          <w:rFonts w:eastAsia="仿宋_GB2312"/>
          <w:sz w:val="32"/>
          <w:szCs w:val="32"/>
          <w:lang w:val="zh-CN"/>
        </w:rPr>
        <w:t>用途合规、程序合规及标准合规，全力保障行政运转。</w:t>
      </w:r>
    </w:p>
    <w:p>
      <w:pPr>
        <w:spacing w:line="560" w:lineRule="exact"/>
        <w:ind w:firstLine="642" w:firstLineChars="200"/>
        <w:rPr>
          <w:rFonts w:eastAsia="楷体_GB2312"/>
          <w:b/>
          <w:sz w:val="32"/>
          <w:szCs w:val="32"/>
          <w:lang w:val="zh-CN"/>
        </w:rPr>
      </w:pPr>
      <w:r>
        <w:rPr>
          <w:rFonts w:eastAsia="楷体_GB2312"/>
          <w:b/>
          <w:sz w:val="32"/>
          <w:szCs w:val="32"/>
          <w:lang w:val="zh-CN"/>
        </w:rPr>
        <w:t>（三）个性指标绩效分析</w:t>
      </w:r>
    </w:p>
    <w:p>
      <w:pPr>
        <w:spacing w:line="560" w:lineRule="exact"/>
        <w:ind w:firstLine="640" w:firstLineChars="200"/>
        <w:rPr>
          <w:rFonts w:eastAsia="仿宋_GB2312"/>
          <w:sz w:val="32"/>
          <w:szCs w:val="32"/>
          <w:lang w:val="zh-CN"/>
        </w:rPr>
      </w:pPr>
      <w:r>
        <w:rPr>
          <w:rFonts w:eastAsia="仿宋_GB2312"/>
          <w:kern w:val="0"/>
          <w:sz w:val="32"/>
          <w:szCs w:val="32"/>
          <w:lang w:val="zh-CN"/>
        </w:rPr>
        <w:t>特殊疑难信访问题专项资金</w:t>
      </w:r>
      <w:r>
        <w:rPr>
          <w:rFonts w:eastAsia="仿宋_GB2312"/>
          <w:kern w:val="0"/>
          <w:sz w:val="32"/>
          <w:szCs w:val="32"/>
        </w:rPr>
        <w:t>项目</w:t>
      </w:r>
      <w:r>
        <w:rPr>
          <w:rFonts w:eastAsia="仿宋_GB2312"/>
          <w:sz w:val="32"/>
          <w:szCs w:val="32"/>
          <w:lang w:val="zh-CN"/>
        </w:rPr>
        <w:t>个性自行设定指标为群众满意度指标，该指标达90%，项目执行完成情况良好。</w:t>
      </w:r>
    </w:p>
    <w:p>
      <w:pPr>
        <w:spacing w:line="560" w:lineRule="exact"/>
        <w:ind w:firstLine="640" w:firstLineChars="200"/>
        <w:rPr>
          <w:rFonts w:eastAsia="黑体"/>
          <w:sz w:val="32"/>
          <w:szCs w:val="32"/>
          <w:lang w:val="zh-CN"/>
        </w:rPr>
      </w:pPr>
      <w:r>
        <w:rPr>
          <w:rFonts w:eastAsia="黑体"/>
          <w:sz w:val="32"/>
          <w:szCs w:val="32"/>
          <w:lang w:val="zh-CN"/>
        </w:rPr>
        <w:t>四、评价结论</w:t>
      </w:r>
    </w:p>
    <w:p>
      <w:pPr>
        <w:shd w:val="clear" w:color="auto" w:fill="FFFFFF"/>
        <w:spacing w:line="560" w:lineRule="exact"/>
        <w:ind w:firstLine="720"/>
        <w:rPr>
          <w:rFonts w:eastAsia="仿宋_GB2312"/>
          <w:color w:val="000000"/>
          <w:sz w:val="32"/>
          <w:szCs w:val="32"/>
          <w:lang w:val="zh-CN"/>
        </w:rPr>
      </w:pPr>
      <w:r>
        <w:rPr>
          <w:rFonts w:eastAsia="仿宋_GB2312"/>
          <w:sz w:val="32"/>
          <w:szCs w:val="32"/>
          <w:lang w:val="zh-CN"/>
        </w:rPr>
        <w:t>特殊疑难信访问题专项资金专项预算项目绩效自评总体结论</w:t>
      </w:r>
      <w:r>
        <w:rPr>
          <w:rFonts w:eastAsia="仿宋_GB2312"/>
          <w:color w:val="000000"/>
          <w:sz w:val="32"/>
          <w:szCs w:val="32"/>
        </w:rPr>
        <w:t>积极完成交办我县治重化积信访案件，严格按照财经法规制度，本着厉行节约原则，符合规定使用财政资金29.86万元。</w:t>
      </w:r>
      <w:r>
        <w:rPr>
          <w:rFonts w:eastAsia="仿宋_GB2312"/>
          <w:sz w:val="32"/>
          <w:szCs w:val="32"/>
          <w:lang w:val="zh-CN"/>
        </w:rPr>
        <w:t>项目实施情况：</w:t>
      </w:r>
      <w:r>
        <w:rPr>
          <w:rFonts w:eastAsia="仿宋_GB2312"/>
          <w:color w:val="000000"/>
          <w:sz w:val="32"/>
          <w:szCs w:val="32"/>
        </w:rPr>
        <w:t>截止2023年12月31日，沐川县信访局</w:t>
      </w:r>
      <w:r>
        <w:rPr>
          <w:rFonts w:eastAsia="仿宋_GB2312"/>
          <w:sz w:val="32"/>
          <w:szCs w:val="32"/>
          <w:lang w:val="zh-CN"/>
        </w:rPr>
        <w:t>特殊疑难信访问题专项资金</w:t>
      </w:r>
      <w:r>
        <w:rPr>
          <w:rFonts w:eastAsia="仿宋_GB2312"/>
          <w:sz w:val="32"/>
          <w:szCs w:val="32"/>
        </w:rPr>
        <w:t>支出29.86万元。</w:t>
      </w:r>
      <w:r>
        <w:rPr>
          <w:rFonts w:eastAsia="仿宋_GB2312"/>
          <w:color w:val="000000"/>
          <w:sz w:val="32"/>
          <w:szCs w:val="32"/>
        </w:rPr>
        <w:t>该项目在上级有关部门的关心、帮助下，顺利推进，圆满完成目标任务。数量指标上完成一批信访攻坚战积案化解，按上级交办数按期办理全力攻坚“治重化积”工作，难案疑案积案得到有效突破，2023年中央、省、市交办我县“治重化积”信访件共2件全部化解；完成质量高，受理率100%，圆满化解；计划完成进度快，受理时效性高，及时处理信访案件，信访案件办结率、息诉息访率高；成本支出严格控制</w:t>
      </w:r>
      <w:r>
        <w:rPr>
          <w:rFonts w:eastAsia="仿宋_GB2312"/>
          <w:color w:val="353535"/>
          <w:sz w:val="32"/>
          <w:szCs w:val="32"/>
        </w:rPr>
        <w:t>，</w:t>
      </w:r>
      <w:r>
        <w:rPr>
          <w:rFonts w:eastAsia="仿宋_GB2312"/>
          <w:sz w:val="32"/>
          <w:szCs w:val="32"/>
          <w:lang w:val="zh-CN"/>
        </w:rPr>
        <w:t>成本控制目标实现良</w:t>
      </w:r>
      <w:r>
        <w:rPr>
          <w:rFonts w:hint="eastAsia" w:eastAsia="仿宋_GB2312"/>
          <w:sz w:val="32"/>
          <w:szCs w:val="32"/>
          <w:lang w:val="zh-CN"/>
        </w:rPr>
        <w:t>好</w:t>
      </w:r>
      <w:r>
        <w:rPr>
          <w:rFonts w:eastAsia="仿宋_GB2312"/>
          <w:lang w:val="zh-CN"/>
        </w:rPr>
        <w:t>，</w:t>
      </w:r>
      <w:r>
        <w:rPr>
          <w:rFonts w:eastAsia="仿宋_GB2312"/>
          <w:color w:val="000000"/>
          <w:sz w:val="32"/>
          <w:szCs w:val="32"/>
        </w:rPr>
        <w:t>该项目全面完成并无</w:t>
      </w:r>
      <w:r>
        <w:rPr>
          <w:rFonts w:eastAsia="仿宋_GB2312"/>
          <w:sz w:val="32"/>
          <w:szCs w:val="32"/>
        </w:rPr>
        <w:t>违规记录</w:t>
      </w:r>
      <w:r>
        <w:rPr>
          <w:rFonts w:eastAsia="仿宋_GB2312"/>
          <w:sz w:val="32"/>
          <w:szCs w:val="32"/>
          <w:lang w:val="zh-CN"/>
        </w:rPr>
        <w:t>等情况</w:t>
      </w:r>
      <w:r>
        <w:rPr>
          <w:rFonts w:eastAsia="仿宋_GB2312"/>
          <w:color w:val="000000"/>
          <w:sz w:val="32"/>
          <w:szCs w:val="32"/>
        </w:rPr>
        <w:t>。</w:t>
      </w:r>
      <w:r>
        <w:rPr>
          <w:rFonts w:eastAsia="仿宋_GB2312"/>
          <w:sz w:val="32"/>
          <w:szCs w:val="32"/>
          <w:lang w:val="zh-CN"/>
        </w:rPr>
        <w:t>特殊疑难信访问题专项资金项目评价总分90分。</w:t>
      </w:r>
    </w:p>
    <w:p>
      <w:pPr>
        <w:spacing w:line="560" w:lineRule="exact"/>
        <w:ind w:firstLine="640" w:firstLineChars="200"/>
        <w:rPr>
          <w:rFonts w:ascii="黑体" w:hAnsi="黑体" w:eastAsia="黑体"/>
          <w:sz w:val="32"/>
          <w:szCs w:val="32"/>
          <w:lang w:val="zh-CN"/>
        </w:rPr>
      </w:pPr>
      <w:r>
        <w:rPr>
          <w:rFonts w:ascii="黑体" w:hAnsi="黑体" w:eastAsia="黑体"/>
          <w:sz w:val="32"/>
          <w:szCs w:val="32"/>
          <w:lang w:val="zh-CN"/>
        </w:rPr>
        <w:t>五、存在主要问题</w:t>
      </w:r>
    </w:p>
    <w:p>
      <w:pPr>
        <w:pStyle w:val="12"/>
        <w:spacing w:line="560" w:lineRule="exact"/>
        <w:ind w:firstLine="800" w:firstLineChars="250"/>
        <w:rPr>
          <w:rFonts w:ascii="Times New Roman" w:eastAsia="仿宋_GB2312"/>
          <w:kern w:val="2"/>
          <w:sz w:val="32"/>
          <w:szCs w:val="32"/>
        </w:rPr>
      </w:pPr>
      <w:r>
        <w:rPr>
          <w:rFonts w:ascii="Times New Roman" w:eastAsia="仿宋_GB2312"/>
          <w:kern w:val="2"/>
          <w:sz w:val="32"/>
          <w:szCs w:val="32"/>
        </w:rPr>
        <w:t>由于信访工作具有其特殊性，投入产出评价指标难以用数据直接体现，定量分析还有待加强。</w:t>
      </w:r>
    </w:p>
    <w:p>
      <w:pPr>
        <w:spacing w:line="560" w:lineRule="exact"/>
        <w:ind w:firstLine="640" w:firstLineChars="200"/>
        <w:rPr>
          <w:rFonts w:eastAsia="黑体"/>
          <w:sz w:val="32"/>
          <w:szCs w:val="32"/>
          <w:lang w:val="zh-CN"/>
        </w:rPr>
      </w:pPr>
      <w:r>
        <w:rPr>
          <w:rFonts w:eastAsia="黑体"/>
          <w:sz w:val="32"/>
          <w:szCs w:val="32"/>
          <w:lang w:val="zh-CN"/>
        </w:rPr>
        <w:t>六、改进建议</w:t>
      </w:r>
    </w:p>
    <w:p>
      <w:pPr>
        <w:widowControl/>
        <w:adjustRightInd w:val="0"/>
        <w:snapToGrid w:val="0"/>
        <w:spacing w:line="560" w:lineRule="exact"/>
        <w:ind w:firstLine="640" w:firstLineChars="200"/>
        <w:jc w:val="left"/>
      </w:pPr>
      <w:r>
        <w:rPr>
          <w:rFonts w:eastAsia="仿宋_GB2312"/>
          <w:sz w:val="32"/>
          <w:szCs w:val="32"/>
        </w:rPr>
        <w:t>一是科学合理编制预算，严格执行预算；二是规范账务处理，提高财务信息质量；三是完善管理制度，进一步加强资金管理；四是</w:t>
      </w:r>
      <w:r>
        <w:rPr>
          <w:rFonts w:eastAsia="仿宋_GB2312"/>
          <w:color w:val="333333"/>
          <w:sz w:val="32"/>
          <w:szCs w:val="32"/>
        </w:rPr>
        <w:t>坚持问题导向，建立预算支出绩效评价长效机制</w:t>
      </w:r>
      <w:r>
        <w:rPr>
          <w:rFonts w:eastAsia="仿宋_GB2312"/>
          <w:sz w:val="32"/>
          <w:szCs w:val="32"/>
        </w:rPr>
        <w:t>。</w:t>
      </w:r>
    </w:p>
    <w:p>
      <w:pPr>
        <w:widowControl/>
        <w:adjustRightInd w:val="0"/>
        <w:snapToGrid w:val="0"/>
        <w:spacing w:line="560" w:lineRule="exact"/>
        <w:ind w:left="720" w:firstLine="420" w:firstLineChars="200"/>
        <w:jc w:val="left"/>
      </w:pPr>
    </w:p>
    <w:p>
      <w:pPr>
        <w:spacing w:line="560" w:lineRule="exact"/>
        <w:rPr>
          <w:lang w:val="zh-CN"/>
        </w:rPr>
      </w:pPr>
    </w:p>
    <w:p>
      <w:pPr>
        <w:pStyle w:val="3"/>
        <w:spacing w:line="560" w:lineRule="exact"/>
        <w:jc w:val="center"/>
        <w:rPr>
          <w:rFonts w:eastAsia="黑体"/>
        </w:rPr>
      </w:pPr>
      <w:bookmarkStart w:id="80" w:name="_Toc177484466"/>
      <w:r>
        <w:rPr>
          <w:rFonts w:eastAsia="黑体"/>
        </w:rPr>
        <w:t>第五部分 附表</w:t>
      </w:r>
      <w:bookmarkEnd w:id="80"/>
    </w:p>
    <w:p>
      <w:pPr>
        <w:spacing w:line="560" w:lineRule="exact"/>
        <w:rPr>
          <w:rFonts w:eastAsia="仿宋"/>
          <w:sz w:val="32"/>
          <w:szCs w:val="32"/>
        </w:rPr>
      </w:pPr>
      <w:r>
        <w:rPr>
          <w:rFonts w:eastAsia="仿宋"/>
          <w:sz w:val="32"/>
          <w:szCs w:val="32"/>
        </w:rPr>
        <w:t>一、收入支出决算总表</w:t>
      </w:r>
    </w:p>
    <w:p>
      <w:pPr>
        <w:spacing w:line="560" w:lineRule="exact"/>
        <w:rPr>
          <w:rFonts w:eastAsia="仿宋"/>
          <w:sz w:val="32"/>
          <w:szCs w:val="32"/>
        </w:rPr>
      </w:pPr>
      <w:r>
        <w:rPr>
          <w:rFonts w:eastAsia="仿宋"/>
          <w:sz w:val="32"/>
          <w:szCs w:val="32"/>
        </w:rPr>
        <w:t>二、收入决算表</w:t>
      </w:r>
    </w:p>
    <w:p>
      <w:pPr>
        <w:spacing w:line="560" w:lineRule="exact"/>
        <w:rPr>
          <w:rFonts w:eastAsia="仿宋"/>
          <w:sz w:val="32"/>
          <w:szCs w:val="32"/>
        </w:rPr>
      </w:pPr>
      <w:r>
        <w:rPr>
          <w:rFonts w:eastAsia="仿宋"/>
          <w:sz w:val="32"/>
          <w:szCs w:val="32"/>
        </w:rPr>
        <w:t>三、支出决算表</w:t>
      </w:r>
    </w:p>
    <w:p>
      <w:pPr>
        <w:spacing w:line="560" w:lineRule="exact"/>
        <w:rPr>
          <w:rFonts w:eastAsia="仿宋"/>
          <w:sz w:val="32"/>
          <w:szCs w:val="32"/>
        </w:rPr>
      </w:pPr>
      <w:r>
        <w:rPr>
          <w:rFonts w:eastAsia="仿宋"/>
          <w:sz w:val="32"/>
          <w:szCs w:val="32"/>
        </w:rPr>
        <w:t>四、财政拨款收入支出决算总表</w:t>
      </w:r>
    </w:p>
    <w:p>
      <w:pPr>
        <w:spacing w:line="560" w:lineRule="exact"/>
        <w:rPr>
          <w:rFonts w:eastAsia="仿宋"/>
          <w:sz w:val="32"/>
          <w:szCs w:val="32"/>
        </w:rPr>
      </w:pPr>
      <w:r>
        <w:rPr>
          <w:rFonts w:eastAsia="仿宋"/>
          <w:sz w:val="32"/>
          <w:szCs w:val="32"/>
        </w:rPr>
        <w:t>五、财政拨款支出决算明细表</w:t>
      </w:r>
    </w:p>
    <w:p>
      <w:pPr>
        <w:spacing w:line="560" w:lineRule="exact"/>
        <w:rPr>
          <w:rFonts w:eastAsia="仿宋"/>
          <w:sz w:val="32"/>
          <w:szCs w:val="32"/>
        </w:rPr>
      </w:pPr>
      <w:r>
        <w:rPr>
          <w:rFonts w:eastAsia="仿宋"/>
          <w:sz w:val="32"/>
          <w:szCs w:val="32"/>
        </w:rPr>
        <w:t>六、一般公共预算财政拨款支出决算表</w:t>
      </w:r>
    </w:p>
    <w:p>
      <w:pPr>
        <w:spacing w:line="560" w:lineRule="exact"/>
        <w:rPr>
          <w:rFonts w:eastAsia="仿宋"/>
          <w:sz w:val="32"/>
          <w:szCs w:val="32"/>
        </w:rPr>
      </w:pPr>
      <w:r>
        <w:rPr>
          <w:rFonts w:eastAsia="仿宋"/>
          <w:sz w:val="32"/>
          <w:szCs w:val="32"/>
        </w:rPr>
        <w:t>七、一般公共预算财政拨款支出决算明细表</w:t>
      </w:r>
    </w:p>
    <w:p>
      <w:pPr>
        <w:spacing w:line="560" w:lineRule="exact"/>
        <w:rPr>
          <w:rFonts w:eastAsia="仿宋"/>
          <w:sz w:val="32"/>
          <w:szCs w:val="32"/>
        </w:rPr>
      </w:pPr>
      <w:r>
        <w:rPr>
          <w:rFonts w:eastAsia="仿宋"/>
          <w:sz w:val="32"/>
          <w:szCs w:val="32"/>
        </w:rPr>
        <w:t>八、一般公共预算财政拨款基本支出决算表</w:t>
      </w:r>
    </w:p>
    <w:p>
      <w:pPr>
        <w:spacing w:line="560" w:lineRule="exact"/>
        <w:rPr>
          <w:rFonts w:eastAsia="仿宋"/>
          <w:sz w:val="32"/>
          <w:szCs w:val="32"/>
        </w:rPr>
      </w:pPr>
      <w:r>
        <w:rPr>
          <w:rFonts w:eastAsia="仿宋"/>
          <w:sz w:val="32"/>
          <w:szCs w:val="32"/>
        </w:rPr>
        <w:t>九、一般公共预算财政拨款项目支出决算表</w:t>
      </w:r>
    </w:p>
    <w:p>
      <w:pPr>
        <w:spacing w:line="560" w:lineRule="exact"/>
        <w:rPr>
          <w:rFonts w:eastAsia="仿宋"/>
          <w:sz w:val="32"/>
          <w:szCs w:val="32"/>
        </w:rPr>
      </w:pPr>
      <w:r>
        <w:rPr>
          <w:rFonts w:eastAsia="仿宋"/>
          <w:sz w:val="32"/>
          <w:szCs w:val="32"/>
        </w:rPr>
        <w:t>十、政府性基金预算财政拨款收入支出决算表</w:t>
      </w:r>
    </w:p>
    <w:p>
      <w:pPr>
        <w:spacing w:line="560" w:lineRule="exact"/>
        <w:rPr>
          <w:rFonts w:eastAsia="仿宋"/>
          <w:sz w:val="32"/>
          <w:szCs w:val="32"/>
        </w:rPr>
      </w:pPr>
      <w:r>
        <w:rPr>
          <w:rFonts w:eastAsia="仿宋"/>
          <w:sz w:val="32"/>
          <w:szCs w:val="32"/>
        </w:rPr>
        <w:t>十一、国有资本经营预算财政拨款收入支出决算表</w:t>
      </w:r>
    </w:p>
    <w:p>
      <w:pPr>
        <w:spacing w:line="560" w:lineRule="exact"/>
        <w:rPr>
          <w:rFonts w:eastAsia="仿宋"/>
          <w:sz w:val="32"/>
          <w:szCs w:val="32"/>
        </w:rPr>
      </w:pPr>
      <w:r>
        <w:rPr>
          <w:rFonts w:eastAsia="仿宋"/>
          <w:sz w:val="32"/>
          <w:szCs w:val="32"/>
        </w:rPr>
        <w:t>十二、国有资本经营预算财政拨款支出决算表</w:t>
      </w:r>
    </w:p>
    <w:p>
      <w:pPr>
        <w:spacing w:line="560" w:lineRule="exact"/>
        <w:rPr>
          <w:rFonts w:eastAsia="仿宋"/>
          <w:sz w:val="32"/>
          <w:szCs w:val="32"/>
        </w:rPr>
      </w:pPr>
      <w:r>
        <w:rPr>
          <w:rFonts w:eastAsia="仿宋"/>
          <w:sz w:val="32"/>
          <w:szCs w:val="32"/>
        </w:rPr>
        <w:t>十三、财政拨款“三公”经费支出决算表</w:t>
      </w:r>
    </w:p>
    <w:p>
      <w:pPr>
        <w:spacing w:line="560" w:lineRule="exact"/>
      </w:pPr>
    </w:p>
    <w:p>
      <w:pPr>
        <w:spacing w:line="560" w:lineRule="exact"/>
      </w:pPr>
    </w:p>
    <w:p>
      <w:pPr>
        <w:spacing w:line="560" w:lineRule="exact"/>
      </w:pPr>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KAAAAAACHTuJAAAAAAAAAAAAAAAAABAAA&#10;AAAAAAAAABAAAAAWAAAAZHJzL1BLAQIUABQAAAAIAIdO4kDgtrOiyQEAAJkDAAAOAAAAAAAAAAEA&#10;IAAAADQBAABkcnMvZTJvRG9jLnhtbFBLAQIUABQAAAAIAIdO4kDOqXm5zwAAAAUBAAAPAAAAAAAA&#10;AAEAIAAAADgAAABkcnMvZG93bnJldi54bWxQSwUGAAAAAAYABgBZAQAAbwU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AoAAAAAAIdO4kAAAAAAAAAAAAAAAAAEAAAA&#10;AAAAAAAAEAAAABYAAABkcnMvUEsBAhQAFAAAAAgAh07iQPAdavrIAQAAmQMAAA4AAAAAAAAAAQAg&#10;AAAANAEAAGRycy9lMm9Eb2MueG1sUEsBAhQAFAAAAAgAh07iQM6pebnPAAAABQEAAA8AAAAAAAAA&#10;AQAgAAAAOAAAAGRycy9kb3ducmV2LnhtbFBLBQYAAAAABgAGAFkBAABuBQ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F896D"/>
    <w:multiLevelType w:val="singleLevel"/>
    <w:tmpl w:val="BAAF896D"/>
    <w:lvl w:ilvl="0" w:tentative="0">
      <w:start w:val="3"/>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3672D894"/>
    <w:multiLevelType w:val="singleLevel"/>
    <w:tmpl w:val="3672D894"/>
    <w:lvl w:ilvl="0" w:tentative="0">
      <w:start w:val="2"/>
      <w:numFmt w:val="chineseCounting"/>
      <w:suff w:val="nothing"/>
      <w:lvlText w:val="（%1）"/>
      <w:lvlJc w:val="left"/>
      <w:rPr>
        <w:rFonts w:hint="eastAsia"/>
      </w:rPr>
    </w:lvl>
  </w:abstractNum>
  <w:abstractNum w:abstractNumId="4">
    <w:nsid w:val="43F975E3"/>
    <w:multiLevelType w:val="multilevel"/>
    <w:tmpl w:val="43F975E3"/>
    <w:lvl w:ilvl="0" w:tentative="0">
      <w:start w:val="1"/>
      <w:numFmt w:val="japaneseCounting"/>
      <w:lvlText w:val="%1、"/>
      <w:lvlJc w:val="left"/>
      <w:pPr>
        <w:ind w:left="1380" w:hanging="720"/>
      </w:pPr>
      <w:rPr>
        <w:rFonts w:hint="default" w:hAnsi="黑体"/>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3FC"/>
    <w:rsid w:val="00021D86"/>
    <w:rsid w:val="000360BF"/>
    <w:rsid w:val="00036644"/>
    <w:rsid w:val="000B7B0C"/>
    <w:rsid w:val="000C7F3C"/>
    <w:rsid w:val="001E451B"/>
    <w:rsid w:val="00237F05"/>
    <w:rsid w:val="002A7B1D"/>
    <w:rsid w:val="00333E25"/>
    <w:rsid w:val="003341B2"/>
    <w:rsid w:val="003B01EB"/>
    <w:rsid w:val="003F1ABB"/>
    <w:rsid w:val="00487A89"/>
    <w:rsid w:val="004B0311"/>
    <w:rsid w:val="004B704A"/>
    <w:rsid w:val="004F6450"/>
    <w:rsid w:val="00500701"/>
    <w:rsid w:val="0050324E"/>
    <w:rsid w:val="005618BF"/>
    <w:rsid w:val="005623FC"/>
    <w:rsid w:val="00567A61"/>
    <w:rsid w:val="005F7751"/>
    <w:rsid w:val="006372E8"/>
    <w:rsid w:val="006F685C"/>
    <w:rsid w:val="007C17B7"/>
    <w:rsid w:val="007C6A53"/>
    <w:rsid w:val="007D1EE0"/>
    <w:rsid w:val="008C73E4"/>
    <w:rsid w:val="00900F00"/>
    <w:rsid w:val="009130AC"/>
    <w:rsid w:val="009A403C"/>
    <w:rsid w:val="00B62312"/>
    <w:rsid w:val="00BE1248"/>
    <w:rsid w:val="00C079DF"/>
    <w:rsid w:val="00C339FD"/>
    <w:rsid w:val="00D21B00"/>
    <w:rsid w:val="00D66CE4"/>
    <w:rsid w:val="00D7761E"/>
    <w:rsid w:val="00D94FEE"/>
    <w:rsid w:val="00EC3B9B"/>
    <w:rsid w:val="00EF2FA4"/>
    <w:rsid w:val="00F41C4A"/>
    <w:rsid w:val="00F7351B"/>
    <w:rsid w:val="0E045665"/>
    <w:rsid w:val="11087A0C"/>
    <w:rsid w:val="16EC2BA6"/>
    <w:rsid w:val="267628A6"/>
    <w:rsid w:val="26840C9D"/>
    <w:rsid w:val="28BA505F"/>
    <w:rsid w:val="30F42A4E"/>
    <w:rsid w:val="43B05611"/>
    <w:rsid w:val="442C42E7"/>
    <w:rsid w:val="4FFC2B23"/>
    <w:rsid w:val="576616F1"/>
    <w:rsid w:val="77A96F2C"/>
    <w:rsid w:val="7FBAC968"/>
    <w:rsid w:val="AB5D2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5">
    <w:name w:val="Body Text"/>
    <w:basedOn w:val="1"/>
    <w:link w:val="19"/>
    <w:qFormat/>
    <w:uiPriority w:val="99"/>
    <w:pPr>
      <w:spacing w:beforeLines="30"/>
    </w:pPr>
    <w:rPr>
      <w:rFonts w:ascii="仿宋_GB2312" w:eastAsia="仿宋_GB2312"/>
      <w:kern w:val="0"/>
      <w:sz w:val="30"/>
    </w:rPr>
  </w:style>
  <w:style w:type="paragraph" w:styleId="6">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7">
    <w:name w:val="Balloon Text"/>
    <w:basedOn w:val="1"/>
    <w:link w:val="23"/>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next w:val="1"/>
    <w:qFormat/>
    <w:uiPriority w:val="0"/>
    <w:rPr>
      <w:rFonts w:ascii="宋体" w:hAnsi="Times New Roman" w:eastAsia="宋体" w:cs="Times New Roman"/>
      <w:kern w:val="0"/>
      <w:sz w:val="24"/>
      <w:szCs w:val="20"/>
      <w:lang w:val="en-US" w:eastAsia="zh-CN" w:bidi="ar-SA"/>
    </w:rPr>
  </w:style>
  <w:style w:type="character" w:styleId="15">
    <w:name w:val="Strong"/>
    <w:basedOn w:val="14"/>
    <w:qFormat/>
    <w:uiPriority w:val="0"/>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标题 1 Char"/>
    <w:basedOn w:val="14"/>
    <w:link w:val="3"/>
    <w:qFormat/>
    <w:uiPriority w:val="9"/>
    <w:rPr>
      <w:rFonts w:ascii="Times New Roman" w:hAnsi="Times New Roman" w:eastAsia="宋体" w:cs="Times New Roman"/>
      <w:b/>
      <w:bCs/>
      <w:kern w:val="44"/>
      <w:sz w:val="44"/>
      <w:szCs w:val="44"/>
    </w:rPr>
  </w:style>
  <w:style w:type="character" w:customStyle="1" w:styleId="18">
    <w:name w:val="标题 2 Char"/>
    <w:basedOn w:val="14"/>
    <w:link w:val="4"/>
    <w:qFormat/>
    <w:uiPriority w:val="9"/>
    <w:rPr>
      <w:rFonts w:asciiTheme="majorHAnsi" w:hAnsiTheme="majorHAnsi" w:eastAsiaTheme="majorEastAsia" w:cstheme="majorBidi"/>
      <w:b/>
      <w:bCs/>
      <w:sz w:val="32"/>
      <w:szCs w:val="32"/>
    </w:rPr>
  </w:style>
  <w:style w:type="character" w:customStyle="1" w:styleId="19">
    <w:name w:val="正文文本 Char"/>
    <w:basedOn w:val="14"/>
    <w:link w:val="5"/>
    <w:qFormat/>
    <w:uiPriority w:val="99"/>
    <w:rPr>
      <w:rFonts w:ascii="仿宋_GB2312" w:hAnsi="Times New Roman" w:eastAsia="仿宋_GB2312" w:cs="Times New Roman"/>
      <w:kern w:val="0"/>
      <w:sz w:val="30"/>
      <w:szCs w:val="24"/>
    </w:rPr>
  </w:style>
  <w:style w:type="character" w:customStyle="1" w:styleId="20">
    <w:name w:val="页脚 Char"/>
    <w:basedOn w:val="14"/>
    <w:link w:val="8"/>
    <w:qFormat/>
    <w:uiPriority w:val="99"/>
    <w:rPr>
      <w:rFonts w:ascii="Calibri" w:hAnsi="Calibri" w:eastAsia="宋体" w:cs="Times New Roman"/>
      <w:kern w:val="0"/>
      <w:sz w:val="18"/>
      <w:szCs w:val="18"/>
    </w:rPr>
  </w:style>
  <w:style w:type="character" w:customStyle="1" w:styleId="21">
    <w:name w:val="页眉 Char"/>
    <w:basedOn w:val="14"/>
    <w:link w:val="9"/>
    <w:semiHidden/>
    <w:qFormat/>
    <w:uiPriority w:val="99"/>
    <w:rPr>
      <w:rFonts w:ascii="Calibri" w:hAnsi="Calibri" w:eastAsia="宋体" w:cs="Times New Roman"/>
      <w:kern w:val="0"/>
      <w:sz w:val="18"/>
      <w:szCs w:val="18"/>
    </w:rPr>
  </w:style>
  <w:style w:type="paragraph" w:styleId="22">
    <w:name w:val="List Paragraph"/>
    <w:basedOn w:val="1"/>
    <w:qFormat/>
    <w:uiPriority w:val="34"/>
    <w:pPr>
      <w:ind w:firstLine="420" w:firstLineChars="200"/>
    </w:pPr>
  </w:style>
  <w:style w:type="character" w:customStyle="1" w:styleId="23">
    <w:name w:val="批注框文本 Char"/>
    <w:basedOn w:val="14"/>
    <w:link w:val="7"/>
    <w:semiHidden/>
    <w:qFormat/>
    <w:uiPriority w:val="99"/>
    <w:rPr>
      <w:rFonts w:ascii="Times New Roman" w:hAnsi="Times New Roman" w:eastAsia="宋体" w:cs="Times New Roman"/>
      <w:sz w:val="18"/>
      <w:szCs w:val="18"/>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image" Target="media/image1.png"/><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Desktop\2023&#24180;&#24180;&#24230;&#37096;&#38376;&#20915;&#31639;\&#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Desktop\2023&#24180;&#24180;&#24230;&#37096;&#38376;&#20915;&#31639;\&#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Desktop\2023&#24180;&#20915;&#31639;&#20844;&#24320;\&#38468;&#20214;2.2023&#24180;&#37096;&#38376;(&#21333;&#20301;)&#20915;&#31639;&#20844;&#24320;&#32534;&#21046;&#36164;&#26009;\&#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Desktop\2023&#24180;&#24180;&#24230;&#37096;&#38376;&#20915;&#31639;\&#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Desktop\2023&#24180;&#20915;&#31639;&#20844;&#24320;\&#38468;&#20214;2.2023&#24180;&#37096;&#38376;(&#21333;&#20301;)&#20915;&#31639;&#20844;&#24320;&#32534;&#21046;&#36164;&#26009;\&#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Users\Desktop\2023&#24180;&#20915;&#31639;&#20844;&#24320;\&#38468;&#20214;2.2023&#24180;&#37096;&#38376;(&#21333;&#20301;)&#20915;&#31639;&#20844;&#24320;&#32534;&#21046;&#36164;&#26009;\&#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沐川县信访局收、支决算总计变动情况</a:t>
            </a:r>
            <a:endParaRPr lang="zh-CN" altLang="en-US"/>
          </a:p>
        </c:rich>
      </c:tx>
      <c:layout/>
      <c:overlay val="0"/>
      <c:spPr>
        <a:noFill/>
        <a:ln w="3175">
          <a:noFill/>
        </a:ln>
      </c:spPr>
    </c:title>
    <c:autoTitleDeleted val="0"/>
    <c:plotArea>
      <c:layout>
        <c:manualLayout>
          <c:layoutTarget val="inner"/>
          <c:xMode val="edge"/>
          <c:yMode val="edge"/>
          <c:x val="0.182178393968899"/>
          <c:y val="0.296667632381616"/>
          <c:w val="0.786139373974488"/>
          <c:h val="0.493334939241339"/>
        </c:manualLayout>
      </c:layout>
      <c:barChart>
        <c:barDir val="col"/>
        <c:grouping val="clustered"/>
        <c:varyColors val="0"/>
        <c:ser>
          <c:idx val="0"/>
          <c:order val="0"/>
          <c:tx>
            <c:strRef>
              <c:f>'财政拨款收入支出决算总计变动情况-图 (3)'!$A$4</c:f>
              <c:strCache>
                <c:ptCount val="1"/>
                <c:pt idx="0">
                  <c:v>沐川县信访局财政拨款收入、支出预算执行总计变动情况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8361944855903"/>
                  <c:y val="0.010777952755905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45463995218422"/>
                  <c:y val="0.02296867891513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013333333333333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'财政拨款收入支出决算总计变动情况-图 (3)'!$A$1:$D$1</c:f>
              <c:strCache>
                <c:ptCount val="4"/>
                <c:pt idx="0">
                  <c:v>2022年收入</c:v>
                </c:pt>
                <c:pt idx="1">
                  <c:v>2023年收入</c:v>
                </c:pt>
                <c:pt idx="2">
                  <c:v>2022年支出</c:v>
                </c:pt>
                <c:pt idx="3">
                  <c:v>2023年支出</c:v>
                </c:pt>
              </c:strCache>
            </c:strRef>
          </c:cat>
          <c:val>
            <c:numRef>
              <c:f>'财政拨款收入支出决算总计变动情况-图 (3)'!$A$2:$D$2</c:f>
              <c:numCache>
                <c:formatCode>General</c:formatCode>
                <c:ptCount val="4"/>
                <c:pt idx="0">
                  <c:v>289.76</c:v>
                </c:pt>
                <c:pt idx="1">
                  <c:v>297.74</c:v>
                </c:pt>
                <c:pt idx="2">
                  <c:v>289.76</c:v>
                </c:pt>
                <c:pt idx="3">
                  <c:v>297.74</c:v>
                </c:pt>
              </c:numCache>
            </c:numRef>
          </c:val>
        </c:ser>
        <c:dLbls>
          <c:showLegendKey val="0"/>
          <c:showVal val="1"/>
          <c:showCatName val="0"/>
          <c:showSerName val="0"/>
          <c:showPercent val="0"/>
          <c:showBubbleSize val="0"/>
        </c:dLbls>
        <c:gapWidth val="150"/>
        <c:axId val="46433792"/>
        <c:axId val="46489984"/>
      </c:barChart>
      <c:catAx>
        <c:axId val="46433792"/>
        <c:scaling>
          <c:orientation val="minMax"/>
        </c:scaling>
        <c:delete val="0"/>
        <c:axPos val="b"/>
        <c:numFmt formatCode="General"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46489984"/>
        <c:crosses val="autoZero"/>
        <c:auto val="1"/>
        <c:lblAlgn val="ctr"/>
        <c:lblOffset val="100"/>
        <c:noMultiLvlLbl val="0"/>
      </c:catAx>
      <c:valAx>
        <c:axId val="46489984"/>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46433792"/>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125"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0359321122055"/>
          <c:y val="0.37377049180328"/>
          <c:w val="0.28143767433429"/>
          <c:h val="0.462295081967213"/>
        </c:manualLayout>
      </c:layout>
      <c:pieChart>
        <c:varyColors val="1"/>
        <c:ser>
          <c:idx val="0"/>
          <c:order val="0"/>
          <c:tx>
            <c:strRef>
              <c:f>'收入决算结构-图2-1'!$A$5</c:f>
              <c:strCache>
                <c:ptCount val="1"/>
                <c:pt idx="0">
                  <c:v>沐川县信访局2023年收入决算结构图</c:v>
                </c:pt>
              </c:strCache>
            </c:strRef>
          </c:tx>
          <c:spPr>
            <a:solidFill>
              <a:srgbClr val="9999FF"/>
            </a:solidFill>
            <a:ln w="12700">
              <a:solidFill>
                <a:srgbClr val="000000"/>
              </a:solidFill>
              <a:prstDash val="solid"/>
            </a:ln>
          </c:spPr>
          <c:explosion val="0"/>
          <c:dPt>
            <c:idx val="0"/>
            <c:bubble3D val="0"/>
            <c:spPr>
              <a:solidFill>
                <a:srgbClr val="9999FF"/>
              </a:solidFill>
              <a:ln w="3175">
                <a:solidFill>
                  <a:srgbClr val="000000"/>
                </a:solidFill>
                <a:prstDash val="solid"/>
              </a:ln>
            </c:spPr>
          </c:dPt>
          <c:dPt>
            <c:idx val="1"/>
            <c:bubble3D val="0"/>
            <c:spPr>
              <a:solidFill>
                <a:srgbClr val="993366"/>
              </a:solidFill>
              <a:ln w="12700">
                <a:solidFill>
                  <a:srgbClr val="000000"/>
                </a:solidFill>
                <a:prstDash val="solid"/>
              </a:ln>
            </c:spPr>
          </c:dPt>
          <c:dLbls>
            <c:numFmt formatCode="0%" sourceLinked="0"/>
            <c:spPr>
              <a:noFill/>
              <a:ln w="25400">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'收入决算结构-图2-1'!$A$1:$B$1</c:f>
              <c:strCache>
                <c:ptCount val="2"/>
                <c:pt idx="0">
                  <c:v>一般公共预算财政拨款收入</c:v>
                </c:pt>
                <c:pt idx="1">
                  <c:v>其他各项收入</c:v>
                </c:pt>
              </c:strCache>
            </c:strRef>
          </c:cat>
          <c:val>
            <c:numRef>
              <c:f>'收入决算结构-图2-1'!$A$2:$B$2</c:f>
              <c:numCache>
                <c:formatCode>General</c:formatCode>
                <c:ptCount val="2"/>
                <c:pt idx="0">
                  <c:v>297.74</c:v>
                </c:pt>
                <c:pt idx="1">
                  <c:v>0</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4999921417009"/>
          <c:y val="0.440249903188331"/>
          <c:w val="0.414249925346158"/>
          <c:h val="0.243749924702036"/>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8823584603984"/>
          <c:y val="0.37704918032787"/>
          <c:w val="0.276471117630051"/>
          <c:h val="0.462295081967213"/>
        </c:manualLayout>
      </c:layout>
      <c:pieChart>
        <c:varyColors val="1"/>
        <c:ser>
          <c:idx val="0"/>
          <c:order val="0"/>
          <c:tx>
            <c:strRef>
              <c:f>'支出决算结构-图3'!$A$9</c:f>
              <c:strCache>
                <c:ptCount val="1"/>
                <c:pt idx="0">
                  <c:v>沐川县信访局2023年支出决算结构图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dLbl>
              <c:idx val="0"/>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67.48%</a:t>
                    </a:r>
                    <a:endParaRPr lang="en-US" altLang="zh-CN"/>
                  </a:p>
                </c:rich>
              </c:tx>
              <c:numFmt formatCode="0.0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25400">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'支出决算结构-图3'!$A$1:$B$1</c:f>
              <c:strCache>
                <c:ptCount val="2"/>
                <c:pt idx="0">
                  <c:v>基本支出</c:v>
                </c:pt>
                <c:pt idx="1">
                  <c:v>项目支出</c:v>
                </c:pt>
              </c:strCache>
            </c:strRef>
          </c:cat>
          <c:val>
            <c:numRef>
              <c:f>'支出决算结构-图3'!$A$4:$B$4</c:f>
              <c:numCache>
                <c:formatCode>0.00%</c:formatCode>
                <c:ptCount val="2"/>
                <c:pt idx="0">
                  <c:v>0.674816954389737</c:v>
                </c:pt>
                <c:pt idx="1">
                  <c:v>0.3252</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7905"/>
          <c:y val="0.456"/>
          <c:w val="0.16575"/>
          <c:h val="0.13525"/>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沐川县信访局财政拨款收入、支出决算总计情况</a:t>
            </a:r>
            <a:endParaRPr lang="zh-CN" altLang="en-US"/>
          </a:p>
        </c:rich>
      </c:tx>
      <c:layout/>
      <c:overlay val="0"/>
      <c:spPr>
        <a:noFill/>
        <a:ln w="3175">
          <a:noFill/>
        </a:ln>
      </c:spPr>
    </c:title>
    <c:autoTitleDeleted val="0"/>
    <c:plotArea>
      <c:layout>
        <c:manualLayout>
          <c:layoutTarget val="inner"/>
          <c:xMode val="edge"/>
          <c:yMode val="edge"/>
          <c:x val="0.182178393968899"/>
          <c:y val="0.296667632381616"/>
          <c:w val="0.786139373974488"/>
          <c:h val="0.493334939241339"/>
        </c:manualLayout>
      </c:layout>
      <c:barChart>
        <c:barDir val="col"/>
        <c:grouping val="clustered"/>
        <c:varyColors val="0"/>
        <c:ser>
          <c:idx val="0"/>
          <c:order val="0"/>
          <c:tx>
            <c:strRef>
              <c:f>'财政拨款收入支出决算总计变动情况-图 (3)'!$A$4</c:f>
              <c:strCache>
                <c:ptCount val="1"/>
                <c:pt idx="0">
                  <c:v>沐川县信访局财政拨款收入、支出预算执行总计变动情况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8361944855903"/>
                  <c:y val="0.010777952755905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45463995218422"/>
                  <c:y val="0.02296867891513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013333333333333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'财政拨款收入支出决算总计变动情况-图 (3)'!$A$1:$D$1</c:f>
              <c:strCache>
                <c:ptCount val="4"/>
                <c:pt idx="0">
                  <c:v>2022年收入</c:v>
                </c:pt>
                <c:pt idx="1">
                  <c:v>2023年收入</c:v>
                </c:pt>
                <c:pt idx="2">
                  <c:v>2022年支出</c:v>
                </c:pt>
                <c:pt idx="3">
                  <c:v>2023年支出</c:v>
                </c:pt>
              </c:strCache>
            </c:strRef>
          </c:cat>
          <c:val>
            <c:numRef>
              <c:f>'财政拨款收入支出决算总计变动情况-图 (3)'!$A$2:$D$2</c:f>
              <c:numCache>
                <c:formatCode>General</c:formatCode>
                <c:ptCount val="4"/>
                <c:pt idx="0">
                  <c:v>289.76</c:v>
                </c:pt>
                <c:pt idx="1">
                  <c:v>297.74</c:v>
                </c:pt>
                <c:pt idx="2">
                  <c:v>289.76</c:v>
                </c:pt>
                <c:pt idx="3">
                  <c:v>297.74</c:v>
                </c:pt>
              </c:numCache>
            </c:numRef>
          </c:val>
        </c:ser>
        <c:dLbls>
          <c:showLegendKey val="0"/>
          <c:showVal val="1"/>
          <c:showCatName val="0"/>
          <c:showSerName val="0"/>
          <c:showPercent val="0"/>
          <c:showBubbleSize val="0"/>
        </c:dLbls>
        <c:gapWidth val="150"/>
        <c:axId val="207963648"/>
        <c:axId val="207965184"/>
      </c:barChart>
      <c:catAx>
        <c:axId val="207963648"/>
        <c:scaling>
          <c:orientation val="minMax"/>
        </c:scaling>
        <c:delete val="0"/>
        <c:axPos val="b"/>
        <c:numFmt formatCode="General"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07965184"/>
        <c:crosses val="autoZero"/>
        <c:auto val="1"/>
        <c:lblAlgn val="ctr"/>
        <c:lblOffset val="100"/>
        <c:noMultiLvlLbl val="0"/>
      </c:catAx>
      <c:valAx>
        <c:axId val="207965184"/>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07963648"/>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沐川县信访局一般公共预算财政拨款支出决算变动情况</a:t>
            </a:r>
            <a:endParaRPr lang="zh-CN" altLang="en-US"/>
          </a:p>
        </c:rich>
      </c:tx>
      <c:layout/>
      <c:overlay val="0"/>
      <c:spPr>
        <a:noFill/>
        <a:ln w="25400">
          <a:noFill/>
        </a:ln>
      </c:spPr>
    </c:title>
    <c:autoTitleDeleted val="0"/>
    <c:plotArea>
      <c:layout>
        <c:manualLayout>
          <c:layoutTarget val="inner"/>
          <c:xMode val="edge"/>
          <c:yMode val="edge"/>
          <c:x val="0.163636508910253"/>
          <c:y val="0.352517985611511"/>
          <c:w val="0.747273390690156"/>
          <c:h val="0.435251798561151"/>
        </c:manualLayout>
      </c:layout>
      <c:barChart>
        <c:barDir val="col"/>
        <c:grouping val="clustered"/>
        <c:varyColors val="0"/>
        <c:ser>
          <c:idx val="0"/>
          <c:order val="0"/>
          <c:spPr>
            <a:solidFill>
              <a:srgbClr val="9999FF"/>
            </a:solidFill>
            <a:ln w="12700">
              <a:solidFill>
                <a:srgbClr val="000000"/>
              </a:solidFill>
              <a:prstDash val="solid"/>
            </a:ln>
          </c:spPr>
          <c:invertIfNegative val="0"/>
          <c:dLbls>
            <c:dLbl>
              <c:idx val="0"/>
              <c:layout>
                <c:manualLayout>
                  <c:x val="0.00484848484848485"/>
                  <c:y val="0.13855095451198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799999999999"/>
                  <c:y val="0.34769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'一般公共预算财政拨款支出决算变动情况-图5'!$A$1:$B$1</c:f>
              <c:strCache>
                <c:ptCount val="2"/>
                <c:pt idx="0">
                  <c:v>2022年一般公共预算财政拨款支出</c:v>
                </c:pt>
                <c:pt idx="1">
                  <c:v>2023年一般公共预算财政拨款支出</c:v>
                </c:pt>
              </c:strCache>
            </c:strRef>
          </c:cat>
          <c:val>
            <c:numRef>
              <c:f>'一般公共预算财政拨款支出决算变动情况-图5'!$A$2:$B$2</c:f>
              <c:numCache>
                <c:formatCode>General</c:formatCode>
                <c:ptCount val="2"/>
                <c:pt idx="0">
                  <c:v>289.76</c:v>
                </c:pt>
                <c:pt idx="1">
                  <c:v>297.74</c:v>
                </c:pt>
              </c:numCache>
            </c:numRef>
          </c:val>
        </c:ser>
        <c:dLbls>
          <c:showLegendKey val="0"/>
          <c:showVal val="1"/>
          <c:showCatName val="0"/>
          <c:showSerName val="0"/>
          <c:showPercent val="0"/>
          <c:showBubbleSize val="0"/>
        </c:dLbls>
        <c:gapWidth val="150"/>
        <c:axId val="207997568"/>
        <c:axId val="235475328"/>
      </c:barChart>
      <c:catAx>
        <c:axId val="207997568"/>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35475328"/>
        <c:crosses val="autoZero"/>
        <c:auto val="1"/>
        <c:lblAlgn val="ctr"/>
        <c:lblOffset val="100"/>
        <c:noMultiLvlLbl val="0"/>
      </c:catAx>
      <c:valAx>
        <c:axId val="235475328"/>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07997568"/>
        <c:crosses val="autoZero"/>
        <c:crossBetween val="between"/>
      </c:valAx>
      <c:spPr>
        <a:noFill/>
        <a:ln w="25400">
          <a:noFill/>
        </a:ln>
      </c:spPr>
    </c:plotArea>
    <c:plotVisOnly val="1"/>
    <c:dispBlanksAs val="gap"/>
    <c:showDLblsOverMax val="0"/>
  </c:chart>
  <c:spPr>
    <a:solidFill>
      <a:schemeClr val="bg1"/>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26843309571522"/>
          <c:y val="0.408921933085503"/>
          <c:w val="0.209830061353657"/>
          <c:h val="0.412639405204462"/>
        </c:manualLayout>
      </c:layout>
      <c:pieChart>
        <c:varyColors val="1"/>
        <c:ser>
          <c:idx val="0"/>
          <c:order val="0"/>
          <c:tx>
            <c:strRef>
              <c:f>'三公经费财政拨款支出结构-图7'!$B$8</c:f>
              <c:strCache>
                <c:ptCount val="1"/>
                <c:pt idx="0">
                  <c:v>沐川县信访局2023年“三公”经费财政拨款支出结构图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00%" sourceLinked="0"/>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'三公经费财政拨款支出结构-图7'!$A$1:$C$1</c:f>
              <c:strCache>
                <c:ptCount val="3"/>
                <c:pt idx="0">
                  <c:v>因公出国（境）费支出</c:v>
                </c:pt>
                <c:pt idx="1">
                  <c:v>公务用车购置及运行维护费支出</c:v>
                </c:pt>
                <c:pt idx="2">
                  <c:v>公务接待费支出</c:v>
                </c:pt>
              </c:strCache>
            </c:strRef>
          </c:cat>
          <c:val>
            <c:numRef>
              <c:f>'三公经费财政拨款支出结构-图7'!$A$2:$C$2</c:f>
              <c:numCache>
                <c:formatCode>General</c:formatCode>
                <c:ptCount val="3"/>
                <c:pt idx="0">
                  <c:v>0</c:v>
                </c:pt>
                <c:pt idx="1">
                  <c:v>0</c:v>
                </c:pt>
                <c:pt idx="2">
                  <c:v>0.07</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3000000000001"/>
          <c:y val="0.384500000000001"/>
          <c:w val="0.338500000000001"/>
          <c:h val="0.38075"/>
        </c:manualLayout>
      </c:layout>
      <c:overlay val="0"/>
      <c:spPr>
        <a:solidFill>
          <a:srgbClr val="FFFFFF"/>
        </a:solidFill>
        <a:ln w="25400">
          <a:noFill/>
        </a:ln>
      </c:spPr>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cdr:y>
    </cdr:from>
    <cdr:to>
      <cdr:x>0.18147</cdr:x>
      <cdr:y>0.35688</cdr:y>
    </cdr:to>
    <cdr:sp>
      <cdr:nvSpPr>
        <cdr:cNvPr id="2" name="矩形 1"/>
        <cdr:cNvSpPr/>
      </cdr:nvSpPr>
      <cdr:spPr xmlns:a="http://schemas.openxmlformats.org/drawingml/2006/main">
        <a:xfrm xmlns:a="http://schemas.openxmlformats.org/drawingml/2006/main">
          <a:off x="0" y="0"/>
          <a:ext cx="914400" cy="914400"/>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12755</Words>
  <Characters>13508</Characters>
  <Lines>110</Lines>
  <Paragraphs>31</Paragraphs>
  <TotalTime>12</TotalTime>
  <ScaleCrop>false</ScaleCrop>
  <LinksUpToDate>false</LinksUpToDate>
  <CharactersWithSpaces>13870</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2024-09-18T00:12:00Z</dcterms:created>
  <dc:creator>Windows 用户</dc:creator>
  <cp:lastModifiedBy>央.</cp:lastModifiedBy>
  <cp:lastPrinted>2024-09-18T01:09:00Z</cp:lastPrinted>
  <dcterms:modified xsi:type="dcterms:W3CDTF">2026-07-29T17:01:38Z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8A0027D037BA48E2B0542BED9316B562</vt:lpwstr>
  </property>
</Properties>
</file>