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sz w:val="72"/>
          <w:szCs w:val="72"/>
        </w:rPr>
      </w:pPr>
      <w:bookmarkStart w:id="0" w:name="_Toc15377425"/>
      <w:bookmarkStart w:id="1" w:name="_Toc15396597"/>
      <w:bookmarkStart w:id="2" w:name="_Toc15396475"/>
      <w:bookmarkStart w:id="3" w:name="_Toc15378441"/>
      <w:bookmarkStart w:id="4" w:name="_Toc15377193"/>
      <w:bookmarkStart w:id="5" w:name="_Toc15306267"/>
    </w:p>
    <w:p>
      <w:pPr>
        <w:pStyle w:val="5"/>
        <w:spacing w:before="93"/>
      </w:pPr>
    </w:p>
    <w:p>
      <w:pPr>
        <w:spacing w:line="600" w:lineRule="exact"/>
        <w:jc w:val="center"/>
        <w:outlineLvl w:val="0"/>
        <w:rPr>
          <w:rFonts w:ascii="方正小标宋简体" w:hAnsi="宋体" w:eastAsia="方正小标宋简体"/>
          <w:sz w:val="72"/>
          <w:szCs w:val="72"/>
        </w:rPr>
      </w:pPr>
    </w:p>
    <w:p>
      <w:pPr>
        <w:spacing w:line="600" w:lineRule="exact"/>
        <w:jc w:val="center"/>
        <w:outlineLvl w:val="0"/>
        <w:rPr>
          <w:rFonts w:ascii="方正小标宋简体" w:hAnsi="宋体" w:eastAsia="方正小标宋简体"/>
          <w:sz w:val="72"/>
          <w:szCs w:val="72"/>
        </w:rPr>
      </w:pPr>
    </w:p>
    <w:p>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6" w:name="_Toc177484435"/>
      <w:r>
        <w:rPr>
          <w:rFonts w:hint="eastAsia" w:ascii="方正小标宋简体" w:hAnsi="方正小标宋简体" w:eastAsia="方正小标宋简体" w:cs="方正小标宋简体"/>
          <w:sz w:val="72"/>
          <w:szCs w:val="72"/>
        </w:rPr>
        <w:t>2023年度</w:t>
      </w:r>
      <w:bookmarkEnd w:id="0"/>
      <w:bookmarkEnd w:id="1"/>
      <w:bookmarkEnd w:id="2"/>
      <w:bookmarkEnd w:id="3"/>
      <w:bookmarkEnd w:id="4"/>
      <w:bookmarkEnd w:id="6"/>
    </w:p>
    <w:p>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7" w:name="_Toc177484436"/>
      <w:bookmarkStart w:id="8" w:name="_Toc15396476"/>
      <w:bookmarkStart w:id="9" w:name="_Toc15377426"/>
      <w:bookmarkStart w:id="10" w:name="_Toc15377194"/>
      <w:bookmarkStart w:id="11" w:name="_Toc15396598"/>
      <w:bookmarkStart w:id="12" w:name="_Toc15378442"/>
      <w:r>
        <w:rPr>
          <w:rFonts w:hint="eastAsia" w:ascii="方正小标宋简体" w:hAnsi="方正小标宋简体" w:eastAsia="方正小标宋简体" w:cs="方正小标宋简体"/>
          <w:sz w:val="72"/>
          <w:szCs w:val="72"/>
        </w:rPr>
        <w:t>四川省</w:t>
      </w:r>
      <w:bookmarkEnd w:id="5"/>
      <w:bookmarkStart w:id="13" w:name="_Toc15306268"/>
      <w:r>
        <w:rPr>
          <w:rFonts w:hint="eastAsia" w:ascii="方正小标宋简体" w:hAnsi="方正小标宋简体" w:eastAsia="方正小标宋简体" w:cs="方正小标宋简体"/>
          <w:sz w:val="72"/>
          <w:szCs w:val="72"/>
        </w:rPr>
        <w:t>沐川县信访局</w:t>
      </w:r>
      <w:bookmarkEnd w:id="7"/>
    </w:p>
    <w:p>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14" w:name="_Toc177484437"/>
      <w:r>
        <w:rPr>
          <w:rFonts w:hint="eastAsia" w:ascii="方正小标宋简体" w:hAnsi="方正小标宋简体" w:eastAsia="方正小标宋简体" w:cs="方正小标宋简体"/>
          <w:sz w:val="72"/>
          <w:szCs w:val="72"/>
        </w:rPr>
        <w:t>单位决算</w:t>
      </w:r>
      <w:bookmarkEnd w:id="8"/>
      <w:bookmarkEnd w:id="9"/>
      <w:bookmarkEnd w:id="10"/>
      <w:bookmarkEnd w:id="11"/>
      <w:bookmarkEnd w:id="12"/>
      <w:bookmarkEnd w:id="13"/>
      <w:bookmarkEnd w:id="14"/>
    </w:p>
    <w:p>
      <w:pPr>
        <w:widowControl/>
        <w:spacing w:line="560" w:lineRule="exact"/>
        <w:jc w:val="center"/>
        <w:rPr>
          <w:rFonts w:hAnsi="黑体" w:eastAsia="黑体"/>
          <w:sz w:val="48"/>
          <w:szCs w:val="48"/>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p>
    <w:p>
      <w:pPr>
        <w:widowControl/>
        <w:spacing w:line="560" w:lineRule="exact"/>
        <w:jc w:val="center"/>
        <w:rPr>
          <w:rFonts w:eastAsia="黑体"/>
          <w:sz w:val="48"/>
          <w:szCs w:val="48"/>
        </w:rPr>
      </w:pPr>
      <w:r>
        <w:rPr>
          <w:rFonts w:hAnsi="黑体" w:eastAsia="黑体"/>
          <w:sz w:val="48"/>
          <w:szCs w:val="48"/>
        </w:rPr>
        <w:t>目录</w:t>
      </w:r>
    </w:p>
    <w:p>
      <w:pPr>
        <w:widowControl/>
        <w:spacing w:line="560" w:lineRule="exact"/>
        <w:jc w:val="center"/>
        <w:rPr>
          <w:rFonts w:eastAsia="黑体"/>
          <w:sz w:val="28"/>
          <w:szCs w:val="28"/>
        </w:rPr>
      </w:pPr>
    </w:p>
    <w:p>
      <w:pPr>
        <w:pStyle w:val="10"/>
        <w:spacing w:line="560" w:lineRule="exact"/>
        <w:rPr>
          <w:rFonts w:ascii="Times New Roman" w:hAnsi="Times New Roman"/>
        </w:rPr>
      </w:pPr>
      <w:r>
        <w:rPr>
          <w:rFonts w:ascii="Times New Roman"/>
        </w:rPr>
        <w:t>公开时间：</w:t>
      </w:r>
      <w:r>
        <w:rPr>
          <w:rFonts w:ascii="Times New Roman" w:hAnsi="Times New Roman"/>
        </w:rPr>
        <w:t>2023</w:t>
      </w:r>
      <w:r>
        <w:rPr>
          <w:rFonts w:ascii="Times New Roman"/>
        </w:rPr>
        <w:t>年</w:t>
      </w:r>
      <w:r>
        <w:rPr>
          <w:rFonts w:ascii="Times New Roman" w:hAnsi="Times New Roman"/>
        </w:rPr>
        <w:t>9</w:t>
      </w:r>
      <w:r>
        <w:rPr>
          <w:rFonts w:ascii="Times New Roman"/>
        </w:rPr>
        <w:t>月</w:t>
      </w:r>
      <w:r>
        <w:rPr>
          <w:rFonts w:ascii="Times New Roman" w:hAnsi="Times New Roman"/>
        </w:rPr>
        <w:t xml:space="preserve"> </w:t>
      </w:r>
      <w:r>
        <w:rPr>
          <w:rFonts w:hint="eastAsia" w:ascii="Times New Roman" w:hAnsi="Times New Roman"/>
        </w:rPr>
        <w:t>20</w:t>
      </w:r>
      <w:r>
        <w:rPr>
          <w:rFonts w:ascii="Times New Roman" w:hAnsi="Times New Roman"/>
        </w:rPr>
        <w:t xml:space="preserve"> </w:t>
      </w:r>
      <w:r>
        <w:rPr>
          <w:rFonts w:ascii="Times New Roman"/>
        </w:rPr>
        <w:t>日</w:t>
      </w:r>
    </w:p>
    <w:sdt>
      <w:sdtPr>
        <w:rPr>
          <w:rFonts w:ascii="Times New Roman" w:hAnsi="Times New Roman" w:eastAsia="宋体" w:cs="Times New Roman"/>
          <w:b w:val="0"/>
          <w:bCs w:val="0"/>
          <w:color w:val="auto"/>
          <w:kern w:val="2"/>
          <w:sz w:val="21"/>
          <w:szCs w:val="24"/>
          <w:lang w:val="zh-CN"/>
        </w:rPr>
        <w:id w:val="28526580"/>
        <w:docPartObj>
          <w:docPartGallery w:val="Table of Contents"/>
          <w:docPartUnique/>
        </w:docPartObj>
      </w:sdtPr>
      <w:sdtEndPr>
        <w:rPr>
          <w:rFonts w:ascii="Times New Roman" w:hAnsi="Times New Roman" w:eastAsia="宋体" w:cs="Times New Roman"/>
          <w:b w:val="0"/>
          <w:bCs w:val="0"/>
          <w:color w:val="auto"/>
          <w:kern w:val="2"/>
          <w:sz w:val="21"/>
          <w:szCs w:val="24"/>
          <w:lang w:val="en-US"/>
        </w:rPr>
      </w:sdtEndPr>
      <w:sdtContent>
        <w:p>
          <w:pPr>
            <w:pStyle w:val="25"/>
            <w:spacing w:line="560" w:lineRule="exact"/>
            <w:rPr>
              <w:rFonts w:ascii="仿宋_GB2312" w:eastAsia="仿宋_GB2312"/>
              <w:sz w:val="24"/>
              <w:szCs w:val="24"/>
            </w:rPr>
          </w:pPr>
          <w:r>
            <w:rPr>
              <w:rFonts w:hint="eastAsia" w:ascii="仿宋_GB2312" w:eastAsia="仿宋_GB2312"/>
              <w:sz w:val="24"/>
              <w:szCs w:val="24"/>
            </w:rPr>
            <w:fldChar w:fldCharType="begin"/>
          </w:r>
          <w:r>
            <w:rPr>
              <w:rFonts w:hint="eastAsia" w:ascii="仿宋_GB2312" w:eastAsia="仿宋_GB2312"/>
              <w:sz w:val="24"/>
              <w:szCs w:val="24"/>
            </w:rPr>
            <w:instrText xml:space="preserve"> TOC \o "1-3" \h \z \u </w:instrText>
          </w:r>
          <w:r>
            <w:rPr>
              <w:rFonts w:hint="eastAsia" w:ascii="仿宋_GB2312" w:eastAsia="仿宋_GB2312"/>
              <w:sz w:val="24"/>
              <w:szCs w:val="24"/>
            </w:rPr>
            <w:fldChar w:fldCharType="separate"/>
          </w:r>
        </w:p>
        <w:p>
          <w:pPr>
            <w:pStyle w:val="10"/>
            <w:spacing w:line="560" w:lineRule="exact"/>
            <w:jc w:val="both"/>
            <w:rPr>
              <w:rFonts w:ascii="仿宋_GB2312" w:eastAsia="仿宋_GB2312" w:hAnsiTheme="minorHAnsi" w:cstheme="minorBidi"/>
              <w:sz w:val="24"/>
              <w:szCs w:val="24"/>
            </w:rPr>
          </w:pPr>
          <w:r>
            <w:fldChar w:fldCharType="begin"/>
          </w:r>
          <w:r>
            <w:instrText xml:space="preserve"> HYPERLINK \l "_Toc177484438" </w:instrText>
          </w:r>
          <w:r>
            <w:fldChar w:fldCharType="separate"/>
          </w:r>
          <w:r>
            <w:rPr>
              <w:rStyle w:val="16"/>
              <w:rFonts w:hint="eastAsia" w:ascii="仿宋_GB2312" w:hAnsi="黑体" w:eastAsia="仿宋_GB2312"/>
              <w:sz w:val="24"/>
              <w:szCs w:val="24"/>
            </w:rPr>
            <w:t>第一部分</w:t>
          </w:r>
          <w:r>
            <w:rPr>
              <w:rStyle w:val="16"/>
              <w:rFonts w:hint="eastAsia" w:ascii="仿宋_GB2312" w:eastAsia="仿宋_GB2312"/>
              <w:sz w:val="24"/>
              <w:szCs w:val="24"/>
            </w:rPr>
            <w:t xml:space="preserve"> </w:t>
          </w:r>
          <w:r>
            <w:rPr>
              <w:rStyle w:val="16"/>
              <w:rFonts w:hint="eastAsia" w:ascii="仿宋_GB2312" w:hAnsi="黑体" w:eastAsia="仿宋_GB2312"/>
              <w:sz w:val="24"/>
              <w:szCs w:val="24"/>
            </w:rPr>
            <w:t>单位概况</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_Toc177484438 \h </w:instrText>
          </w:r>
          <w:r>
            <w:rPr>
              <w:rFonts w:hint="eastAsia" w:ascii="仿宋_GB2312" w:eastAsia="仿宋_GB2312"/>
              <w:sz w:val="24"/>
              <w:szCs w:val="24"/>
            </w:rPr>
            <w:fldChar w:fldCharType="separate"/>
          </w:r>
          <w:r>
            <w:rPr>
              <w:rFonts w:hint="eastAsia" w:ascii="仿宋_GB2312" w:eastAsia="仿宋_GB2312"/>
              <w:sz w:val="24"/>
              <w:szCs w:val="24"/>
            </w:rPr>
            <w:t>3</w:t>
          </w:r>
          <w:r>
            <w:rPr>
              <w:rFonts w:hint="eastAsia" w:ascii="仿宋_GB2312" w:eastAsia="仿宋_GB2312"/>
              <w:sz w:val="24"/>
              <w:szCs w:val="24"/>
            </w:rPr>
            <w:fldChar w:fldCharType="end"/>
          </w:r>
          <w:r>
            <w:rPr>
              <w:rFonts w:hint="eastAsia" w:ascii="仿宋_GB2312" w:eastAsia="仿宋_GB2312"/>
              <w:sz w:val="24"/>
              <w:szCs w:val="24"/>
            </w:rPr>
            <w:fldChar w:fldCharType="end"/>
          </w:r>
        </w:p>
        <w:p>
          <w:pPr>
            <w:pStyle w:val="11"/>
            <w:spacing w:line="560" w:lineRule="exact"/>
            <w:rPr>
              <w:rFonts w:ascii="仿宋_GB2312" w:eastAsia="仿宋_GB2312" w:hAnsiTheme="minorHAnsi" w:cstheme="minorBidi"/>
              <w:sz w:val="24"/>
            </w:rPr>
          </w:pPr>
          <w:r>
            <w:fldChar w:fldCharType="begin"/>
          </w:r>
          <w:r>
            <w:instrText xml:space="preserve"> HYPERLINK \l "_Toc177484439" </w:instrText>
          </w:r>
          <w:r>
            <w:fldChar w:fldCharType="separate"/>
          </w:r>
          <w:r>
            <w:rPr>
              <w:rStyle w:val="16"/>
              <w:rFonts w:hint="eastAsia" w:ascii="仿宋_GB2312" w:hAnsi="黑体" w:eastAsia="仿宋_GB2312"/>
              <w:sz w:val="24"/>
            </w:rPr>
            <w:t>一、主要职责</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_Toc177484439 \h </w:instrText>
          </w:r>
          <w:r>
            <w:rPr>
              <w:rFonts w:hint="eastAsia" w:ascii="仿宋_GB2312" w:eastAsia="仿宋_GB2312"/>
              <w:sz w:val="24"/>
            </w:rPr>
            <w:fldChar w:fldCharType="separate"/>
          </w:r>
          <w:r>
            <w:rPr>
              <w:rFonts w:hint="eastAsia" w:ascii="仿宋_GB2312" w:eastAsia="仿宋_GB2312"/>
              <w:sz w:val="24"/>
            </w:rPr>
            <w:t>3</w:t>
          </w:r>
          <w:r>
            <w:rPr>
              <w:rFonts w:hint="eastAsia" w:ascii="仿宋_GB2312" w:eastAsia="仿宋_GB2312"/>
              <w:sz w:val="24"/>
            </w:rPr>
            <w:fldChar w:fldCharType="end"/>
          </w:r>
          <w:r>
            <w:rPr>
              <w:rFonts w:hint="eastAsia" w:ascii="仿宋_GB2312" w:eastAsia="仿宋_GB2312"/>
              <w:sz w:val="24"/>
            </w:rPr>
            <w:fldChar w:fldCharType="end"/>
          </w:r>
        </w:p>
        <w:p>
          <w:pPr>
            <w:pStyle w:val="11"/>
            <w:spacing w:line="560" w:lineRule="exact"/>
            <w:rPr>
              <w:rFonts w:ascii="仿宋_GB2312" w:eastAsia="仿宋_GB2312" w:hAnsiTheme="minorHAnsi" w:cstheme="minorBidi"/>
              <w:sz w:val="24"/>
            </w:rPr>
          </w:pPr>
          <w:r>
            <w:fldChar w:fldCharType="begin"/>
          </w:r>
          <w:r>
            <w:instrText xml:space="preserve"> HYPERLINK \l "_Toc177484440" </w:instrText>
          </w:r>
          <w:r>
            <w:fldChar w:fldCharType="separate"/>
          </w:r>
          <w:r>
            <w:rPr>
              <w:rStyle w:val="16"/>
              <w:rFonts w:hint="eastAsia" w:ascii="仿宋_GB2312" w:eastAsia="仿宋_GB2312"/>
              <w:sz w:val="24"/>
            </w:rPr>
            <w:t>二、</w:t>
          </w:r>
          <w:r>
            <w:rPr>
              <w:rStyle w:val="16"/>
              <w:rFonts w:hint="eastAsia" w:ascii="仿宋_GB2312" w:hAnsi="黑体" w:eastAsia="仿宋_GB2312"/>
              <w:sz w:val="24"/>
            </w:rPr>
            <w:t>机构设置</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_Toc177484440 \h </w:instrText>
          </w:r>
          <w:r>
            <w:rPr>
              <w:rFonts w:hint="eastAsia" w:ascii="仿宋_GB2312" w:eastAsia="仿宋_GB2312"/>
              <w:sz w:val="24"/>
            </w:rPr>
            <w:fldChar w:fldCharType="separate"/>
          </w:r>
          <w:r>
            <w:rPr>
              <w:rFonts w:hint="eastAsia" w:ascii="仿宋_GB2312" w:eastAsia="仿宋_GB2312"/>
              <w:sz w:val="24"/>
            </w:rPr>
            <w:t>3</w:t>
          </w:r>
          <w:r>
            <w:rPr>
              <w:rFonts w:hint="eastAsia" w:ascii="仿宋_GB2312" w:eastAsia="仿宋_GB2312"/>
              <w:sz w:val="24"/>
            </w:rPr>
            <w:fldChar w:fldCharType="end"/>
          </w:r>
          <w:r>
            <w:rPr>
              <w:rFonts w:hint="eastAsia" w:ascii="仿宋_GB2312" w:eastAsia="仿宋_GB2312"/>
              <w:sz w:val="24"/>
            </w:rPr>
            <w:fldChar w:fldCharType="end"/>
          </w:r>
        </w:p>
        <w:p>
          <w:pPr>
            <w:pStyle w:val="10"/>
            <w:spacing w:line="560" w:lineRule="exact"/>
            <w:rPr>
              <w:rFonts w:ascii="仿宋_GB2312" w:eastAsia="仿宋_GB2312" w:hAnsiTheme="minorHAnsi" w:cstheme="minorBidi"/>
              <w:sz w:val="24"/>
              <w:szCs w:val="24"/>
            </w:rPr>
          </w:pPr>
          <w:r>
            <w:fldChar w:fldCharType="begin"/>
          </w:r>
          <w:r>
            <w:instrText xml:space="preserve"> HYPERLINK \l "_Toc177484441" </w:instrText>
          </w:r>
          <w:r>
            <w:fldChar w:fldCharType="separate"/>
          </w:r>
          <w:r>
            <w:rPr>
              <w:rStyle w:val="16"/>
              <w:rFonts w:hint="eastAsia" w:ascii="仿宋_GB2312" w:hAnsi="黑体" w:eastAsia="仿宋_GB2312"/>
              <w:sz w:val="24"/>
              <w:szCs w:val="24"/>
            </w:rPr>
            <w:t>第二部分</w:t>
          </w:r>
          <w:r>
            <w:rPr>
              <w:rStyle w:val="16"/>
              <w:rFonts w:hint="eastAsia" w:ascii="仿宋_GB2312" w:eastAsia="仿宋_GB2312"/>
              <w:sz w:val="24"/>
              <w:szCs w:val="24"/>
            </w:rPr>
            <w:t xml:space="preserve"> 2023</w:t>
          </w:r>
          <w:r>
            <w:rPr>
              <w:rStyle w:val="16"/>
              <w:rFonts w:hint="eastAsia" w:ascii="仿宋_GB2312" w:hAnsi="黑体" w:eastAsia="仿宋_GB2312"/>
              <w:sz w:val="24"/>
              <w:szCs w:val="24"/>
            </w:rPr>
            <w:t>年度单位决算情况说明</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_Toc177484441 \h </w:instrText>
          </w:r>
          <w:r>
            <w:rPr>
              <w:rFonts w:hint="eastAsia" w:ascii="仿宋_GB2312" w:eastAsia="仿宋_GB2312"/>
              <w:sz w:val="24"/>
              <w:szCs w:val="24"/>
            </w:rPr>
            <w:fldChar w:fldCharType="separate"/>
          </w:r>
          <w:r>
            <w:rPr>
              <w:rFonts w:hint="eastAsia" w:ascii="仿宋_GB2312" w:eastAsia="仿宋_GB2312"/>
              <w:sz w:val="24"/>
              <w:szCs w:val="24"/>
            </w:rPr>
            <w:t>4</w:t>
          </w:r>
          <w:r>
            <w:rPr>
              <w:rFonts w:hint="eastAsia" w:ascii="仿宋_GB2312" w:eastAsia="仿宋_GB2312"/>
              <w:sz w:val="24"/>
              <w:szCs w:val="24"/>
            </w:rPr>
            <w:fldChar w:fldCharType="end"/>
          </w:r>
          <w:r>
            <w:rPr>
              <w:rFonts w:hint="eastAsia" w:ascii="仿宋_GB2312" w:eastAsia="仿宋_GB2312"/>
              <w:sz w:val="24"/>
              <w:szCs w:val="24"/>
            </w:rPr>
            <w:fldChar w:fldCharType="end"/>
          </w:r>
        </w:p>
        <w:p>
          <w:pPr>
            <w:pStyle w:val="11"/>
            <w:spacing w:line="560" w:lineRule="exact"/>
            <w:rPr>
              <w:rFonts w:ascii="仿宋_GB2312" w:eastAsia="仿宋_GB2312" w:hAnsiTheme="minorHAnsi" w:cstheme="minorBidi"/>
              <w:sz w:val="24"/>
            </w:rPr>
          </w:pPr>
          <w:r>
            <w:fldChar w:fldCharType="begin"/>
          </w:r>
          <w:r>
            <w:instrText xml:space="preserve"> HYPERLINK \l "_Toc177484442" </w:instrText>
          </w:r>
          <w:r>
            <w:fldChar w:fldCharType="separate"/>
          </w:r>
          <w:r>
            <w:rPr>
              <w:rStyle w:val="16"/>
              <w:rFonts w:hint="eastAsia" w:ascii="仿宋_GB2312" w:eastAsia="仿宋_GB2312"/>
              <w:bCs/>
              <w:sz w:val="24"/>
            </w:rPr>
            <w:t>一、</w:t>
          </w:r>
          <w:r>
            <w:rPr>
              <w:rStyle w:val="16"/>
              <w:rFonts w:hint="eastAsia" w:ascii="仿宋_GB2312" w:hAnsi="黑体" w:eastAsia="仿宋_GB2312"/>
              <w:sz w:val="24"/>
            </w:rPr>
            <w:t>收</w:t>
          </w:r>
          <w:r>
            <w:rPr>
              <w:rStyle w:val="16"/>
              <w:rFonts w:hint="eastAsia" w:ascii="仿宋_GB2312" w:hAnsi="黑体" w:eastAsia="仿宋_GB2312"/>
              <w:bCs/>
              <w:sz w:val="24"/>
            </w:rPr>
            <w:t>入支出决算总体情况说明</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_Toc177484442 \h </w:instrText>
          </w:r>
          <w:r>
            <w:rPr>
              <w:rFonts w:hint="eastAsia" w:ascii="仿宋_GB2312" w:eastAsia="仿宋_GB2312"/>
              <w:sz w:val="24"/>
            </w:rPr>
            <w:fldChar w:fldCharType="separate"/>
          </w:r>
          <w:r>
            <w:rPr>
              <w:rFonts w:hint="eastAsia" w:ascii="仿宋_GB2312" w:eastAsia="仿宋_GB2312"/>
              <w:sz w:val="24"/>
            </w:rPr>
            <w:t>4</w:t>
          </w:r>
          <w:r>
            <w:rPr>
              <w:rFonts w:hint="eastAsia" w:ascii="仿宋_GB2312" w:eastAsia="仿宋_GB2312"/>
              <w:sz w:val="24"/>
            </w:rPr>
            <w:fldChar w:fldCharType="end"/>
          </w:r>
          <w:r>
            <w:rPr>
              <w:rFonts w:hint="eastAsia" w:ascii="仿宋_GB2312" w:eastAsia="仿宋_GB2312"/>
              <w:sz w:val="24"/>
            </w:rPr>
            <w:fldChar w:fldCharType="end"/>
          </w:r>
        </w:p>
        <w:p>
          <w:pPr>
            <w:pStyle w:val="11"/>
            <w:spacing w:line="560" w:lineRule="exact"/>
            <w:rPr>
              <w:rFonts w:ascii="仿宋_GB2312" w:eastAsia="仿宋_GB2312" w:hAnsiTheme="minorHAnsi" w:cstheme="minorBidi"/>
              <w:sz w:val="24"/>
            </w:rPr>
          </w:pPr>
          <w:r>
            <w:fldChar w:fldCharType="begin"/>
          </w:r>
          <w:r>
            <w:instrText xml:space="preserve"> HYPERLINK \l "_Toc177484443" </w:instrText>
          </w:r>
          <w:r>
            <w:fldChar w:fldCharType="separate"/>
          </w:r>
          <w:r>
            <w:rPr>
              <w:rStyle w:val="16"/>
              <w:rFonts w:hint="eastAsia" w:ascii="仿宋_GB2312" w:eastAsia="仿宋_GB2312"/>
              <w:bCs/>
              <w:sz w:val="24"/>
            </w:rPr>
            <w:t>二、</w:t>
          </w:r>
          <w:r>
            <w:rPr>
              <w:rStyle w:val="16"/>
              <w:rFonts w:hint="eastAsia" w:ascii="仿宋_GB2312" w:hAnsi="黑体" w:eastAsia="仿宋_GB2312"/>
              <w:sz w:val="24"/>
            </w:rPr>
            <w:t>收</w:t>
          </w:r>
          <w:r>
            <w:rPr>
              <w:rStyle w:val="16"/>
              <w:rFonts w:hint="eastAsia" w:ascii="仿宋_GB2312" w:hAnsi="黑体" w:eastAsia="仿宋_GB2312"/>
              <w:bCs/>
              <w:sz w:val="24"/>
            </w:rPr>
            <w:t>入决算情况说明</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_Toc177484443 \h </w:instrText>
          </w:r>
          <w:r>
            <w:rPr>
              <w:rFonts w:hint="eastAsia" w:ascii="仿宋_GB2312" w:eastAsia="仿宋_GB2312"/>
              <w:sz w:val="24"/>
            </w:rPr>
            <w:fldChar w:fldCharType="separate"/>
          </w:r>
          <w:r>
            <w:rPr>
              <w:rFonts w:hint="eastAsia" w:ascii="仿宋_GB2312" w:eastAsia="仿宋_GB2312"/>
              <w:sz w:val="24"/>
            </w:rPr>
            <w:t>4</w:t>
          </w:r>
          <w:r>
            <w:rPr>
              <w:rFonts w:hint="eastAsia" w:ascii="仿宋_GB2312" w:eastAsia="仿宋_GB2312"/>
              <w:sz w:val="24"/>
            </w:rPr>
            <w:fldChar w:fldCharType="end"/>
          </w:r>
          <w:r>
            <w:rPr>
              <w:rFonts w:hint="eastAsia" w:ascii="仿宋_GB2312" w:eastAsia="仿宋_GB2312"/>
              <w:sz w:val="24"/>
            </w:rPr>
            <w:fldChar w:fldCharType="end"/>
          </w:r>
        </w:p>
        <w:p>
          <w:pPr>
            <w:pStyle w:val="11"/>
            <w:spacing w:line="560" w:lineRule="exact"/>
            <w:rPr>
              <w:rFonts w:ascii="仿宋_GB2312" w:eastAsia="仿宋_GB2312" w:hAnsiTheme="minorHAnsi" w:cstheme="minorBidi"/>
              <w:sz w:val="24"/>
            </w:rPr>
          </w:pPr>
          <w:r>
            <w:fldChar w:fldCharType="begin"/>
          </w:r>
          <w:r>
            <w:instrText xml:space="preserve"> HYPERLINK \l "_Toc177484444" </w:instrText>
          </w:r>
          <w:r>
            <w:fldChar w:fldCharType="separate"/>
          </w:r>
          <w:r>
            <w:rPr>
              <w:rStyle w:val="16"/>
              <w:rFonts w:hint="eastAsia" w:ascii="仿宋_GB2312" w:eastAsia="仿宋_GB2312"/>
              <w:bCs/>
              <w:sz w:val="24"/>
            </w:rPr>
            <w:t>三、</w:t>
          </w:r>
          <w:r>
            <w:rPr>
              <w:rStyle w:val="16"/>
              <w:rFonts w:hint="eastAsia" w:ascii="仿宋_GB2312" w:hAnsi="黑体" w:eastAsia="仿宋_GB2312"/>
              <w:sz w:val="24"/>
            </w:rPr>
            <w:t>支</w:t>
          </w:r>
          <w:r>
            <w:rPr>
              <w:rStyle w:val="16"/>
              <w:rFonts w:hint="eastAsia" w:ascii="仿宋_GB2312" w:hAnsi="黑体" w:eastAsia="仿宋_GB2312"/>
              <w:bCs/>
              <w:sz w:val="24"/>
            </w:rPr>
            <w:t>出决算情况说明</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_Toc177484444 \h </w:instrText>
          </w:r>
          <w:r>
            <w:rPr>
              <w:rFonts w:hint="eastAsia" w:ascii="仿宋_GB2312" w:eastAsia="仿宋_GB2312"/>
              <w:sz w:val="24"/>
            </w:rPr>
            <w:fldChar w:fldCharType="separate"/>
          </w:r>
          <w:r>
            <w:rPr>
              <w:rFonts w:hint="eastAsia" w:ascii="仿宋_GB2312" w:eastAsia="仿宋_GB2312"/>
              <w:sz w:val="24"/>
            </w:rPr>
            <w:t>5</w:t>
          </w:r>
          <w:r>
            <w:rPr>
              <w:rFonts w:hint="eastAsia" w:ascii="仿宋_GB2312" w:eastAsia="仿宋_GB2312"/>
              <w:sz w:val="24"/>
            </w:rPr>
            <w:fldChar w:fldCharType="end"/>
          </w:r>
          <w:r>
            <w:rPr>
              <w:rFonts w:hint="eastAsia" w:ascii="仿宋_GB2312" w:eastAsia="仿宋_GB2312"/>
              <w:sz w:val="24"/>
            </w:rPr>
            <w:fldChar w:fldCharType="end"/>
          </w:r>
        </w:p>
        <w:p>
          <w:pPr>
            <w:pStyle w:val="11"/>
            <w:spacing w:line="560" w:lineRule="exact"/>
            <w:rPr>
              <w:rFonts w:ascii="仿宋_GB2312" w:eastAsia="仿宋_GB2312" w:hAnsiTheme="minorHAnsi" w:cstheme="minorBidi"/>
              <w:sz w:val="24"/>
            </w:rPr>
          </w:pPr>
          <w:r>
            <w:fldChar w:fldCharType="begin"/>
          </w:r>
          <w:r>
            <w:instrText xml:space="preserve"> HYPERLINK \l "_Toc177484445" </w:instrText>
          </w:r>
          <w:r>
            <w:fldChar w:fldCharType="separate"/>
          </w:r>
          <w:r>
            <w:rPr>
              <w:rStyle w:val="16"/>
              <w:rFonts w:hint="eastAsia" w:ascii="仿宋_GB2312" w:hAnsi="黑体" w:eastAsia="仿宋_GB2312"/>
              <w:sz w:val="24"/>
            </w:rPr>
            <w:t>四、财</w:t>
          </w:r>
          <w:r>
            <w:rPr>
              <w:rStyle w:val="16"/>
              <w:rFonts w:hint="eastAsia" w:ascii="仿宋_GB2312" w:hAnsi="黑体" w:eastAsia="仿宋_GB2312"/>
              <w:bCs/>
              <w:sz w:val="24"/>
            </w:rPr>
            <w:t>政拨款收入支出决算总体情况说明</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_Toc177484445 \h </w:instrText>
          </w:r>
          <w:r>
            <w:rPr>
              <w:rFonts w:hint="eastAsia" w:ascii="仿宋_GB2312" w:eastAsia="仿宋_GB2312"/>
              <w:sz w:val="24"/>
            </w:rPr>
            <w:fldChar w:fldCharType="separate"/>
          </w:r>
          <w:r>
            <w:rPr>
              <w:rFonts w:hint="eastAsia" w:ascii="仿宋_GB2312" w:eastAsia="仿宋_GB2312"/>
              <w:sz w:val="24"/>
            </w:rPr>
            <w:t>5</w:t>
          </w:r>
          <w:r>
            <w:rPr>
              <w:rFonts w:hint="eastAsia" w:ascii="仿宋_GB2312" w:eastAsia="仿宋_GB2312"/>
              <w:sz w:val="24"/>
            </w:rPr>
            <w:fldChar w:fldCharType="end"/>
          </w:r>
          <w:r>
            <w:rPr>
              <w:rFonts w:hint="eastAsia" w:ascii="仿宋_GB2312" w:eastAsia="仿宋_GB2312"/>
              <w:sz w:val="24"/>
            </w:rPr>
            <w:fldChar w:fldCharType="end"/>
          </w:r>
        </w:p>
        <w:p>
          <w:pPr>
            <w:pStyle w:val="11"/>
            <w:spacing w:line="560" w:lineRule="exact"/>
            <w:rPr>
              <w:rFonts w:ascii="仿宋_GB2312" w:eastAsia="仿宋_GB2312" w:hAnsiTheme="minorHAnsi" w:cstheme="minorBidi"/>
              <w:sz w:val="24"/>
            </w:rPr>
          </w:pPr>
          <w:r>
            <w:fldChar w:fldCharType="begin"/>
          </w:r>
          <w:r>
            <w:instrText xml:space="preserve"> HYPERLINK \l "_Toc177484446" </w:instrText>
          </w:r>
          <w:r>
            <w:fldChar w:fldCharType="separate"/>
          </w:r>
          <w:r>
            <w:rPr>
              <w:rStyle w:val="16"/>
              <w:rFonts w:hint="eastAsia" w:ascii="仿宋_GB2312" w:hAnsi="黑体" w:eastAsia="仿宋_GB2312"/>
              <w:sz w:val="24"/>
            </w:rPr>
            <w:t>五</w:t>
          </w:r>
          <w:r>
            <w:rPr>
              <w:rStyle w:val="16"/>
              <w:rFonts w:hint="eastAsia" w:ascii="仿宋_GB2312" w:hAnsi="黑体" w:eastAsia="仿宋_GB2312"/>
              <w:b/>
              <w:sz w:val="24"/>
            </w:rPr>
            <w:t>、一</w:t>
          </w:r>
          <w:r>
            <w:rPr>
              <w:rStyle w:val="16"/>
              <w:rFonts w:hint="eastAsia" w:ascii="仿宋_GB2312" w:hAnsi="黑体" w:eastAsia="仿宋_GB2312"/>
              <w:bCs/>
              <w:sz w:val="24"/>
            </w:rPr>
            <w:t>般公共预算财政拨款支出决算情况说明</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_Toc177484446 \h </w:instrText>
          </w:r>
          <w:r>
            <w:rPr>
              <w:rFonts w:hint="eastAsia" w:ascii="仿宋_GB2312" w:eastAsia="仿宋_GB2312"/>
              <w:sz w:val="24"/>
            </w:rPr>
            <w:fldChar w:fldCharType="separate"/>
          </w:r>
          <w:r>
            <w:rPr>
              <w:rFonts w:hint="eastAsia" w:ascii="仿宋_GB2312" w:eastAsia="仿宋_GB2312"/>
              <w:sz w:val="24"/>
            </w:rPr>
            <w:t>6</w:t>
          </w:r>
          <w:r>
            <w:rPr>
              <w:rFonts w:hint="eastAsia" w:ascii="仿宋_GB2312" w:eastAsia="仿宋_GB2312"/>
              <w:sz w:val="24"/>
            </w:rPr>
            <w:fldChar w:fldCharType="end"/>
          </w:r>
          <w:r>
            <w:rPr>
              <w:rFonts w:hint="eastAsia" w:ascii="仿宋_GB2312" w:eastAsia="仿宋_GB2312"/>
              <w:sz w:val="24"/>
            </w:rPr>
            <w:fldChar w:fldCharType="end"/>
          </w:r>
        </w:p>
        <w:p>
          <w:pPr>
            <w:pStyle w:val="11"/>
            <w:spacing w:line="560" w:lineRule="exact"/>
            <w:rPr>
              <w:rFonts w:ascii="仿宋_GB2312" w:eastAsia="仿宋_GB2312" w:hAnsiTheme="minorHAnsi" w:cstheme="minorBidi"/>
              <w:sz w:val="24"/>
            </w:rPr>
          </w:pPr>
          <w:r>
            <w:fldChar w:fldCharType="begin"/>
          </w:r>
          <w:r>
            <w:instrText xml:space="preserve"> HYPERLINK \l "_Toc177484451" </w:instrText>
          </w:r>
          <w:r>
            <w:fldChar w:fldCharType="separate"/>
          </w:r>
          <w:r>
            <w:rPr>
              <w:rStyle w:val="16"/>
              <w:rFonts w:hint="eastAsia" w:ascii="仿宋_GB2312" w:eastAsia="仿宋_GB2312"/>
              <w:sz w:val="24"/>
            </w:rPr>
            <w:t>六</w:t>
          </w:r>
          <w:r>
            <w:rPr>
              <w:rStyle w:val="16"/>
              <w:rFonts w:hint="eastAsia" w:ascii="仿宋_GB2312" w:eastAsia="仿宋_GB2312"/>
              <w:b/>
              <w:sz w:val="24"/>
            </w:rPr>
            <w:t>、</w:t>
          </w:r>
          <w:r>
            <w:rPr>
              <w:rStyle w:val="16"/>
              <w:rFonts w:hint="eastAsia" w:ascii="仿宋_GB2312" w:hAnsi="黑体" w:eastAsia="仿宋_GB2312"/>
              <w:b/>
              <w:sz w:val="24"/>
            </w:rPr>
            <w:t>一</w:t>
          </w:r>
          <w:r>
            <w:rPr>
              <w:rStyle w:val="16"/>
              <w:rFonts w:hint="eastAsia" w:ascii="仿宋_GB2312" w:hAnsi="黑体" w:eastAsia="仿宋_GB2312"/>
              <w:bCs/>
              <w:sz w:val="24"/>
            </w:rPr>
            <w:t>般公共预算财政拨款基本支出决算情况说明</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_Toc177484451 \h </w:instrText>
          </w:r>
          <w:r>
            <w:rPr>
              <w:rFonts w:hint="eastAsia" w:ascii="仿宋_GB2312" w:eastAsia="仿宋_GB2312"/>
              <w:sz w:val="24"/>
            </w:rPr>
            <w:fldChar w:fldCharType="separate"/>
          </w:r>
          <w:r>
            <w:rPr>
              <w:rFonts w:hint="eastAsia" w:ascii="仿宋_GB2312" w:eastAsia="仿宋_GB2312"/>
              <w:sz w:val="24"/>
            </w:rPr>
            <w:t>9</w:t>
          </w:r>
          <w:r>
            <w:rPr>
              <w:rFonts w:hint="eastAsia" w:ascii="仿宋_GB2312" w:eastAsia="仿宋_GB2312"/>
              <w:sz w:val="24"/>
            </w:rPr>
            <w:fldChar w:fldCharType="end"/>
          </w:r>
          <w:r>
            <w:rPr>
              <w:rFonts w:hint="eastAsia" w:ascii="仿宋_GB2312" w:eastAsia="仿宋_GB2312"/>
              <w:sz w:val="24"/>
            </w:rPr>
            <w:fldChar w:fldCharType="end"/>
          </w:r>
        </w:p>
        <w:p>
          <w:pPr>
            <w:pStyle w:val="11"/>
            <w:spacing w:line="560" w:lineRule="exact"/>
            <w:rPr>
              <w:rFonts w:ascii="仿宋_GB2312" w:eastAsia="仿宋_GB2312" w:hAnsiTheme="minorHAnsi" w:cstheme="minorBidi"/>
              <w:sz w:val="24"/>
            </w:rPr>
          </w:pPr>
          <w:r>
            <w:fldChar w:fldCharType="begin"/>
          </w:r>
          <w:r>
            <w:instrText xml:space="preserve"> HYPERLINK \l "_Toc177484452" </w:instrText>
          </w:r>
          <w:r>
            <w:fldChar w:fldCharType="separate"/>
          </w:r>
          <w:r>
            <w:rPr>
              <w:rStyle w:val="16"/>
              <w:rFonts w:hint="eastAsia" w:ascii="仿宋_GB2312" w:hAnsi="黑体" w:eastAsia="仿宋_GB2312"/>
              <w:bCs/>
              <w:sz w:val="24"/>
            </w:rPr>
            <w:t>七、</w:t>
          </w:r>
          <w:r>
            <w:rPr>
              <w:rStyle w:val="16"/>
              <w:rFonts w:hint="eastAsia" w:ascii="仿宋_GB2312" w:hAnsi="黑体" w:eastAsia="仿宋_GB2312"/>
              <w:sz w:val="24"/>
            </w:rPr>
            <w:t>财政拨款“三公”经费支出决算情况说明</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_Toc177484452 \h </w:instrText>
          </w:r>
          <w:r>
            <w:rPr>
              <w:rFonts w:hint="eastAsia" w:ascii="仿宋_GB2312" w:eastAsia="仿宋_GB2312"/>
              <w:sz w:val="24"/>
            </w:rPr>
            <w:fldChar w:fldCharType="separate"/>
          </w:r>
          <w:r>
            <w:rPr>
              <w:rFonts w:hint="eastAsia" w:ascii="仿宋_GB2312" w:eastAsia="仿宋_GB2312"/>
              <w:sz w:val="24"/>
            </w:rPr>
            <w:t>9</w:t>
          </w:r>
          <w:r>
            <w:rPr>
              <w:rFonts w:hint="eastAsia" w:ascii="仿宋_GB2312" w:eastAsia="仿宋_GB2312"/>
              <w:sz w:val="24"/>
            </w:rPr>
            <w:fldChar w:fldCharType="end"/>
          </w:r>
          <w:r>
            <w:rPr>
              <w:rFonts w:hint="eastAsia" w:ascii="仿宋_GB2312" w:eastAsia="仿宋_GB2312"/>
              <w:sz w:val="24"/>
            </w:rPr>
            <w:fldChar w:fldCharType="end"/>
          </w:r>
        </w:p>
        <w:p>
          <w:pPr>
            <w:pStyle w:val="11"/>
            <w:spacing w:line="560" w:lineRule="exact"/>
            <w:rPr>
              <w:rFonts w:ascii="仿宋_GB2312" w:eastAsia="仿宋_GB2312" w:hAnsiTheme="minorHAnsi" w:cstheme="minorBidi"/>
              <w:sz w:val="24"/>
            </w:rPr>
          </w:pPr>
          <w:r>
            <w:fldChar w:fldCharType="begin"/>
          </w:r>
          <w:r>
            <w:instrText xml:space="preserve"> HYPERLINK \l "_Toc177484455" </w:instrText>
          </w:r>
          <w:r>
            <w:fldChar w:fldCharType="separate"/>
          </w:r>
          <w:r>
            <w:rPr>
              <w:rStyle w:val="16"/>
              <w:rFonts w:hint="eastAsia" w:ascii="仿宋_GB2312" w:eastAsia="仿宋_GB2312"/>
              <w:sz w:val="24"/>
            </w:rPr>
            <w:t>八、</w:t>
          </w:r>
          <w:r>
            <w:rPr>
              <w:rStyle w:val="16"/>
              <w:rFonts w:hint="eastAsia" w:ascii="仿宋_GB2312" w:hAnsi="黑体" w:eastAsia="仿宋_GB2312"/>
              <w:bCs/>
              <w:sz w:val="24"/>
            </w:rPr>
            <w:t>政府性基金预算支出决算情况说明</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_Toc177484455 \h </w:instrText>
          </w:r>
          <w:r>
            <w:rPr>
              <w:rFonts w:hint="eastAsia" w:ascii="仿宋_GB2312" w:eastAsia="仿宋_GB2312"/>
              <w:sz w:val="24"/>
            </w:rPr>
            <w:fldChar w:fldCharType="separate"/>
          </w:r>
          <w:r>
            <w:rPr>
              <w:rFonts w:hint="eastAsia" w:ascii="仿宋_GB2312" w:eastAsia="仿宋_GB2312"/>
              <w:sz w:val="24"/>
            </w:rPr>
            <w:t>11</w:t>
          </w:r>
          <w:r>
            <w:rPr>
              <w:rFonts w:hint="eastAsia" w:ascii="仿宋_GB2312" w:eastAsia="仿宋_GB2312"/>
              <w:sz w:val="24"/>
            </w:rPr>
            <w:fldChar w:fldCharType="end"/>
          </w:r>
          <w:r>
            <w:rPr>
              <w:rFonts w:hint="eastAsia" w:ascii="仿宋_GB2312" w:eastAsia="仿宋_GB2312"/>
              <w:sz w:val="24"/>
            </w:rPr>
            <w:fldChar w:fldCharType="end"/>
          </w:r>
        </w:p>
        <w:p>
          <w:pPr>
            <w:pStyle w:val="11"/>
            <w:spacing w:line="560" w:lineRule="exact"/>
            <w:rPr>
              <w:rFonts w:ascii="仿宋_GB2312" w:eastAsia="仿宋_GB2312" w:hAnsiTheme="minorHAnsi" w:cstheme="minorBidi"/>
              <w:sz w:val="24"/>
            </w:rPr>
          </w:pPr>
          <w:r>
            <w:fldChar w:fldCharType="begin"/>
          </w:r>
          <w:r>
            <w:instrText xml:space="preserve"> HYPERLINK \l "_Toc177484456" </w:instrText>
          </w:r>
          <w:r>
            <w:fldChar w:fldCharType="separate"/>
          </w:r>
          <w:r>
            <w:rPr>
              <w:rStyle w:val="16"/>
              <w:rFonts w:hint="eastAsia" w:ascii="仿宋_GB2312" w:eastAsia="仿宋_GB2312"/>
              <w:bCs/>
              <w:sz w:val="24"/>
            </w:rPr>
            <w:t>九、</w:t>
          </w:r>
          <w:r>
            <w:rPr>
              <w:rStyle w:val="16"/>
              <w:rFonts w:hint="eastAsia" w:ascii="仿宋_GB2312" w:hAnsi="黑体" w:eastAsia="仿宋_GB2312"/>
              <w:bCs/>
              <w:sz w:val="24"/>
            </w:rPr>
            <w:t>国有资本经营预算支出决算情况说明</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_Toc177484456 \h </w:instrText>
          </w:r>
          <w:r>
            <w:rPr>
              <w:rFonts w:hint="eastAsia" w:ascii="仿宋_GB2312" w:eastAsia="仿宋_GB2312"/>
              <w:sz w:val="24"/>
            </w:rPr>
            <w:fldChar w:fldCharType="separate"/>
          </w:r>
          <w:r>
            <w:rPr>
              <w:rFonts w:hint="eastAsia" w:ascii="仿宋_GB2312" w:eastAsia="仿宋_GB2312"/>
              <w:sz w:val="24"/>
            </w:rPr>
            <w:t>11</w:t>
          </w:r>
          <w:r>
            <w:rPr>
              <w:rFonts w:hint="eastAsia" w:ascii="仿宋_GB2312" w:eastAsia="仿宋_GB2312"/>
              <w:sz w:val="24"/>
            </w:rPr>
            <w:fldChar w:fldCharType="end"/>
          </w:r>
          <w:r>
            <w:rPr>
              <w:rFonts w:hint="eastAsia" w:ascii="仿宋_GB2312" w:eastAsia="仿宋_GB2312"/>
              <w:sz w:val="24"/>
            </w:rPr>
            <w:fldChar w:fldCharType="end"/>
          </w:r>
        </w:p>
        <w:p>
          <w:pPr>
            <w:pStyle w:val="11"/>
            <w:spacing w:line="560" w:lineRule="exact"/>
            <w:rPr>
              <w:rFonts w:ascii="仿宋_GB2312" w:eastAsia="仿宋_GB2312" w:hAnsiTheme="minorHAnsi" w:cstheme="minorBidi"/>
              <w:sz w:val="24"/>
            </w:rPr>
          </w:pPr>
          <w:r>
            <w:fldChar w:fldCharType="begin"/>
          </w:r>
          <w:r>
            <w:instrText xml:space="preserve"> HYPERLINK \l "_Toc177484457" </w:instrText>
          </w:r>
          <w:r>
            <w:fldChar w:fldCharType="separate"/>
          </w:r>
          <w:r>
            <w:rPr>
              <w:rStyle w:val="16"/>
              <w:rFonts w:hint="eastAsia" w:ascii="仿宋_GB2312" w:eastAsia="仿宋_GB2312"/>
              <w:bCs/>
              <w:sz w:val="24"/>
            </w:rPr>
            <w:t>十、</w:t>
          </w:r>
          <w:r>
            <w:rPr>
              <w:rStyle w:val="16"/>
              <w:rFonts w:hint="eastAsia" w:ascii="仿宋_GB2312" w:hAnsi="黑体" w:eastAsia="仿宋_GB2312"/>
              <w:bCs/>
              <w:sz w:val="24"/>
            </w:rPr>
            <w:t>其他重要事项的情况说明</w:t>
          </w:r>
          <w:r>
            <w:rPr>
              <w:rFonts w:hint="eastAsia" w:ascii="仿宋_GB2312" w:eastAsia="仿宋_GB2312"/>
              <w:sz w:val="24"/>
            </w:rPr>
            <w:tab/>
          </w:r>
          <w:r>
            <w:rPr>
              <w:rFonts w:hint="eastAsia" w:ascii="仿宋_GB2312" w:eastAsia="仿宋_GB2312"/>
              <w:sz w:val="24"/>
            </w:rPr>
            <w:fldChar w:fldCharType="begin"/>
          </w:r>
          <w:r>
            <w:rPr>
              <w:rFonts w:hint="eastAsia" w:ascii="仿宋_GB2312" w:eastAsia="仿宋_GB2312"/>
              <w:sz w:val="24"/>
            </w:rPr>
            <w:instrText xml:space="preserve"> PAGEREF _Toc177484457 \h </w:instrText>
          </w:r>
          <w:r>
            <w:rPr>
              <w:rFonts w:hint="eastAsia" w:ascii="仿宋_GB2312" w:eastAsia="仿宋_GB2312"/>
              <w:sz w:val="24"/>
            </w:rPr>
            <w:fldChar w:fldCharType="separate"/>
          </w:r>
          <w:r>
            <w:rPr>
              <w:rFonts w:hint="eastAsia" w:ascii="仿宋_GB2312" w:eastAsia="仿宋_GB2312"/>
              <w:sz w:val="24"/>
            </w:rPr>
            <w:t>11</w:t>
          </w:r>
          <w:r>
            <w:rPr>
              <w:rFonts w:hint="eastAsia" w:ascii="仿宋_GB2312" w:eastAsia="仿宋_GB2312"/>
              <w:sz w:val="24"/>
            </w:rPr>
            <w:fldChar w:fldCharType="end"/>
          </w:r>
          <w:r>
            <w:rPr>
              <w:rFonts w:hint="eastAsia" w:ascii="仿宋_GB2312" w:eastAsia="仿宋_GB2312"/>
              <w:sz w:val="24"/>
            </w:rPr>
            <w:fldChar w:fldCharType="end"/>
          </w:r>
        </w:p>
        <w:p>
          <w:pPr>
            <w:pStyle w:val="10"/>
            <w:spacing w:line="560" w:lineRule="exact"/>
            <w:rPr>
              <w:rFonts w:ascii="仿宋_GB2312" w:eastAsia="仿宋_GB2312" w:hAnsiTheme="minorHAnsi" w:cstheme="minorBidi"/>
              <w:sz w:val="24"/>
              <w:szCs w:val="24"/>
            </w:rPr>
          </w:pPr>
          <w:r>
            <w:fldChar w:fldCharType="begin"/>
          </w:r>
          <w:r>
            <w:instrText xml:space="preserve"> HYPERLINK \l "_Toc177484462" </w:instrText>
          </w:r>
          <w:r>
            <w:fldChar w:fldCharType="separate"/>
          </w:r>
          <w:r>
            <w:rPr>
              <w:rStyle w:val="16"/>
              <w:rFonts w:hint="eastAsia" w:ascii="仿宋_GB2312" w:hAnsi="黑体" w:eastAsia="仿宋_GB2312"/>
              <w:sz w:val="24"/>
              <w:szCs w:val="24"/>
            </w:rPr>
            <w:t>第三部分 名词解释</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_Toc177484462 \h </w:instrText>
          </w:r>
          <w:r>
            <w:rPr>
              <w:rFonts w:hint="eastAsia" w:ascii="仿宋_GB2312" w:eastAsia="仿宋_GB2312"/>
              <w:sz w:val="24"/>
              <w:szCs w:val="24"/>
            </w:rPr>
            <w:fldChar w:fldCharType="separate"/>
          </w:r>
          <w:r>
            <w:rPr>
              <w:rFonts w:hint="eastAsia" w:ascii="仿宋_GB2312" w:eastAsia="仿宋_GB2312"/>
              <w:sz w:val="24"/>
              <w:szCs w:val="24"/>
            </w:rPr>
            <w:t>13</w:t>
          </w:r>
          <w:r>
            <w:rPr>
              <w:rFonts w:hint="eastAsia" w:ascii="仿宋_GB2312" w:eastAsia="仿宋_GB2312"/>
              <w:sz w:val="24"/>
              <w:szCs w:val="24"/>
            </w:rPr>
            <w:fldChar w:fldCharType="end"/>
          </w:r>
          <w:r>
            <w:rPr>
              <w:rFonts w:hint="eastAsia" w:ascii="仿宋_GB2312" w:eastAsia="仿宋_GB2312"/>
              <w:sz w:val="24"/>
              <w:szCs w:val="24"/>
            </w:rPr>
            <w:fldChar w:fldCharType="end"/>
          </w:r>
        </w:p>
        <w:p>
          <w:pPr>
            <w:pStyle w:val="10"/>
            <w:spacing w:line="560" w:lineRule="exact"/>
            <w:rPr>
              <w:rFonts w:ascii="仿宋_GB2312" w:eastAsia="仿宋_GB2312" w:hAnsiTheme="minorHAnsi" w:cstheme="minorBidi"/>
              <w:sz w:val="24"/>
              <w:szCs w:val="24"/>
            </w:rPr>
          </w:pPr>
          <w:r>
            <w:fldChar w:fldCharType="begin"/>
          </w:r>
          <w:r>
            <w:instrText xml:space="preserve"> HYPERLINK \l "_Toc177484463" </w:instrText>
          </w:r>
          <w:r>
            <w:fldChar w:fldCharType="separate"/>
          </w:r>
          <w:r>
            <w:rPr>
              <w:rStyle w:val="16"/>
              <w:rFonts w:hint="eastAsia" w:ascii="仿宋_GB2312" w:eastAsia="仿宋_GB2312"/>
              <w:sz w:val="24"/>
              <w:szCs w:val="24"/>
            </w:rPr>
            <w:t>第四部分 附件</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_Toc177484463 \h </w:instrText>
          </w:r>
          <w:r>
            <w:rPr>
              <w:rFonts w:hint="eastAsia" w:ascii="仿宋_GB2312" w:eastAsia="仿宋_GB2312"/>
              <w:sz w:val="24"/>
              <w:szCs w:val="24"/>
            </w:rPr>
            <w:fldChar w:fldCharType="separate"/>
          </w:r>
          <w:r>
            <w:rPr>
              <w:rFonts w:hint="eastAsia" w:ascii="仿宋_GB2312" w:eastAsia="仿宋_GB2312"/>
              <w:sz w:val="24"/>
              <w:szCs w:val="24"/>
            </w:rPr>
            <w:t>16</w:t>
          </w:r>
          <w:r>
            <w:rPr>
              <w:rFonts w:hint="eastAsia" w:ascii="仿宋_GB2312" w:eastAsia="仿宋_GB2312"/>
              <w:sz w:val="24"/>
              <w:szCs w:val="24"/>
            </w:rPr>
            <w:fldChar w:fldCharType="end"/>
          </w:r>
          <w:r>
            <w:rPr>
              <w:rFonts w:hint="eastAsia" w:ascii="仿宋_GB2312" w:eastAsia="仿宋_GB2312"/>
              <w:sz w:val="24"/>
              <w:szCs w:val="24"/>
            </w:rPr>
            <w:fldChar w:fldCharType="end"/>
          </w:r>
        </w:p>
        <w:p>
          <w:pPr>
            <w:pStyle w:val="10"/>
            <w:spacing w:line="560" w:lineRule="exact"/>
            <w:rPr>
              <w:rFonts w:ascii="仿宋_GB2312" w:eastAsia="仿宋_GB2312" w:hAnsiTheme="minorHAnsi" w:cstheme="minorBidi"/>
              <w:sz w:val="24"/>
              <w:szCs w:val="24"/>
            </w:rPr>
          </w:pPr>
          <w:r>
            <w:fldChar w:fldCharType="begin"/>
          </w:r>
          <w:r>
            <w:instrText xml:space="preserve"> HYPERLINK \l "_Toc177484466" </w:instrText>
          </w:r>
          <w:r>
            <w:fldChar w:fldCharType="separate"/>
          </w:r>
          <w:r>
            <w:rPr>
              <w:rStyle w:val="16"/>
              <w:rFonts w:hint="eastAsia" w:ascii="仿宋_GB2312" w:eastAsia="仿宋_GB2312"/>
              <w:sz w:val="24"/>
              <w:szCs w:val="24"/>
            </w:rPr>
            <w:t>第五部分 附表</w:t>
          </w:r>
          <w:r>
            <w:rPr>
              <w:rFonts w:hint="eastAsia" w:ascii="仿宋_GB2312" w:eastAsia="仿宋_GB2312"/>
              <w:sz w:val="24"/>
              <w:szCs w:val="24"/>
            </w:rPr>
            <w:tab/>
          </w:r>
          <w:r>
            <w:rPr>
              <w:rFonts w:hint="eastAsia" w:ascii="仿宋_GB2312" w:eastAsia="仿宋_GB2312"/>
              <w:sz w:val="24"/>
              <w:szCs w:val="24"/>
            </w:rPr>
            <w:fldChar w:fldCharType="begin"/>
          </w:r>
          <w:r>
            <w:rPr>
              <w:rFonts w:hint="eastAsia" w:ascii="仿宋_GB2312" w:eastAsia="仿宋_GB2312"/>
              <w:sz w:val="24"/>
              <w:szCs w:val="24"/>
            </w:rPr>
            <w:instrText xml:space="preserve"> PAGEREF _Toc177484466 \h </w:instrText>
          </w:r>
          <w:r>
            <w:rPr>
              <w:rFonts w:hint="eastAsia" w:ascii="仿宋_GB2312" w:eastAsia="仿宋_GB2312"/>
              <w:sz w:val="24"/>
              <w:szCs w:val="24"/>
            </w:rPr>
            <w:fldChar w:fldCharType="separate"/>
          </w:r>
          <w:r>
            <w:rPr>
              <w:rFonts w:hint="eastAsia" w:ascii="仿宋_GB2312" w:eastAsia="仿宋_GB2312"/>
              <w:sz w:val="24"/>
              <w:szCs w:val="24"/>
            </w:rPr>
            <w:t>18</w:t>
          </w:r>
          <w:r>
            <w:rPr>
              <w:rFonts w:hint="eastAsia" w:ascii="仿宋_GB2312" w:eastAsia="仿宋_GB2312"/>
              <w:sz w:val="24"/>
              <w:szCs w:val="24"/>
            </w:rPr>
            <w:fldChar w:fldCharType="end"/>
          </w:r>
          <w:r>
            <w:rPr>
              <w:rFonts w:hint="eastAsia" w:ascii="仿宋_GB2312" w:eastAsia="仿宋_GB2312"/>
              <w:sz w:val="24"/>
              <w:szCs w:val="24"/>
            </w:rPr>
            <w:fldChar w:fldCharType="end"/>
          </w:r>
        </w:p>
        <w:p>
          <w:pPr>
            <w:pStyle w:val="11"/>
            <w:spacing w:line="560" w:lineRule="exact"/>
            <w:rPr>
              <w:rFonts w:ascii="仿宋_GB2312" w:eastAsia="仿宋_GB2312" w:hAnsiTheme="minorHAnsi" w:cstheme="minorBidi"/>
              <w:color w:val="000000" w:themeColor="text1"/>
              <w:sz w:val="24"/>
              <w14:textFill>
                <w14:solidFill>
                  <w14:schemeClr w14:val="tx1"/>
                </w14:solidFill>
              </w14:textFill>
            </w:rPr>
          </w:pPr>
          <w:r>
            <w:rPr>
              <w:rFonts w:hint="eastAsia" w:ascii="仿宋_GB2312" w:eastAsia="仿宋_GB2312"/>
              <w:sz w:val="24"/>
            </w:rPr>
            <w:fldChar w:fldCharType="end"/>
          </w:r>
          <w:r>
            <w:fldChar w:fldCharType="begin"/>
          </w:r>
          <w:r>
            <w:instrText xml:space="preserve"> HYPERLINK \l "_Toc177484442" </w:instrText>
          </w:r>
          <w:r>
            <w:fldChar w:fldCharType="separate"/>
          </w:r>
          <w:r>
            <w:rPr>
              <w:rStyle w:val="16"/>
              <w:rFonts w:hint="eastAsia" w:ascii="仿宋_GB2312" w:eastAsia="仿宋_GB2312"/>
              <w:bCs/>
              <w:color w:val="000000" w:themeColor="text1"/>
              <w:sz w:val="24"/>
              <w:u w:val="none"/>
              <w14:textFill>
                <w14:solidFill>
                  <w14:schemeClr w14:val="tx1"/>
                </w14:solidFill>
              </w14:textFill>
            </w:rPr>
            <w:t>一、</w:t>
          </w:r>
          <w:r>
            <w:rPr>
              <w:rFonts w:hint="eastAsia" w:ascii="仿宋_GB2312" w:eastAsia="仿宋_GB2312"/>
              <w:sz w:val="24"/>
            </w:rPr>
            <w:t>收入支出决算总表</w:t>
          </w:r>
          <w:r>
            <w:rPr>
              <w:rFonts w:hint="eastAsia" w:ascii="仿宋_GB2312" w:eastAsia="仿宋_GB2312"/>
              <w:color w:val="000000" w:themeColor="text1"/>
              <w:sz w:val="24"/>
              <w14:textFill>
                <w14:solidFill>
                  <w14:schemeClr w14:val="tx1"/>
                </w14:solidFill>
              </w14:textFill>
            </w:rPr>
            <w:tab/>
          </w:r>
          <w:r>
            <w:rPr>
              <w:rFonts w:hint="eastAsia" w:ascii="仿宋_GB2312" w:eastAsia="仿宋_GB2312"/>
              <w:color w:val="000000" w:themeColor="text1"/>
              <w:sz w:val="24"/>
              <w14:textFill>
                <w14:solidFill>
                  <w14:schemeClr w14:val="tx1"/>
                </w14:solidFill>
              </w14:textFill>
            </w:rPr>
            <w:t>1</w:t>
          </w:r>
          <w:r>
            <w:rPr>
              <w:rFonts w:hint="eastAsia" w:ascii="仿宋_GB2312" w:eastAsia="仿宋_GB2312"/>
              <w:color w:val="000000" w:themeColor="text1"/>
              <w:sz w:val="24"/>
              <w:lang w:val="en-US" w:eastAsia="zh-CN"/>
              <w14:textFill>
                <w14:solidFill>
                  <w14:schemeClr w14:val="tx1"/>
                </w14:solidFill>
              </w14:textFill>
            </w:rPr>
            <w:t>8</w:t>
          </w:r>
          <w:r>
            <w:rPr>
              <w:rFonts w:hint="eastAsia" w:ascii="仿宋_GB2312" w:eastAsia="仿宋_GB2312"/>
              <w:color w:val="000000" w:themeColor="text1"/>
              <w:sz w:val="24"/>
              <w14:textFill>
                <w14:solidFill>
                  <w14:schemeClr w14:val="tx1"/>
                </w14:solidFill>
              </w14:textFill>
            </w:rPr>
            <w:fldChar w:fldCharType="end"/>
          </w:r>
        </w:p>
        <w:p>
          <w:pPr>
            <w:pStyle w:val="11"/>
            <w:spacing w:line="560" w:lineRule="exact"/>
            <w:rPr>
              <w:rFonts w:ascii="仿宋_GB2312" w:eastAsia="仿宋_GB2312" w:hAnsiTheme="minorHAnsi" w:cstheme="minorBidi"/>
              <w:color w:val="000000" w:themeColor="text1"/>
              <w:sz w:val="24"/>
              <w14:textFill>
                <w14:solidFill>
                  <w14:schemeClr w14:val="tx1"/>
                </w14:solidFill>
              </w14:textFill>
            </w:rPr>
          </w:pPr>
          <w:r>
            <w:fldChar w:fldCharType="begin"/>
          </w:r>
          <w:r>
            <w:instrText xml:space="preserve"> HYPERLINK \l "_Toc177484443" </w:instrText>
          </w:r>
          <w:r>
            <w:fldChar w:fldCharType="separate"/>
          </w:r>
          <w:r>
            <w:rPr>
              <w:rStyle w:val="16"/>
              <w:rFonts w:hint="eastAsia" w:ascii="仿宋_GB2312" w:eastAsia="仿宋_GB2312"/>
              <w:bCs/>
              <w:color w:val="000000" w:themeColor="text1"/>
              <w:sz w:val="24"/>
              <w:u w:val="none"/>
              <w14:textFill>
                <w14:solidFill>
                  <w14:schemeClr w14:val="tx1"/>
                </w14:solidFill>
              </w14:textFill>
            </w:rPr>
            <w:t>二、</w:t>
          </w:r>
          <w:r>
            <w:rPr>
              <w:rFonts w:hint="eastAsia" w:ascii="仿宋_GB2312" w:eastAsia="仿宋_GB2312"/>
              <w:sz w:val="24"/>
            </w:rPr>
            <w:t>收入决算表</w:t>
          </w:r>
          <w:r>
            <w:rPr>
              <w:rFonts w:hint="eastAsia" w:ascii="仿宋_GB2312" w:eastAsia="仿宋_GB2312"/>
              <w:color w:val="000000" w:themeColor="text1"/>
              <w:sz w:val="24"/>
              <w14:textFill>
                <w14:solidFill>
                  <w14:schemeClr w14:val="tx1"/>
                </w14:solidFill>
              </w14:textFill>
            </w:rPr>
            <w:tab/>
          </w:r>
          <w:r>
            <w:rPr>
              <w:rFonts w:hint="eastAsia" w:ascii="仿宋_GB2312" w:eastAsia="仿宋_GB2312"/>
              <w:color w:val="000000" w:themeColor="text1"/>
              <w:sz w:val="24"/>
              <w14:textFill>
                <w14:solidFill>
                  <w14:schemeClr w14:val="tx1"/>
                </w14:solidFill>
              </w14:textFill>
            </w:rPr>
            <w:t>1</w:t>
          </w:r>
          <w:r>
            <w:rPr>
              <w:rFonts w:hint="eastAsia" w:ascii="仿宋_GB2312" w:eastAsia="仿宋_GB2312"/>
              <w:color w:val="000000" w:themeColor="text1"/>
              <w:sz w:val="24"/>
              <w:lang w:val="en-US" w:eastAsia="zh-CN"/>
              <w14:textFill>
                <w14:solidFill>
                  <w14:schemeClr w14:val="tx1"/>
                </w14:solidFill>
              </w14:textFill>
            </w:rPr>
            <w:t>8</w:t>
          </w:r>
          <w:r>
            <w:rPr>
              <w:rFonts w:hint="eastAsia" w:ascii="仿宋_GB2312" w:eastAsia="仿宋_GB2312"/>
              <w:color w:val="000000" w:themeColor="text1"/>
              <w:sz w:val="24"/>
              <w14:textFill>
                <w14:solidFill>
                  <w14:schemeClr w14:val="tx1"/>
                </w14:solidFill>
              </w14:textFill>
            </w:rPr>
            <w:fldChar w:fldCharType="end"/>
          </w:r>
        </w:p>
        <w:p>
          <w:pPr>
            <w:pStyle w:val="11"/>
            <w:spacing w:line="560" w:lineRule="exact"/>
            <w:rPr>
              <w:rFonts w:hint="eastAsia" w:ascii="仿宋_GB2312" w:eastAsia="仿宋_GB2312" w:hAnsiTheme="minorHAnsi" w:cstheme="minorBidi"/>
              <w:color w:val="000000" w:themeColor="text1"/>
              <w:sz w:val="24"/>
              <w:lang w:eastAsia="zh-CN"/>
              <w14:textFill>
                <w14:solidFill>
                  <w14:schemeClr w14:val="tx1"/>
                </w14:solidFill>
              </w14:textFill>
            </w:rPr>
          </w:pPr>
          <w:r>
            <w:fldChar w:fldCharType="begin"/>
          </w:r>
          <w:r>
            <w:instrText xml:space="preserve"> HYPERLINK \l "_Toc177484444" </w:instrText>
          </w:r>
          <w:r>
            <w:fldChar w:fldCharType="separate"/>
          </w:r>
          <w:r>
            <w:rPr>
              <w:rStyle w:val="16"/>
              <w:rFonts w:hint="eastAsia" w:ascii="仿宋_GB2312" w:eastAsia="仿宋_GB2312"/>
              <w:bCs/>
              <w:color w:val="000000" w:themeColor="text1"/>
              <w:sz w:val="24"/>
              <w:u w:val="none"/>
              <w14:textFill>
                <w14:solidFill>
                  <w14:schemeClr w14:val="tx1"/>
                </w14:solidFill>
              </w14:textFill>
            </w:rPr>
            <w:t>三、</w:t>
          </w:r>
          <w:r>
            <w:rPr>
              <w:rFonts w:hint="eastAsia" w:ascii="仿宋_GB2312" w:eastAsia="仿宋_GB2312"/>
              <w:sz w:val="24"/>
            </w:rPr>
            <w:t>支出决算表</w:t>
          </w:r>
          <w:r>
            <w:rPr>
              <w:rFonts w:hint="eastAsia" w:ascii="仿宋_GB2312" w:eastAsia="仿宋_GB2312"/>
              <w:color w:val="000000" w:themeColor="text1"/>
              <w:sz w:val="24"/>
              <w14:textFill>
                <w14:solidFill>
                  <w14:schemeClr w14:val="tx1"/>
                </w14:solidFill>
              </w14:textFill>
            </w:rPr>
            <w:tab/>
          </w:r>
          <w:r>
            <w:rPr>
              <w:rFonts w:hint="eastAsia" w:ascii="仿宋_GB2312" w:eastAsia="仿宋_GB2312"/>
              <w:color w:val="000000" w:themeColor="text1"/>
              <w:sz w:val="24"/>
              <w14:textFill>
                <w14:solidFill>
                  <w14:schemeClr w14:val="tx1"/>
                </w14:solidFill>
              </w14:textFill>
            </w:rPr>
            <w:fldChar w:fldCharType="end"/>
          </w:r>
          <w:r>
            <w:rPr>
              <w:rStyle w:val="16"/>
              <w:rFonts w:hint="eastAsia" w:ascii="仿宋_GB2312" w:eastAsia="仿宋_GB2312"/>
              <w:color w:val="000000" w:themeColor="text1"/>
              <w:sz w:val="24"/>
              <w:u w:val="none"/>
              <w14:textFill>
                <w14:solidFill>
                  <w14:schemeClr w14:val="tx1"/>
                </w14:solidFill>
              </w14:textFill>
            </w:rPr>
            <w:t>1</w:t>
          </w:r>
          <w:r>
            <w:rPr>
              <w:rStyle w:val="16"/>
              <w:rFonts w:hint="eastAsia" w:ascii="仿宋_GB2312" w:eastAsia="仿宋_GB2312"/>
              <w:color w:val="000000" w:themeColor="text1"/>
              <w:sz w:val="24"/>
              <w:u w:val="none"/>
              <w:lang w:val="en-US" w:eastAsia="zh-CN"/>
              <w14:textFill>
                <w14:solidFill>
                  <w14:schemeClr w14:val="tx1"/>
                </w14:solidFill>
              </w14:textFill>
            </w:rPr>
            <w:t>8</w:t>
          </w:r>
        </w:p>
        <w:p>
          <w:pPr>
            <w:pStyle w:val="11"/>
            <w:spacing w:line="560" w:lineRule="exact"/>
            <w:rPr>
              <w:rFonts w:ascii="仿宋_GB2312" w:eastAsia="仿宋_GB2312" w:hAnsiTheme="minorHAnsi" w:cstheme="minorBidi"/>
              <w:color w:val="000000" w:themeColor="text1"/>
              <w:sz w:val="24"/>
              <w14:textFill>
                <w14:solidFill>
                  <w14:schemeClr w14:val="tx1"/>
                </w14:solidFill>
              </w14:textFill>
            </w:rPr>
          </w:pPr>
          <w:r>
            <w:fldChar w:fldCharType="begin"/>
          </w:r>
          <w:r>
            <w:instrText xml:space="preserve"> HYPERLINK \l "_Toc177484445" </w:instrText>
          </w:r>
          <w:r>
            <w:fldChar w:fldCharType="separate"/>
          </w:r>
          <w:r>
            <w:rPr>
              <w:rStyle w:val="16"/>
              <w:rFonts w:hint="eastAsia" w:ascii="仿宋_GB2312" w:hAnsi="黑体" w:eastAsia="仿宋_GB2312"/>
              <w:color w:val="000000" w:themeColor="text1"/>
              <w:sz w:val="24"/>
              <w:u w:val="none"/>
              <w14:textFill>
                <w14:solidFill>
                  <w14:schemeClr w14:val="tx1"/>
                </w14:solidFill>
              </w14:textFill>
            </w:rPr>
            <w:t>四、</w:t>
          </w:r>
          <w:r>
            <w:rPr>
              <w:rFonts w:hint="eastAsia" w:ascii="仿宋_GB2312" w:eastAsia="仿宋_GB2312"/>
              <w:sz w:val="24"/>
            </w:rPr>
            <w:t>财政拨款收入支出决算总表</w:t>
          </w:r>
          <w:r>
            <w:rPr>
              <w:rFonts w:hint="eastAsia" w:ascii="仿宋_GB2312" w:eastAsia="仿宋_GB2312"/>
              <w:color w:val="000000" w:themeColor="text1"/>
              <w:sz w:val="24"/>
              <w14:textFill>
                <w14:solidFill>
                  <w14:schemeClr w14:val="tx1"/>
                </w14:solidFill>
              </w14:textFill>
            </w:rPr>
            <w:tab/>
          </w:r>
          <w:r>
            <w:rPr>
              <w:rFonts w:hint="eastAsia" w:ascii="仿宋_GB2312" w:eastAsia="仿宋_GB2312"/>
              <w:color w:val="000000" w:themeColor="text1"/>
              <w:sz w:val="24"/>
              <w14:textFill>
                <w14:solidFill>
                  <w14:schemeClr w14:val="tx1"/>
                </w14:solidFill>
              </w14:textFill>
            </w:rPr>
            <w:t>1</w:t>
          </w:r>
          <w:r>
            <w:rPr>
              <w:rFonts w:hint="eastAsia" w:ascii="仿宋_GB2312" w:eastAsia="仿宋_GB2312"/>
              <w:color w:val="000000" w:themeColor="text1"/>
              <w:sz w:val="24"/>
              <w:lang w:val="en-US" w:eastAsia="zh-CN"/>
              <w14:textFill>
                <w14:solidFill>
                  <w14:schemeClr w14:val="tx1"/>
                </w14:solidFill>
              </w14:textFill>
            </w:rPr>
            <w:t>8</w:t>
          </w:r>
          <w:r>
            <w:rPr>
              <w:rFonts w:hint="eastAsia" w:ascii="仿宋_GB2312" w:eastAsia="仿宋_GB2312"/>
              <w:color w:val="000000" w:themeColor="text1"/>
              <w:sz w:val="24"/>
              <w14:textFill>
                <w14:solidFill>
                  <w14:schemeClr w14:val="tx1"/>
                </w14:solidFill>
              </w14:textFill>
            </w:rPr>
            <w:fldChar w:fldCharType="end"/>
          </w:r>
        </w:p>
        <w:p>
          <w:pPr>
            <w:pStyle w:val="11"/>
            <w:spacing w:line="560" w:lineRule="exact"/>
            <w:rPr>
              <w:rFonts w:ascii="仿宋_GB2312" w:eastAsia="仿宋_GB2312" w:hAnsiTheme="minorHAnsi" w:cstheme="minorBidi"/>
              <w:color w:val="000000" w:themeColor="text1"/>
              <w:sz w:val="24"/>
              <w14:textFill>
                <w14:solidFill>
                  <w14:schemeClr w14:val="tx1"/>
                </w14:solidFill>
              </w14:textFill>
            </w:rPr>
          </w:pPr>
          <w:r>
            <w:fldChar w:fldCharType="begin"/>
          </w:r>
          <w:r>
            <w:instrText xml:space="preserve"> HYPERLINK \l "_Toc177484446" </w:instrText>
          </w:r>
          <w:r>
            <w:fldChar w:fldCharType="separate"/>
          </w:r>
          <w:r>
            <w:rPr>
              <w:rStyle w:val="16"/>
              <w:rFonts w:hint="eastAsia" w:ascii="仿宋_GB2312" w:hAnsi="黑体" w:eastAsia="仿宋_GB2312"/>
              <w:color w:val="000000" w:themeColor="text1"/>
              <w:sz w:val="24"/>
              <w:u w:val="none"/>
              <w14:textFill>
                <w14:solidFill>
                  <w14:schemeClr w14:val="tx1"/>
                </w14:solidFill>
              </w14:textFill>
            </w:rPr>
            <w:t>五</w:t>
          </w:r>
          <w:r>
            <w:rPr>
              <w:rStyle w:val="16"/>
              <w:rFonts w:hint="eastAsia" w:ascii="仿宋_GB2312" w:hAnsi="黑体" w:eastAsia="仿宋_GB2312"/>
              <w:b/>
              <w:color w:val="000000" w:themeColor="text1"/>
              <w:sz w:val="24"/>
              <w:u w:val="none"/>
              <w14:textFill>
                <w14:solidFill>
                  <w14:schemeClr w14:val="tx1"/>
                </w14:solidFill>
              </w14:textFill>
            </w:rPr>
            <w:t>、</w:t>
          </w:r>
          <w:r>
            <w:rPr>
              <w:rFonts w:hint="eastAsia" w:ascii="仿宋_GB2312" w:eastAsia="仿宋_GB2312"/>
              <w:sz w:val="24"/>
            </w:rPr>
            <w:t>财政拨款支出决算明细表</w:t>
          </w:r>
          <w:r>
            <w:rPr>
              <w:rFonts w:hint="eastAsia" w:ascii="仿宋_GB2312" w:eastAsia="仿宋_GB2312"/>
              <w:color w:val="000000" w:themeColor="text1"/>
              <w:sz w:val="24"/>
              <w14:textFill>
                <w14:solidFill>
                  <w14:schemeClr w14:val="tx1"/>
                </w14:solidFill>
              </w14:textFill>
            </w:rPr>
            <w:tab/>
          </w:r>
          <w:r>
            <w:rPr>
              <w:rFonts w:hint="eastAsia" w:ascii="仿宋_GB2312" w:eastAsia="仿宋_GB2312"/>
              <w:color w:val="000000" w:themeColor="text1"/>
              <w:sz w:val="24"/>
              <w14:textFill>
                <w14:solidFill>
                  <w14:schemeClr w14:val="tx1"/>
                </w14:solidFill>
              </w14:textFill>
            </w:rPr>
            <w:t>1</w:t>
          </w:r>
          <w:r>
            <w:rPr>
              <w:rFonts w:hint="eastAsia" w:ascii="仿宋_GB2312" w:eastAsia="仿宋_GB2312"/>
              <w:color w:val="000000" w:themeColor="text1"/>
              <w:sz w:val="24"/>
              <w:lang w:val="en-US" w:eastAsia="zh-CN"/>
              <w14:textFill>
                <w14:solidFill>
                  <w14:schemeClr w14:val="tx1"/>
                </w14:solidFill>
              </w14:textFill>
            </w:rPr>
            <w:t>8</w:t>
          </w:r>
          <w:r>
            <w:rPr>
              <w:rFonts w:hint="eastAsia" w:ascii="仿宋_GB2312" w:eastAsia="仿宋_GB2312"/>
              <w:color w:val="000000" w:themeColor="text1"/>
              <w:sz w:val="24"/>
              <w14:textFill>
                <w14:solidFill>
                  <w14:schemeClr w14:val="tx1"/>
                </w14:solidFill>
              </w14:textFill>
            </w:rPr>
            <w:fldChar w:fldCharType="end"/>
          </w:r>
        </w:p>
        <w:p>
          <w:pPr>
            <w:pStyle w:val="11"/>
            <w:spacing w:line="560" w:lineRule="exact"/>
            <w:rPr>
              <w:rFonts w:ascii="仿宋_GB2312" w:eastAsia="仿宋_GB2312" w:hAnsiTheme="minorHAnsi" w:cstheme="minorBidi"/>
              <w:color w:val="000000" w:themeColor="text1"/>
              <w:sz w:val="24"/>
              <w14:textFill>
                <w14:solidFill>
                  <w14:schemeClr w14:val="tx1"/>
                </w14:solidFill>
              </w14:textFill>
            </w:rPr>
          </w:pPr>
          <w:r>
            <w:fldChar w:fldCharType="begin"/>
          </w:r>
          <w:r>
            <w:instrText xml:space="preserve"> HYPERLINK \l "_Toc177484451" </w:instrText>
          </w:r>
          <w:r>
            <w:fldChar w:fldCharType="separate"/>
          </w:r>
          <w:r>
            <w:rPr>
              <w:rStyle w:val="16"/>
              <w:rFonts w:hint="eastAsia" w:ascii="仿宋_GB2312" w:eastAsia="仿宋_GB2312"/>
              <w:color w:val="000000" w:themeColor="text1"/>
              <w:sz w:val="24"/>
              <w:u w:val="none"/>
              <w14:textFill>
                <w14:solidFill>
                  <w14:schemeClr w14:val="tx1"/>
                </w14:solidFill>
              </w14:textFill>
            </w:rPr>
            <w:t>六</w:t>
          </w:r>
          <w:r>
            <w:rPr>
              <w:rStyle w:val="16"/>
              <w:rFonts w:hint="eastAsia" w:ascii="仿宋_GB2312" w:eastAsia="仿宋_GB2312"/>
              <w:b/>
              <w:color w:val="000000" w:themeColor="text1"/>
              <w:sz w:val="24"/>
              <w:u w:val="none"/>
              <w14:textFill>
                <w14:solidFill>
                  <w14:schemeClr w14:val="tx1"/>
                </w14:solidFill>
              </w14:textFill>
            </w:rPr>
            <w:t>、</w:t>
          </w:r>
          <w:r>
            <w:rPr>
              <w:rFonts w:hint="eastAsia" w:ascii="仿宋_GB2312" w:eastAsia="仿宋_GB2312"/>
              <w:sz w:val="24"/>
            </w:rPr>
            <w:t>一般公共预算财政拨款支出决算表</w:t>
          </w:r>
          <w:r>
            <w:rPr>
              <w:rFonts w:hint="eastAsia" w:ascii="仿宋_GB2312" w:eastAsia="仿宋_GB2312"/>
              <w:color w:val="000000" w:themeColor="text1"/>
              <w:sz w:val="24"/>
              <w14:textFill>
                <w14:solidFill>
                  <w14:schemeClr w14:val="tx1"/>
                </w14:solidFill>
              </w14:textFill>
            </w:rPr>
            <w:tab/>
          </w:r>
          <w:r>
            <w:rPr>
              <w:rFonts w:hint="eastAsia" w:ascii="仿宋_GB2312" w:eastAsia="仿宋_GB2312"/>
              <w:color w:val="000000" w:themeColor="text1"/>
              <w:sz w:val="24"/>
              <w14:textFill>
                <w14:solidFill>
                  <w14:schemeClr w14:val="tx1"/>
                </w14:solidFill>
              </w14:textFill>
            </w:rPr>
            <w:t>1</w:t>
          </w:r>
          <w:r>
            <w:rPr>
              <w:rFonts w:hint="eastAsia" w:ascii="仿宋_GB2312" w:eastAsia="仿宋_GB2312"/>
              <w:color w:val="000000" w:themeColor="text1"/>
              <w:sz w:val="24"/>
              <w:lang w:val="en-US" w:eastAsia="zh-CN"/>
              <w14:textFill>
                <w14:solidFill>
                  <w14:schemeClr w14:val="tx1"/>
                </w14:solidFill>
              </w14:textFill>
            </w:rPr>
            <w:t>8</w:t>
          </w:r>
          <w:r>
            <w:rPr>
              <w:rFonts w:hint="eastAsia" w:ascii="仿宋_GB2312" w:eastAsia="仿宋_GB2312"/>
              <w:color w:val="000000" w:themeColor="text1"/>
              <w:sz w:val="24"/>
              <w14:textFill>
                <w14:solidFill>
                  <w14:schemeClr w14:val="tx1"/>
                </w14:solidFill>
              </w14:textFill>
            </w:rPr>
            <w:fldChar w:fldCharType="end"/>
          </w:r>
        </w:p>
        <w:p>
          <w:pPr>
            <w:pStyle w:val="11"/>
            <w:spacing w:line="560" w:lineRule="exact"/>
            <w:rPr>
              <w:rFonts w:ascii="仿宋_GB2312" w:eastAsia="仿宋_GB2312" w:hAnsiTheme="minorHAnsi" w:cstheme="minorBidi"/>
              <w:color w:val="000000" w:themeColor="text1"/>
              <w:sz w:val="24"/>
              <w14:textFill>
                <w14:solidFill>
                  <w14:schemeClr w14:val="tx1"/>
                </w14:solidFill>
              </w14:textFill>
            </w:rPr>
          </w:pPr>
          <w:r>
            <w:fldChar w:fldCharType="begin"/>
          </w:r>
          <w:r>
            <w:instrText xml:space="preserve"> HYPERLINK \l "_Toc177484452" </w:instrText>
          </w:r>
          <w:r>
            <w:fldChar w:fldCharType="separate"/>
          </w:r>
          <w:r>
            <w:rPr>
              <w:rStyle w:val="16"/>
              <w:rFonts w:hint="eastAsia" w:ascii="仿宋_GB2312" w:hAnsi="黑体" w:eastAsia="仿宋_GB2312"/>
              <w:bCs/>
              <w:color w:val="000000" w:themeColor="text1"/>
              <w:sz w:val="24"/>
              <w:u w:val="none"/>
              <w14:textFill>
                <w14:solidFill>
                  <w14:schemeClr w14:val="tx1"/>
                </w14:solidFill>
              </w14:textFill>
            </w:rPr>
            <w:t>七、</w:t>
          </w:r>
          <w:r>
            <w:rPr>
              <w:rFonts w:hint="eastAsia" w:ascii="仿宋_GB2312" w:eastAsia="仿宋_GB2312"/>
              <w:sz w:val="24"/>
            </w:rPr>
            <w:t>一般公共预算财政拨款支出决算明细表</w:t>
          </w:r>
          <w:r>
            <w:rPr>
              <w:rFonts w:hint="eastAsia" w:ascii="仿宋_GB2312" w:eastAsia="仿宋_GB2312"/>
              <w:color w:val="000000" w:themeColor="text1"/>
              <w:sz w:val="24"/>
              <w14:textFill>
                <w14:solidFill>
                  <w14:schemeClr w14:val="tx1"/>
                </w14:solidFill>
              </w14:textFill>
            </w:rPr>
            <w:tab/>
          </w:r>
          <w:r>
            <w:rPr>
              <w:rFonts w:hint="eastAsia" w:ascii="仿宋_GB2312" w:eastAsia="仿宋_GB2312"/>
              <w:color w:val="000000" w:themeColor="text1"/>
              <w:sz w:val="24"/>
              <w14:textFill>
                <w14:solidFill>
                  <w14:schemeClr w14:val="tx1"/>
                </w14:solidFill>
              </w14:textFill>
            </w:rPr>
            <w:t>1</w:t>
          </w:r>
          <w:r>
            <w:rPr>
              <w:rFonts w:hint="eastAsia" w:ascii="仿宋_GB2312" w:eastAsia="仿宋_GB2312"/>
              <w:color w:val="000000" w:themeColor="text1"/>
              <w:sz w:val="24"/>
              <w:lang w:val="en-US" w:eastAsia="zh-CN"/>
              <w14:textFill>
                <w14:solidFill>
                  <w14:schemeClr w14:val="tx1"/>
                </w14:solidFill>
              </w14:textFill>
            </w:rPr>
            <w:t>8</w:t>
          </w:r>
          <w:r>
            <w:rPr>
              <w:rFonts w:hint="eastAsia" w:ascii="仿宋_GB2312" w:eastAsia="仿宋_GB2312"/>
              <w:color w:val="000000" w:themeColor="text1"/>
              <w:sz w:val="24"/>
              <w14:textFill>
                <w14:solidFill>
                  <w14:schemeClr w14:val="tx1"/>
                </w14:solidFill>
              </w14:textFill>
            </w:rPr>
            <w:fldChar w:fldCharType="end"/>
          </w:r>
        </w:p>
        <w:p>
          <w:pPr>
            <w:pStyle w:val="11"/>
            <w:spacing w:line="560" w:lineRule="exact"/>
            <w:rPr>
              <w:rFonts w:ascii="仿宋_GB2312" w:eastAsia="仿宋_GB2312" w:hAnsiTheme="minorHAnsi" w:cstheme="minorBidi"/>
              <w:color w:val="000000" w:themeColor="text1"/>
              <w:sz w:val="24"/>
              <w14:textFill>
                <w14:solidFill>
                  <w14:schemeClr w14:val="tx1"/>
                </w14:solidFill>
              </w14:textFill>
            </w:rPr>
          </w:pPr>
          <w:r>
            <w:fldChar w:fldCharType="begin"/>
          </w:r>
          <w:r>
            <w:instrText xml:space="preserve"> HYPERLINK \l "_Toc177484455" </w:instrText>
          </w:r>
          <w:r>
            <w:fldChar w:fldCharType="separate"/>
          </w:r>
          <w:r>
            <w:rPr>
              <w:rStyle w:val="16"/>
              <w:rFonts w:hint="eastAsia" w:ascii="仿宋_GB2312" w:eastAsia="仿宋_GB2312"/>
              <w:color w:val="000000" w:themeColor="text1"/>
              <w:sz w:val="24"/>
              <w:u w:val="none"/>
              <w14:textFill>
                <w14:solidFill>
                  <w14:schemeClr w14:val="tx1"/>
                </w14:solidFill>
              </w14:textFill>
            </w:rPr>
            <w:t>八、</w:t>
          </w:r>
          <w:r>
            <w:rPr>
              <w:rFonts w:hint="eastAsia" w:ascii="仿宋_GB2312" w:eastAsia="仿宋_GB2312"/>
              <w:sz w:val="24"/>
            </w:rPr>
            <w:t>一般公共预算财政拨款基本支出决算明细表</w:t>
          </w:r>
          <w:r>
            <w:rPr>
              <w:rFonts w:hint="eastAsia" w:ascii="仿宋_GB2312" w:eastAsia="仿宋_GB2312"/>
              <w:color w:val="000000" w:themeColor="text1"/>
              <w:sz w:val="24"/>
              <w14:textFill>
                <w14:solidFill>
                  <w14:schemeClr w14:val="tx1"/>
                </w14:solidFill>
              </w14:textFill>
            </w:rPr>
            <w:tab/>
          </w:r>
          <w:r>
            <w:rPr>
              <w:rFonts w:hint="eastAsia" w:ascii="仿宋_GB2312" w:eastAsia="仿宋_GB2312"/>
              <w:color w:val="000000" w:themeColor="text1"/>
              <w:sz w:val="24"/>
              <w14:textFill>
                <w14:solidFill>
                  <w14:schemeClr w14:val="tx1"/>
                </w14:solidFill>
              </w14:textFill>
            </w:rPr>
            <w:t>1</w:t>
          </w:r>
          <w:r>
            <w:rPr>
              <w:rFonts w:hint="eastAsia" w:ascii="仿宋_GB2312" w:eastAsia="仿宋_GB2312"/>
              <w:color w:val="000000" w:themeColor="text1"/>
              <w:sz w:val="24"/>
              <w:lang w:val="en-US" w:eastAsia="zh-CN"/>
              <w14:textFill>
                <w14:solidFill>
                  <w14:schemeClr w14:val="tx1"/>
                </w14:solidFill>
              </w14:textFill>
            </w:rPr>
            <w:t>8</w:t>
          </w:r>
          <w:r>
            <w:rPr>
              <w:rFonts w:hint="eastAsia" w:ascii="仿宋_GB2312" w:eastAsia="仿宋_GB2312"/>
              <w:color w:val="000000" w:themeColor="text1"/>
              <w:sz w:val="24"/>
              <w14:textFill>
                <w14:solidFill>
                  <w14:schemeClr w14:val="tx1"/>
                </w14:solidFill>
              </w14:textFill>
            </w:rPr>
            <w:fldChar w:fldCharType="end"/>
          </w:r>
        </w:p>
        <w:p>
          <w:pPr>
            <w:pStyle w:val="11"/>
            <w:spacing w:line="560" w:lineRule="exact"/>
            <w:rPr>
              <w:rFonts w:ascii="仿宋_GB2312" w:eastAsia="仿宋_GB2312" w:hAnsiTheme="minorHAnsi" w:cstheme="minorBidi"/>
              <w:color w:val="000000" w:themeColor="text1"/>
              <w:sz w:val="24"/>
              <w14:textFill>
                <w14:solidFill>
                  <w14:schemeClr w14:val="tx1"/>
                </w14:solidFill>
              </w14:textFill>
            </w:rPr>
          </w:pPr>
          <w:r>
            <w:fldChar w:fldCharType="begin"/>
          </w:r>
          <w:r>
            <w:instrText xml:space="preserve"> HYPERLINK \l "_Toc177484456" </w:instrText>
          </w:r>
          <w:r>
            <w:fldChar w:fldCharType="separate"/>
          </w:r>
          <w:r>
            <w:rPr>
              <w:rStyle w:val="16"/>
              <w:rFonts w:hint="eastAsia" w:ascii="仿宋_GB2312" w:eastAsia="仿宋_GB2312"/>
              <w:bCs/>
              <w:color w:val="000000" w:themeColor="text1"/>
              <w:sz w:val="24"/>
              <w:u w:val="none"/>
              <w14:textFill>
                <w14:solidFill>
                  <w14:schemeClr w14:val="tx1"/>
                </w14:solidFill>
              </w14:textFill>
            </w:rPr>
            <w:t>九、</w:t>
          </w:r>
          <w:r>
            <w:rPr>
              <w:rFonts w:hint="eastAsia" w:ascii="仿宋_GB2312" w:eastAsia="仿宋_GB2312"/>
              <w:sz w:val="24"/>
            </w:rPr>
            <w:t>一般公共预算财政拨款项目支出决算表</w:t>
          </w:r>
          <w:r>
            <w:rPr>
              <w:rFonts w:hint="eastAsia" w:ascii="仿宋_GB2312" w:eastAsia="仿宋_GB2312"/>
              <w:color w:val="000000" w:themeColor="text1"/>
              <w:sz w:val="24"/>
              <w14:textFill>
                <w14:solidFill>
                  <w14:schemeClr w14:val="tx1"/>
                </w14:solidFill>
              </w14:textFill>
            </w:rPr>
            <w:tab/>
          </w:r>
          <w:r>
            <w:rPr>
              <w:rFonts w:hint="eastAsia" w:ascii="仿宋_GB2312" w:eastAsia="仿宋_GB2312"/>
              <w:color w:val="000000" w:themeColor="text1"/>
              <w:sz w:val="24"/>
              <w14:textFill>
                <w14:solidFill>
                  <w14:schemeClr w14:val="tx1"/>
                </w14:solidFill>
              </w14:textFill>
            </w:rPr>
            <w:t>1</w:t>
          </w:r>
          <w:r>
            <w:rPr>
              <w:rFonts w:hint="eastAsia" w:ascii="仿宋_GB2312" w:eastAsia="仿宋_GB2312"/>
              <w:color w:val="000000" w:themeColor="text1"/>
              <w:sz w:val="24"/>
              <w:lang w:val="en-US" w:eastAsia="zh-CN"/>
              <w14:textFill>
                <w14:solidFill>
                  <w14:schemeClr w14:val="tx1"/>
                </w14:solidFill>
              </w14:textFill>
            </w:rPr>
            <w:t>8</w:t>
          </w:r>
          <w:r>
            <w:rPr>
              <w:rFonts w:hint="eastAsia" w:ascii="仿宋_GB2312" w:eastAsia="仿宋_GB2312"/>
              <w:color w:val="000000" w:themeColor="text1"/>
              <w:sz w:val="24"/>
              <w14:textFill>
                <w14:solidFill>
                  <w14:schemeClr w14:val="tx1"/>
                </w14:solidFill>
              </w14:textFill>
            </w:rPr>
            <w:fldChar w:fldCharType="end"/>
          </w:r>
        </w:p>
        <w:p>
          <w:pPr>
            <w:pStyle w:val="11"/>
            <w:spacing w:line="560" w:lineRule="exact"/>
            <w:rPr>
              <w:rFonts w:ascii="仿宋_GB2312" w:eastAsia="仿宋_GB2312" w:hAnsiTheme="minorHAnsi" w:cstheme="minorBidi"/>
              <w:color w:val="000000" w:themeColor="text1"/>
              <w:sz w:val="24"/>
              <w14:textFill>
                <w14:solidFill>
                  <w14:schemeClr w14:val="tx1"/>
                </w14:solidFill>
              </w14:textFill>
            </w:rPr>
          </w:pPr>
          <w:r>
            <w:fldChar w:fldCharType="begin"/>
          </w:r>
          <w:r>
            <w:instrText xml:space="preserve"> HYPERLINK \l "_Toc177484457" </w:instrText>
          </w:r>
          <w:r>
            <w:fldChar w:fldCharType="separate"/>
          </w:r>
          <w:r>
            <w:rPr>
              <w:rStyle w:val="16"/>
              <w:rFonts w:hint="eastAsia" w:ascii="仿宋_GB2312" w:eastAsia="仿宋_GB2312"/>
              <w:bCs/>
              <w:color w:val="000000" w:themeColor="text1"/>
              <w:sz w:val="24"/>
              <w:u w:val="none"/>
              <w14:textFill>
                <w14:solidFill>
                  <w14:schemeClr w14:val="tx1"/>
                </w14:solidFill>
              </w14:textFill>
            </w:rPr>
            <w:t>十、</w:t>
          </w:r>
          <w:r>
            <w:rPr>
              <w:rFonts w:hint="eastAsia" w:ascii="仿宋_GB2312" w:eastAsia="仿宋_GB2312"/>
              <w:sz w:val="24"/>
            </w:rPr>
            <w:t>政府性基金预算财政拨款收入支出决算表</w:t>
          </w:r>
          <w:r>
            <w:rPr>
              <w:rFonts w:hint="eastAsia" w:ascii="仿宋_GB2312" w:eastAsia="仿宋_GB2312"/>
              <w:color w:val="000000" w:themeColor="text1"/>
              <w:sz w:val="24"/>
              <w14:textFill>
                <w14:solidFill>
                  <w14:schemeClr w14:val="tx1"/>
                </w14:solidFill>
              </w14:textFill>
            </w:rPr>
            <w:tab/>
          </w:r>
          <w:r>
            <w:rPr>
              <w:rFonts w:hint="eastAsia" w:ascii="仿宋_GB2312" w:eastAsia="仿宋_GB2312"/>
              <w:color w:val="000000" w:themeColor="text1"/>
              <w:sz w:val="24"/>
              <w14:textFill>
                <w14:solidFill>
                  <w14:schemeClr w14:val="tx1"/>
                </w14:solidFill>
              </w14:textFill>
            </w:rPr>
            <w:t>1</w:t>
          </w:r>
          <w:r>
            <w:rPr>
              <w:rFonts w:hint="eastAsia" w:ascii="仿宋_GB2312" w:eastAsia="仿宋_GB2312"/>
              <w:color w:val="000000" w:themeColor="text1"/>
              <w:sz w:val="24"/>
              <w:lang w:val="en-US" w:eastAsia="zh-CN"/>
              <w14:textFill>
                <w14:solidFill>
                  <w14:schemeClr w14:val="tx1"/>
                </w14:solidFill>
              </w14:textFill>
            </w:rPr>
            <w:t>8</w:t>
          </w:r>
          <w:r>
            <w:rPr>
              <w:rFonts w:hint="eastAsia" w:ascii="仿宋_GB2312" w:eastAsia="仿宋_GB2312"/>
              <w:color w:val="000000" w:themeColor="text1"/>
              <w:sz w:val="24"/>
              <w14:textFill>
                <w14:solidFill>
                  <w14:schemeClr w14:val="tx1"/>
                </w14:solidFill>
              </w14:textFill>
            </w:rPr>
            <w:fldChar w:fldCharType="end"/>
          </w:r>
        </w:p>
        <w:p>
          <w:pPr>
            <w:pStyle w:val="11"/>
            <w:spacing w:line="560" w:lineRule="exact"/>
            <w:rPr>
              <w:rFonts w:ascii="仿宋_GB2312" w:eastAsia="仿宋_GB2312" w:hAnsiTheme="minorHAnsi" w:cstheme="minorBidi"/>
              <w:color w:val="000000" w:themeColor="text1"/>
              <w:sz w:val="24"/>
              <w14:textFill>
                <w14:solidFill>
                  <w14:schemeClr w14:val="tx1"/>
                </w14:solidFill>
              </w14:textFill>
            </w:rPr>
          </w:pPr>
          <w:r>
            <w:fldChar w:fldCharType="begin"/>
          </w:r>
          <w:r>
            <w:instrText xml:space="preserve"> HYPERLINK \l "_Toc177484442" </w:instrText>
          </w:r>
          <w:r>
            <w:fldChar w:fldCharType="separate"/>
          </w:r>
          <w:r>
            <w:rPr>
              <w:rStyle w:val="16"/>
              <w:rFonts w:hint="eastAsia" w:ascii="仿宋_GB2312" w:eastAsia="仿宋_GB2312"/>
              <w:bCs/>
              <w:color w:val="000000" w:themeColor="text1"/>
              <w:sz w:val="24"/>
              <w:u w:val="none"/>
              <w14:textFill>
                <w14:solidFill>
                  <w14:schemeClr w14:val="tx1"/>
                </w14:solidFill>
              </w14:textFill>
            </w:rPr>
            <w:t>十一、</w:t>
          </w:r>
          <w:r>
            <w:rPr>
              <w:rFonts w:hint="eastAsia" w:ascii="仿宋_GB2312" w:eastAsia="仿宋_GB2312"/>
              <w:sz w:val="24"/>
            </w:rPr>
            <w:t>国有资本经营预算财政拨款收入支出决算表</w:t>
          </w:r>
          <w:r>
            <w:rPr>
              <w:rFonts w:hint="eastAsia" w:ascii="仿宋_GB2312" w:eastAsia="仿宋_GB2312"/>
              <w:color w:val="000000" w:themeColor="text1"/>
              <w:sz w:val="24"/>
              <w14:textFill>
                <w14:solidFill>
                  <w14:schemeClr w14:val="tx1"/>
                </w14:solidFill>
              </w14:textFill>
            </w:rPr>
            <w:tab/>
          </w:r>
          <w:r>
            <w:rPr>
              <w:rFonts w:hint="eastAsia" w:ascii="仿宋_GB2312" w:eastAsia="仿宋_GB2312"/>
              <w:color w:val="000000" w:themeColor="text1"/>
              <w:sz w:val="24"/>
              <w14:textFill>
                <w14:solidFill>
                  <w14:schemeClr w14:val="tx1"/>
                </w14:solidFill>
              </w14:textFill>
            </w:rPr>
            <w:t>1</w:t>
          </w:r>
          <w:r>
            <w:rPr>
              <w:rFonts w:hint="eastAsia" w:ascii="仿宋_GB2312" w:eastAsia="仿宋_GB2312"/>
              <w:color w:val="000000" w:themeColor="text1"/>
              <w:sz w:val="24"/>
              <w:lang w:val="en-US" w:eastAsia="zh-CN"/>
              <w14:textFill>
                <w14:solidFill>
                  <w14:schemeClr w14:val="tx1"/>
                </w14:solidFill>
              </w14:textFill>
            </w:rPr>
            <w:t>8</w:t>
          </w:r>
          <w:r>
            <w:rPr>
              <w:rFonts w:hint="eastAsia" w:ascii="仿宋_GB2312" w:eastAsia="仿宋_GB2312"/>
              <w:color w:val="000000" w:themeColor="text1"/>
              <w:sz w:val="24"/>
              <w14:textFill>
                <w14:solidFill>
                  <w14:schemeClr w14:val="tx1"/>
                </w14:solidFill>
              </w14:textFill>
            </w:rPr>
            <w:fldChar w:fldCharType="end"/>
          </w:r>
        </w:p>
        <w:p>
          <w:pPr>
            <w:pStyle w:val="11"/>
            <w:spacing w:line="560" w:lineRule="exact"/>
            <w:rPr>
              <w:rFonts w:ascii="仿宋_GB2312" w:eastAsia="仿宋_GB2312" w:hAnsiTheme="minorHAnsi" w:cstheme="minorBidi"/>
              <w:color w:val="000000" w:themeColor="text1"/>
              <w:sz w:val="24"/>
              <w14:textFill>
                <w14:solidFill>
                  <w14:schemeClr w14:val="tx1"/>
                </w14:solidFill>
              </w14:textFill>
            </w:rPr>
          </w:pPr>
          <w:r>
            <w:rPr>
              <w:rStyle w:val="16"/>
              <w:rFonts w:hint="eastAsia" w:ascii="仿宋_GB2312" w:eastAsia="仿宋_GB2312"/>
              <w:color w:val="000000" w:themeColor="text1"/>
              <w:sz w:val="24"/>
              <w:u w:val="none"/>
              <w14:textFill>
                <w14:solidFill>
                  <w14:schemeClr w14:val="tx1"/>
                </w14:solidFill>
              </w14:textFill>
            </w:rPr>
            <w:t>十</w:t>
          </w:r>
          <w:r>
            <w:fldChar w:fldCharType="begin"/>
          </w:r>
          <w:r>
            <w:instrText xml:space="preserve"> HYPERLINK \l "_Toc177484443" </w:instrText>
          </w:r>
          <w:r>
            <w:fldChar w:fldCharType="separate"/>
          </w:r>
          <w:r>
            <w:rPr>
              <w:rStyle w:val="16"/>
              <w:rFonts w:hint="eastAsia" w:ascii="仿宋_GB2312" w:eastAsia="仿宋_GB2312"/>
              <w:bCs/>
              <w:color w:val="000000" w:themeColor="text1"/>
              <w:sz w:val="24"/>
              <w:u w:val="none"/>
              <w14:textFill>
                <w14:solidFill>
                  <w14:schemeClr w14:val="tx1"/>
                </w14:solidFill>
              </w14:textFill>
            </w:rPr>
            <w:t>二、</w:t>
          </w:r>
          <w:r>
            <w:rPr>
              <w:rFonts w:hint="eastAsia" w:ascii="仿宋_GB2312" w:eastAsia="仿宋_GB2312"/>
              <w:sz w:val="24"/>
            </w:rPr>
            <w:t>国有资本经营预算财政拨款支出决算表</w:t>
          </w:r>
          <w:r>
            <w:rPr>
              <w:rFonts w:hint="eastAsia" w:ascii="仿宋_GB2312" w:eastAsia="仿宋_GB2312"/>
              <w:color w:val="000000" w:themeColor="text1"/>
              <w:sz w:val="24"/>
              <w14:textFill>
                <w14:solidFill>
                  <w14:schemeClr w14:val="tx1"/>
                </w14:solidFill>
              </w14:textFill>
            </w:rPr>
            <w:tab/>
          </w:r>
          <w:r>
            <w:rPr>
              <w:rFonts w:hint="eastAsia" w:ascii="仿宋_GB2312" w:eastAsia="仿宋_GB2312"/>
              <w:color w:val="000000" w:themeColor="text1"/>
              <w:sz w:val="24"/>
              <w14:textFill>
                <w14:solidFill>
                  <w14:schemeClr w14:val="tx1"/>
                </w14:solidFill>
              </w14:textFill>
            </w:rPr>
            <w:t>1</w:t>
          </w:r>
          <w:r>
            <w:rPr>
              <w:rFonts w:hint="eastAsia" w:ascii="仿宋_GB2312" w:eastAsia="仿宋_GB2312"/>
              <w:color w:val="000000" w:themeColor="text1"/>
              <w:sz w:val="24"/>
              <w:lang w:val="en-US" w:eastAsia="zh-CN"/>
              <w14:textFill>
                <w14:solidFill>
                  <w14:schemeClr w14:val="tx1"/>
                </w14:solidFill>
              </w14:textFill>
            </w:rPr>
            <w:t>8</w:t>
          </w:r>
          <w:r>
            <w:rPr>
              <w:rFonts w:hint="eastAsia" w:ascii="仿宋_GB2312" w:eastAsia="仿宋_GB2312"/>
              <w:color w:val="000000" w:themeColor="text1"/>
              <w:sz w:val="24"/>
              <w14:textFill>
                <w14:solidFill>
                  <w14:schemeClr w14:val="tx1"/>
                </w14:solidFill>
              </w14:textFill>
            </w:rPr>
            <w:fldChar w:fldCharType="end"/>
          </w:r>
        </w:p>
        <w:p>
          <w:pPr>
            <w:pStyle w:val="11"/>
            <w:spacing w:line="560" w:lineRule="exact"/>
            <w:rPr>
              <w:rFonts w:hint="eastAsia" w:ascii="仿宋_GB2312" w:eastAsia="仿宋_GB2312" w:hAnsiTheme="minorHAnsi" w:cstheme="minorBidi"/>
              <w:color w:val="000000" w:themeColor="text1"/>
              <w:sz w:val="24"/>
              <w:lang w:eastAsia="zh-CN"/>
              <w14:textFill>
                <w14:solidFill>
                  <w14:schemeClr w14:val="tx1"/>
                </w14:solidFill>
              </w14:textFill>
            </w:rPr>
          </w:pPr>
          <w:r>
            <w:rPr>
              <w:rStyle w:val="16"/>
              <w:rFonts w:hint="eastAsia" w:ascii="仿宋_GB2312" w:eastAsia="仿宋_GB2312"/>
              <w:color w:val="000000" w:themeColor="text1"/>
              <w:sz w:val="24"/>
              <w:u w:val="none"/>
              <w14:textFill>
                <w14:solidFill>
                  <w14:schemeClr w14:val="tx1"/>
                </w14:solidFill>
              </w14:textFill>
            </w:rPr>
            <w:t>十</w:t>
          </w:r>
          <w:r>
            <w:fldChar w:fldCharType="begin"/>
          </w:r>
          <w:r>
            <w:instrText xml:space="preserve"> HYPERLINK \l "_Toc177484444" </w:instrText>
          </w:r>
          <w:r>
            <w:fldChar w:fldCharType="separate"/>
          </w:r>
          <w:r>
            <w:rPr>
              <w:rStyle w:val="16"/>
              <w:rFonts w:hint="eastAsia" w:ascii="仿宋_GB2312" w:eastAsia="仿宋_GB2312"/>
              <w:bCs/>
              <w:color w:val="000000" w:themeColor="text1"/>
              <w:sz w:val="24"/>
              <w:u w:val="none"/>
              <w14:textFill>
                <w14:solidFill>
                  <w14:schemeClr w14:val="tx1"/>
                </w14:solidFill>
              </w14:textFill>
            </w:rPr>
            <w:t>三、</w:t>
          </w:r>
          <w:r>
            <w:rPr>
              <w:rFonts w:hint="eastAsia" w:ascii="仿宋_GB2312" w:eastAsia="仿宋_GB2312"/>
              <w:sz w:val="24"/>
            </w:rPr>
            <w:t>财政拨款“三公”经费支出决算表</w:t>
          </w:r>
          <w:r>
            <w:rPr>
              <w:rFonts w:hint="eastAsia" w:ascii="仿宋_GB2312" w:eastAsia="仿宋_GB2312"/>
              <w:color w:val="000000" w:themeColor="text1"/>
              <w:sz w:val="24"/>
              <w14:textFill>
                <w14:solidFill>
                  <w14:schemeClr w14:val="tx1"/>
                </w14:solidFill>
              </w14:textFill>
            </w:rPr>
            <w:tab/>
          </w:r>
          <w:r>
            <w:rPr>
              <w:rFonts w:hint="eastAsia" w:ascii="仿宋_GB2312" w:eastAsia="仿宋_GB2312"/>
              <w:color w:val="000000" w:themeColor="text1"/>
              <w:sz w:val="24"/>
              <w14:textFill>
                <w14:solidFill>
                  <w14:schemeClr w14:val="tx1"/>
                </w14:solidFill>
              </w14:textFill>
            </w:rPr>
            <w:fldChar w:fldCharType="end"/>
          </w:r>
          <w:r>
            <w:rPr>
              <w:rStyle w:val="16"/>
              <w:rFonts w:hint="eastAsia" w:ascii="仿宋_GB2312" w:eastAsia="仿宋_GB2312"/>
              <w:color w:val="000000" w:themeColor="text1"/>
              <w:sz w:val="24"/>
              <w:u w:val="none"/>
              <w14:textFill>
                <w14:solidFill>
                  <w14:schemeClr w14:val="tx1"/>
                </w14:solidFill>
              </w14:textFill>
            </w:rPr>
            <w:t>1</w:t>
          </w:r>
          <w:r>
            <w:rPr>
              <w:rStyle w:val="16"/>
              <w:rFonts w:hint="eastAsia" w:ascii="仿宋_GB2312" w:eastAsia="仿宋_GB2312"/>
              <w:color w:val="000000" w:themeColor="text1"/>
              <w:sz w:val="24"/>
              <w:u w:val="none"/>
              <w:lang w:val="en-US" w:eastAsia="zh-CN"/>
              <w14:textFill>
                <w14:solidFill>
                  <w14:schemeClr w14:val="tx1"/>
                </w14:solidFill>
              </w14:textFill>
            </w:rPr>
            <w:t>8</w:t>
          </w:r>
        </w:p>
        <w:p>
          <w:pPr>
            <w:pStyle w:val="11"/>
            <w:tabs>
              <w:tab w:val="left" w:pos="1260"/>
            </w:tabs>
            <w:spacing w:line="560" w:lineRule="exact"/>
            <w:rPr>
              <w:rFonts w:ascii="仿宋_GB2312" w:eastAsia="仿宋_GB2312" w:hAnsiTheme="minorHAnsi" w:cstheme="minorBidi"/>
              <w:sz w:val="24"/>
            </w:rPr>
          </w:pPr>
        </w:p>
        <w:p/>
      </w:sdtContent>
    </w:sdt>
    <w:p>
      <w:pPr>
        <w:spacing w:line="560" w:lineRule="exact"/>
      </w:pPr>
    </w:p>
    <w:p>
      <w:pPr>
        <w:pStyle w:val="2"/>
      </w:pPr>
    </w:p>
    <w:p/>
    <w:p>
      <w:pPr>
        <w:pStyle w:val="2"/>
      </w:pPr>
    </w:p>
    <w:p/>
    <w:p>
      <w:pPr>
        <w:pStyle w:val="2"/>
      </w:pPr>
    </w:p>
    <w:p/>
    <w:p>
      <w:pPr>
        <w:pStyle w:val="2"/>
      </w:pPr>
    </w:p>
    <w:p/>
    <w:p>
      <w:pPr>
        <w:pStyle w:val="2"/>
      </w:pPr>
    </w:p>
    <w:p/>
    <w:p>
      <w:pPr>
        <w:pStyle w:val="3"/>
        <w:spacing w:line="560" w:lineRule="exact"/>
        <w:jc w:val="center"/>
        <w:rPr>
          <w:rFonts w:eastAsia="黑体"/>
          <w:b w:val="0"/>
          <w:bCs w:val="0"/>
        </w:rPr>
      </w:pPr>
      <w:bookmarkStart w:id="15" w:name="_Toc177484438"/>
      <w:bookmarkStart w:id="16" w:name="_Toc15377196"/>
      <w:bookmarkStart w:id="17" w:name="_Toc15396599"/>
      <w:r>
        <w:rPr>
          <w:rFonts w:hAnsi="黑体" w:eastAsia="黑体"/>
          <w:b w:val="0"/>
        </w:rPr>
        <w:t>第一部分</w:t>
      </w:r>
      <w:r>
        <w:rPr>
          <w:rFonts w:eastAsia="黑体"/>
          <w:b w:val="0"/>
        </w:rPr>
        <w:t xml:space="preserve"> </w:t>
      </w:r>
      <w:r>
        <w:rPr>
          <w:rStyle w:val="17"/>
          <w:rFonts w:hint="eastAsia" w:hAnsi="黑体" w:eastAsia="黑体"/>
          <w:b w:val="0"/>
          <w:bCs w:val="0"/>
        </w:rPr>
        <w:t>单位</w:t>
      </w:r>
      <w:r>
        <w:rPr>
          <w:rStyle w:val="17"/>
          <w:rFonts w:hAnsi="黑体" w:eastAsia="黑体"/>
          <w:b w:val="0"/>
          <w:bCs w:val="0"/>
        </w:rPr>
        <w:t>概况</w:t>
      </w:r>
      <w:bookmarkEnd w:id="15"/>
      <w:bookmarkEnd w:id="16"/>
      <w:bookmarkEnd w:id="17"/>
    </w:p>
    <w:p>
      <w:pPr>
        <w:pStyle w:val="4"/>
        <w:numPr>
          <w:ilvl w:val="0"/>
          <w:numId w:val="1"/>
        </w:numPr>
        <w:spacing w:line="560" w:lineRule="exact"/>
        <w:rPr>
          <w:rFonts w:ascii="Times New Roman" w:hAnsi="Times New Roman" w:eastAsia="黑体" w:cs="Times New Roman"/>
          <w:b w:val="0"/>
        </w:rPr>
      </w:pPr>
      <w:bookmarkStart w:id="18" w:name="_Toc177484439"/>
      <w:r>
        <w:rPr>
          <w:rFonts w:hint="eastAsia" w:ascii="Times New Roman" w:hAnsi="黑体" w:eastAsia="黑体" w:cs="Times New Roman"/>
          <w:b w:val="0"/>
        </w:rPr>
        <w:t>主要</w:t>
      </w:r>
      <w:r>
        <w:rPr>
          <w:rFonts w:ascii="Times New Roman" w:hAnsi="黑体" w:eastAsia="黑体" w:cs="Times New Roman"/>
          <w:b w:val="0"/>
        </w:rPr>
        <w:t>职责</w:t>
      </w:r>
      <w:bookmarkEnd w:id="18"/>
    </w:p>
    <w:p>
      <w:pPr>
        <w:snapToGrid w:val="0"/>
        <w:spacing w:line="560" w:lineRule="exact"/>
        <w:ind w:firstLine="420" w:firstLineChars="200"/>
        <w:rPr>
          <w:rFonts w:eastAsia="仿宋_GB2312"/>
          <w:sz w:val="32"/>
          <w:szCs w:val="32"/>
        </w:rPr>
      </w:pPr>
      <w:r>
        <w:t xml:space="preserve">  </w:t>
      </w:r>
      <w:r>
        <w:rPr>
          <w:rFonts w:eastAsia="仿宋_GB2312"/>
          <w:sz w:val="32"/>
          <w:szCs w:val="32"/>
        </w:rPr>
        <w:t>负责处理县内外群众给县委、县政府的来信、来电、网上信访，接待群众来访，保证信访渠道畅通；承办上级领导机关及其所属部门、单位和市委、市政府领导交办的信访事项；协调处理跨地区、跨部门的重要信访问题；检查、指导、协调县级各部门、各单位的信访工作，负责组织实施对全县信访工作的目标管理；负责收集人民群众提出的建议意见，为县委、县政府决策提供参考；负责全县信访工作队伍建设，组织信访干部的培训；依据政策规定，认真做好来访群众的思想疏导工作；配合公安、武警、应急部门处理非正常集体上访行为；负责我县群众进京、到省、市重大信访事项和异常、突发信访事件的联络和处理；负责职责范围内的安全生产和职业健康、生态环境保护等工作；完成县委、县政府交办的其他工作。</w:t>
      </w:r>
    </w:p>
    <w:p>
      <w:pPr>
        <w:pStyle w:val="4"/>
        <w:spacing w:line="560" w:lineRule="exact"/>
        <w:ind w:firstLine="640" w:firstLineChars="200"/>
        <w:rPr>
          <w:rStyle w:val="18"/>
          <w:rFonts w:ascii="Times New Roman" w:hAnsi="Times New Roman" w:cs="Times New Roman"/>
          <w:b w:val="0"/>
          <w:bCs w:val="0"/>
        </w:rPr>
      </w:pPr>
      <w:bookmarkStart w:id="19" w:name="_Toc177484440"/>
      <w:bookmarkStart w:id="20" w:name="_Toc15377200"/>
      <w:bookmarkStart w:id="21" w:name="_Toc15396601"/>
      <w:r>
        <w:rPr>
          <w:rFonts w:ascii="Times New Roman" w:hAnsi="Times New Roman" w:eastAsia="黑体" w:cs="Times New Roman"/>
          <w:b w:val="0"/>
        </w:rPr>
        <w:t>二、</w:t>
      </w:r>
      <w:r>
        <w:rPr>
          <w:rFonts w:ascii="Times New Roman" w:hAnsi="黑体" w:eastAsia="黑体" w:cs="Times New Roman"/>
          <w:b w:val="0"/>
        </w:rPr>
        <w:t>机</w:t>
      </w:r>
      <w:r>
        <w:rPr>
          <w:rStyle w:val="18"/>
          <w:rFonts w:ascii="Times New Roman" w:hAnsi="黑体" w:eastAsia="黑体" w:cs="Times New Roman"/>
          <w:b w:val="0"/>
          <w:bCs w:val="0"/>
        </w:rPr>
        <w:t>构设置</w:t>
      </w:r>
      <w:bookmarkEnd w:id="19"/>
      <w:bookmarkEnd w:id="20"/>
      <w:bookmarkEnd w:id="21"/>
    </w:p>
    <w:p>
      <w:pPr>
        <w:spacing w:line="560" w:lineRule="exact"/>
        <w:ind w:firstLine="640" w:firstLineChars="200"/>
        <w:rPr>
          <w:rFonts w:eastAsia="仿宋"/>
          <w:sz w:val="32"/>
          <w:szCs w:val="32"/>
        </w:rPr>
      </w:pPr>
      <w:r>
        <w:rPr>
          <w:rFonts w:hAnsi="仿宋" w:eastAsia="仿宋"/>
          <w:sz w:val="32"/>
          <w:szCs w:val="32"/>
        </w:rPr>
        <w:t>沐川县信访局下属二级预算单位</w:t>
      </w:r>
      <w:r>
        <w:rPr>
          <w:rFonts w:eastAsia="仿宋"/>
          <w:sz w:val="32"/>
          <w:szCs w:val="32"/>
        </w:rPr>
        <w:t>0</w:t>
      </w:r>
      <w:r>
        <w:rPr>
          <w:rFonts w:hAnsi="仿宋" w:eastAsia="仿宋"/>
          <w:sz w:val="32"/>
          <w:szCs w:val="32"/>
        </w:rPr>
        <w:t>个，其中行政单位</w:t>
      </w:r>
      <w:r>
        <w:rPr>
          <w:rFonts w:eastAsia="仿宋"/>
          <w:sz w:val="32"/>
          <w:szCs w:val="32"/>
        </w:rPr>
        <w:t>0</w:t>
      </w:r>
      <w:r>
        <w:rPr>
          <w:rFonts w:hAnsi="仿宋" w:eastAsia="仿宋"/>
          <w:sz w:val="32"/>
          <w:szCs w:val="32"/>
        </w:rPr>
        <w:t>个，参照公务员法管理的事业单位</w:t>
      </w:r>
      <w:r>
        <w:rPr>
          <w:rFonts w:eastAsia="仿宋"/>
          <w:bCs/>
          <w:sz w:val="32"/>
          <w:szCs w:val="32"/>
        </w:rPr>
        <w:t>0</w:t>
      </w:r>
      <w:r>
        <w:rPr>
          <w:rFonts w:hAnsi="仿宋" w:eastAsia="仿宋"/>
          <w:sz w:val="32"/>
          <w:szCs w:val="32"/>
        </w:rPr>
        <w:t>个，其他事业单位</w:t>
      </w:r>
      <w:r>
        <w:rPr>
          <w:rFonts w:eastAsia="仿宋"/>
          <w:sz w:val="32"/>
          <w:szCs w:val="32"/>
        </w:rPr>
        <w:t>0</w:t>
      </w:r>
      <w:r>
        <w:rPr>
          <w:rFonts w:hAnsi="仿宋" w:eastAsia="仿宋"/>
          <w:sz w:val="32"/>
          <w:szCs w:val="32"/>
        </w:rPr>
        <w:t>个。</w:t>
      </w:r>
    </w:p>
    <w:p>
      <w:pPr>
        <w:pStyle w:val="5"/>
        <w:adjustRightInd w:val="0"/>
        <w:snapToGrid w:val="0"/>
        <w:spacing w:before="93" w:line="560" w:lineRule="exact"/>
        <w:ind w:firstLine="640" w:firstLineChars="200"/>
        <w:rPr>
          <w:rFonts w:ascii="Times New Roman" w:eastAsia="仿宋"/>
          <w:kern w:val="2"/>
          <w:sz w:val="32"/>
          <w:szCs w:val="32"/>
        </w:rPr>
      </w:pPr>
      <w:r>
        <w:rPr>
          <w:rFonts w:ascii="Times New Roman" w:hAnsi="仿宋" w:eastAsia="仿宋"/>
          <w:kern w:val="2"/>
          <w:sz w:val="32"/>
          <w:szCs w:val="32"/>
        </w:rPr>
        <w:t>无纳入</w:t>
      </w:r>
      <w:r>
        <w:rPr>
          <w:rFonts w:ascii="Times New Roman" w:eastAsia="仿宋"/>
          <w:kern w:val="2"/>
          <w:sz w:val="32"/>
          <w:szCs w:val="32"/>
        </w:rPr>
        <w:t>2023</w:t>
      </w:r>
      <w:r>
        <w:rPr>
          <w:rFonts w:ascii="Times New Roman" w:hAnsi="仿宋" w:eastAsia="仿宋"/>
          <w:kern w:val="2"/>
          <w:sz w:val="32"/>
          <w:szCs w:val="32"/>
        </w:rPr>
        <w:t>年度部门决算编制范围的二级预算单位</w:t>
      </w:r>
      <w:r>
        <w:rPr>
          <w:rFonts w:ascii="Times New Roman" w:hAnsi="仿宋" w:eastAsia="仿宋"/>
          <w:sz w:val="32"/>
          <w:szCs w:val="32"/>
        </w:rPr>
        <w:t>。</w:t>
      </w:r>
      <w:r>
        <w:rPr>
          <w:rFonts w:ascii="Times New Roman" w:eastAsia="仿宋"/>
          <w:sz w:val="32"/>
          <w:szCs w:val="32"/>
        </w:rPr>
        <w:br w:type="page"/>
      </w:r>
    </w:p>
    <w:p>
      <w:pPr>
        <w:pStyle w:val="3"/>
        <w:spacing w:line="560" w:lineRule="exact"/>
        <w:ind w:right="440"/>
        <w:jc w:val="center"/>
        <w:rPr>
          <w:rFonts w:eastAsia="黑体"/>
          <w:b w:val="0"/>
          <w:bCs w:val="0"/>
        </w:rPr>
      </w:pPr>
      <w:bookmarkStart w:id="22" w:name="_Toc15396602"/>
      <w:bookmarkStart w:id="23" w:name="_Toc15377204"/>
      <w:bookmarkStart w:id="24" w:name="_Toc177484441"/>
      <w:r>
        <w:rPr>
          <w:rFonts w:hAnsi="黑体" w:eastAsia="黑体"/>
          <w:b w:val="0"/>
        </w:rPr>
        <w:t>第二部分</w:t>
      </w:r>
      <w:r>
        <w:rPr>
          <w:rFonts w:eastAsia="黑体"/>
          <w:b w:val="0"/>
        </w:rPr>
        <w:t xml:space="preserve"> 2023</w:t>
      </w:r>
      <w:r>
        <w:rPr>
          <w:rFonts w:hAnsi="黑体" w:eastAsia="黑体"/>
          <w:b w:val="0"/>
        </w:rPr>
        <w:t>年度</w:t>
      </w:r>
      <w:r>
        <w:rPr>
          <w:rStyle w:val="17"/>
          <w:rFonts w:hint="eastAsia" w:hAnsi="黑体" w:eastAsia="黑体"/>
          <w:b w:val="0"/>
          <w:bCs w:val="0"/>
        </w:rPr>
        <w:t>单位</w:t>
      </w:r>
      <w:r>
        <w:rPr>
          <w:rStyle w:val="17"/>
          <w:rFonts w:hAnsi="黑体" w:eastAsia="黑体"/>
          <w:b w:val="0"/>
          <w:bCs w:val="0"/>
        </w:rPr>
        <w:t>决算情况说明</w:t>
      </w:r>
      <w:bookmarkEnd w:id="22"/>
      <w:bookmarkEnd w:id="23"/>
      <w:bookmarkEnd w:id="24"/>
    </w:p>
    <w:p>
      <w:pPr>
        <w:pStyle w:val="22"/>
        <w:numPr>
          <w:ilvl w:val="0"/>
          <w:numId w:val="2"/>
        </w:numPr>
        <w:spacing w:line="560" w:lineRule="exact"/>
        <w:ind w:firstLineChars="0"/>
        <w:outlineLvl w:val="1"/>
        <w:rPr>
          <w:rStyle w:val="18"/>
          <w:rFonts w:ascii="Times New Roman" w:hAnsi="Times New Roman" w:eastAsia="黑体" w:cs="Times New Roman"/>
          <w:b w:val="0"/>
        </w:rPr>
      </w:pPr>
      <w:bookmarkStart w:id="25" w:name="_Toc177484442"/>
      <w:bookmarkStart w:id="26" w:name="_Toc15396603"/>
      <w:bookmarkStart w:id="27" w:name="_Toc15377205"/>
      <w:r>
        <w:rPr>
          <w:rFonts w:hAnsi="黑体" w:eastAsia="黑体"/>
          <w:sz w:val="32"/>
          <w:szCs w:val="32"/>
        </w:rPr>
        <w:t>收</w:t>
      </w:r>
      <w:r>
        <w:rPr>
          <w:rStyle w:val="18"/>
          <w:rFonts w:ascii="Times New Roman" w:hAnsi="黑体" w:eastAsia="黑体" w:cs="Times New Roman"/>
          <w:b w:val="0"/>
        </w:rPr>
        <w:t>入支出决算总体情况说明</w:t>
      </w:r>
      <w:bookmarkEnd w:id="25"/>
      <w:bookmarkEnd w:id="26"/>
      <w:bookmarkEnd w:id="27"/>
    </w:p>
    <w:p>
      <w:pPr>
        <w:snapToGrid w:val="0"/>
        <w:spacing w:line="560" w:lineRule="exact"/>
        <w:ind w:firstLine="640" w:firstLineChars="200"/>
        <w:rPr>
          <w:rStyle w:val="15"/>
          <w:rFonts w:eastAsia="仿宋_GB2312"/>
          <w:b w:val="0"/>
          <w:color w:val="000000"/>
          <w:sz w:val="32"/>
          <w:szCs w:val="32"/>
        </w:rPr>
      </w:pPr>
      <w:r>
        <w:rPr>
          <w:rFonts w:eastAsia="仿宋"/>
          <w:sz w:val="32"/>
          <w:szCs w:val="32"/>
        </w:rPr>
        <w:t>2023</w:t>
      </w:r>
      <w:r>
        <w:rPr>
          <w:rFonts w:hAnsi="仿宋" w:eastAsia="仿宋"/>
          <w:sz w:val="32"/>
          <w:szCs w:val="32"/>
        </w:rPr>
        <w:t>年度收、支总计均为</w:t>
      </w:r>
      <w:r>
        <w:rPr>
          <w:sz w:val="32"/>
          <w:szCs w:val="32"/>
        </w:rPr>
        <w:t>297.74</w:t>
      </w:r>
      <w:r>
        <w:rPr>
          <w:rFonts w:hAnsi="仿宋" w:eastAsia="仿宋"/>
          <w:sz w:val="32"/>
          <w:szCs w:val="32"/>
        </w:rPr>
        <w:t>万元</w:t>
      </w:r>
      <w:r>
        <w:rPr>
          <w:sz w:val="32"/>
          <w:szCs w:val="32"/>
        </w:rPr>
        <w:t>。</w:t>
      </w:r>
      <w:r>
        <w:rPr>
          <w:rFonts w:hAnsi="仿宋" w:eastAsia="仿宋"/>
          <w:sz w:val="32"/>
          <w:szCs w:val="32"/>
        </w:rPr>
        <w:t>与</w:t>
      </w:r>
      <w:r>
        <w:rPr>
          <w:rFonts w:eastAsia="仿宋"/>
          <w:sz w:val="32"/>
          <w:szCs w:val="32"/>
        </w:rPr>
        <w:t>2022</w:t>
      </w:r>
      <w:r>
        <w:rPr>
          <w:rFonts w:hAnsi="仿宋" w:eastAsia="仿宋"/>
          <w:sz w:val="32"/>
          <w:szCs w:val="32"/>
        </w:rPr>
        <w:t>年度相比，收、支总计各</w:t>
      </w:r>
      <w:r>
        <w:rPr>
          <w:rFonts w:eastAsia="仿宋_GB2312"/>
          <w:color w:val="000000"/>
          <w:sz w:val="32"/>
          <w:szCs w:val="32"/>
        </w:rPr>
        <w:t>增加7.98万元，增长2.75%。主要变动原因是机关事业单位基本工资调标部分支出、</w:t>
      </w:r>
      <w:r>
        <w:rPr>
          <w:rStyle w:val="15"/>
          <w:rFonts w:eastAsia="仿宋_GB2312"/>
          <w:b w:val="0"/>
          <w:color w:val="000000"/>
          <w:sz w:val="32"/>
          <w:szCs w:val="32"/>
        </w:rPr>
        <w:t>社会保障缴费及特殊疑难信访问题专项资金增加。（如图1）</w:t>
      </w:r>
    </w:p>
    <w:p>
      <w:pPr>
        <w:pStyle w:val="2"/>
        <w:spacing w:line="560" w:lineRule="exact"/>
        <w:rPr>
          <w:rFonts w:ascii="Times New Roman" w:hAnsi="Times New Roman"/>
        </w:rPr>
      </w:pPr>
      <w:r>
        <w:rPr>
          <w:rFonts w:ascii="Times New Roman" w:hAnsi="Times New Roman"/>
        </w:rPr>
        <w:drawing>
          <wp:anchor distT="0" distB="0" distL="114300" distR="114300" simplePos="0" relativeHeight="251660288" behindDoc="0" locked="0" layoutInCell="1" allowOverlap="1">
            <wp:simplePos x="0" y="0"/>
            <wp:positionH relativeFrom="column">
              <wp:posOffset>276225</wp:posOffset>
            </wp:positionH>
            <wp:positionV relativeFrom="paragraph">
              <wp:posOffset>257175</wp:posOffset>
            </wp:positionV>
            <wp:extent cx="4806950" cy="2867025"/>
            <wp:effectExtent l="19050" t="0" r="12700" b="0"/>
            <wp:wrapNone/>
            <wp:docPr id="2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560" w:lineRule="exact"/>
        <w:ind w:firstLine="640" w:firstLineChars="200"/>
        <w:jc w:val="left"/>
        <w:rPr>
          <w:rFonts w:eastAsia="仿宋"/>
          <w:sz w:val="32"/>
          <w:szCs w:val="32"/>
        </w:rPr>
      </w:pPr>
    </w:p>
    <w:p>
      <w:pPr>
        <w:pStyle w:val="2"/>
        <w:spacing w:line="560" w:lineRule="exact"/>
        <w:rPr>
          <w:rFonts w:ascii="Times New Roman" w:hAnsi="Times New Roman"/>
        </w:rPr>
      </w:pPr>
    </w:p>
    <w:p>
      <w:pPr>
        <w:spacing w:line="560" w:lineRule="exact"/>
      </w:pPr>
    </w:p>
    <w:p>
      <w:pPr>
        <w:pStyle w:val="2"/>
        <w:spacing w:line="560" w:lineRule="exact"/>
        <w:rPr>
          <w:rFonts w:ascii="Times New Roman" w:hAnsi="Times New Roman"/>
        </w:rPr>
      </w:pPr>
    </w:p>
    <w:p>
      <w:pPr>
        <w:spacing w:line="560" w:lineRule="exact"/>
      </w:pPr>
    </w:p>
    <w:p>
      <w:pPr>
        <w:spacing w:line="560" w:lineRule="exact"/>
      </w:pPr>
    </w:p>
    <w:p>
      <w:pPr>
        <w:spacing w:line="700" w:lineRule="exact"/>
        <w:ind w:firstLine="1600" w:firstLineChars="500"/>
        <w:rPr>
          <w:rFonts w:eastAsia="仿宋_GB2312"/>
          <w:color w:val="000000"/>
          <w:sz w:val="32"/>
          <w:szCs w:val="32"/>
        </w:rPr>
      </w:pPr>
      <w:r>
        <w:rPr>
          <w:rFonts w:eastAsia="仿宋_GB2312"/>
          <w:color w:val="000000"/>
          <w:sz w:val="32"/>
          <w:szCs w:val="32"/>
        </w:rPr>
        <w:t>（图1：收、支决算总计变动情况图）</w:t>
      </w:r>
    </w:p>
    <w:p>
      <w:pPr>
        <w:pStyle w:val="22"/>
        <w:numPr>
          <w:ilvl w:val="0"/>
          <w:numId w:val="2"/>
        </w:numPr>
        <w:spacing w:line="700" w:lineRule="exact"/>
        <w:ind w:firstLineChars="0"/>
        <w:outlineLvl w:val="1"/>
        <w:rPr>
          <w:rStyle w:val="18"/>
          <w:rFonts w:ascii="Times New Roman" w:hAnsi="Times New Roman" w:eastAsia="黑体" w:cs="Times New Roman"/>
          <w:b w:val="0"/>
        </w:rPr>
      </w:pPr>
      <w:bookmarkStart w:id="28" w:name="_Toc15396604"/>
      <w:bookmarkStart w:id="29" w:name="_Toc177484443"/>
      <w:bookmarkStart w:id="30" w:name="_Toc15377206"/>
      <w:r>
        <w:rPr>
          <w:rFonts w:hAnsi="黑体" w:eastAsia="黑体"/>
          <w:sz w:val="32"/>
          <w:szCs w:val="32"/>
        </w:rPr>
        <w:t>收</w:t>
      </w:r>
      <w:r>
        <w:rPr>
          <w:rStyle w:val="18"/>
          <w:rFonts w:ascii="Times New Roman" w:hAnsi="黑体" w:eastAsia="黑体" w:cs="Times New Roman"/>
          <w:b w:val="0"/>
        </w:rPr>
        <w:t>入决算情况说明</w:t>
      </w:r>
      <w:bookmarkEnd w:id="28"/>
      <w:bookmarkEnd w:id="29"/>
      <w:bookmarkEnd w:id="30"/>
    </w:p>
    <w:p>
      <w:pPr>
        <w:snapToGrid w:val="0"/>
        <w:spacing w:line="560" w:lineRule="exact"/>
        <w:ind w:firstLine="640" w:firstLineChars="200"/>
        <w:rPr>
          <w:rStyle w:val="15"/>
          <w:rFonts w:eastAsia="仿宋_GB2312"/>
          <w:b w:val="0"/>
          <w:color w:val="000000"/>
          <w:sz w:val="32"/>
          <w:szCs w:val="32"/>
        </w:rPr>
      </w:pPr>
      <w:r>
        <w:rPr>
          <w:rFonts w:eastAsia="仿宋_GB2312"/>
          <w:sz w:val="32"/>
          <w:szCs w:val="32"/>
        </w:rPr>
        <w:t>2023年度本年收入合计297.74万元，其中：一般公共预算财政拨款收入297.74万元，占100%；政府性基金预算财政拨款收入0万元，占0%；国有资本经营预算财政拨款收入0万元，占0%；上级补助收入0万元，占0%；事业收入0万元，占0%；经营收入0万元，占0%；附属单位上缴收入0万元，占0%；其他收入0万元，占0%。</w:t>
      </w:r>
      <w:r>
        <w:rPr>
          <w:rStyle w:val="15"/>
          <w:rFonts w:eastAsia="仿宋_GB2312"/>
          <w:b w:val="0"/>
          <w:color w:val="000000"/>
          <w:sz w:val="32"/>
          <w:szCs w:val="32"/>
        </w:rPr>
        <w:t>（如图</w:t>
      </w:r>
      <w:r>
        <w:rPr>
          <w:rStyle w:val="15"/>
          <w:rFonts w:hint="eastAsia" w:eastAsia="仿宋_GB2312"/>
          <w:b w:val="0"/>
          <w:color w:val="000000"/>
          <w:sz w:val="32"/>
          <w:szCs w:val="32"/>
        </w:rPr>
        <w:t>2</w:t>
      </w:r>
      <w:r>
        <w:rPr>
          <w:rStyle w:val="15"/>
          <w:rFonts w:eastAsia="仿宋_GB2312"/>
          <w:b w:val="0"/>
          <w:color w:val="000000"/>
          <w:sz w:val="32"/>
          <w:szCs w:val="32"/>
        </w:rPr>
        <w:t>）</w:t>
      </w:r>
    </w:p>
    <w:p>
      <w:pPr>
        <w:spacing w:line="600" w:lineRule="exact"/>
        <w:ind w:firstLine="640" w:firstLineChars="200"/>
        <w:jc w:val="left"/>
        <w:outlineLvl w:val="1"/>
        <w:rPr>
          <w:rFonts w:eastAsia="仿宋_GB2312"/>
          <w:sz w:val="32"/>
          <w:szCs w:val="32"/>
        </w:rPr>
      </w:pPr>
    </w:p>
    <w:p>
      <w:pPr>
        <w:spacing w:line="560" w:lineRule="exact"/>
        <w:ind w:firstLine="640" w:firstLineChars="200"/>
        <w:rPr>
          <w:rFonts w:eastAsia="仿宋_GB2312"/>
          <w:sz w:val="32"/>
          <w:szCs w:val="32"/>
        </w:rPr>
      </w:pPr>
      <w:r>
        <w:rPr>
          <w:rFonts w:eastAsia="仿宋_GB2312"/>
          <w:sz w:val="32"/>
          <w:szCs w:val="32"/>
        </w:rPr>
        <w:drawing>
          <wp:anchor distT="0" distB="0" distL="114300" distR="114300" simplePos="0" relativeHeight="251661312" behindDoc="0" locked="0" layoutInCell="1" allowOverlap="1">
            <wp:simplePos x="0" y="0"/>
            <wp:positionH relativeFrom="column">
              <wp:posOffset>200025</wp:posOffset>
            </wp:positionH>
            <wp:positionV relativeFrom="paragraph">
              <wp:posOffset>9525</wp:posOffset>
            </wp:positionV>
            <wp:extent cx="4777105" cy="2476500"/>
            <wp:effectExtent l="19050" t="0" r="23495" b="0"/>
            <wp:wrapNone/>
            <wp:docPr id="26"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2"/>
        <w:spacing w:line="560" w:lineRule="exact"/>
        <w:rPr>
          <w:rFonts w:ascii="Times New Roman" w:hAnsi="Times New Roman"/>
        </w:rPr>
      </w:pPr>
    </w:p>
    <w:p>
      <w:pPr>
        <w:spacing w:line="560" w:lineRule="exact"/>
      </w:pPr>
    </w:p>
    <w:p>
      <w:pPr>
        <w:pStyle w:val="2"/>
        <w:spacing w:line="560" w:lineRule="exact"/>
        <w:rPr>
          <w:rFonts w:ascii="Times New Roman" w:hAnsi="Times New Roman"/>
        </w:rPr>
      </w:pPr>
    </w:p>
    <w:p>
      <w:pPr>
        <w:spacing w:line="560" w:lineRule="exact"/>
      </w:pPr>
    </w:p>
    <w:p>
      <w:pPr>
        <w:spacing w:line="560" w:lineRule="exact"/>
        <w:outlineLvl w:val="1"/>
        <w:rPr>
          <w:rFonts w:eastAsia="仿宋"/>
          <w:sz w:val="32"/>
          <w:szCs w:val="32"/>
        </w:rPr>
      </w:pPr>
    </w:p>
    <w:p>
      <w:pPr>
        <w:spacing w:line="560" w:lineRule="exact"/>
        <w:ind w:firstLine="2080" w:firstLineChars="650"/>
        <w:rPr>
          <w:rFonts w:eastAsia="仿宋"/>
          <w:sz w:val="32"/>
          <w:szCs w:val="32"/>
        </w:rPr>
      </w:pPr>
      <w:r>
        <w:rPr>
          <w:rFonts w:hAnsi="仿宋" w:eastAsia="仿宋"/>
          <w:sz w:val="32"/>
          <w:szCs w:val="32"/>
        </w:rPr>
        <w:t>（图</w:t>
      </w:r>
      <w:r>
        <w:rPr>
          <w:rFonts w:eastAsia="仿宋"/>
          <w:sz w:val="32"/>
          <w:szCs w:val="32"/>
        </w:rPr>
        <w:t>2</w:t>
      </w:r>
      <w:r>
        <w:rPr>
          <w:rFonts w:hAnsi="仿宋" w:eastAsia="仿宋"/>
          <w:sz w:val="32"/>
          <w:szCs w:val="32"/>
        </w:rPr>
        <w:t>：收入决算结构图）</w:t>
      </w:r>
    </w:p>
    <w:p>
      <w:pPr>
        <w:pStyle w:val="22"/>
        <w:numPr>
          <w:ilvl w:val="0"/>
          <w:numId w:val="2"/>
        </w:numPr>
        <w:spacing w:line="560" w:lineRule="exact"/>
        <w:ind w:firstLineChars="0"/>
        <w:outlineLvl w:val="1"/>
        <w:rPr>
          <w:rStyle w:val="18"/>
          <w:rFonts w:ascii="Times New Roman" w:hAnsi="Times New Roman" w:eastAsia="黑体" w:cs="Times New Roman"/>
          <w:b w:val="0"/>
        </w:rPr>
      </w:pPr>
      <w:bookmarkStart w:id="31" w:name="_Toc15377207"/>
      <w:bookmarkStart w:id="32" w:name="_Toc177484444"/>
      <w:bookmarkStart w:id="33" w:name="_Toc15396605"/>
      <w:r>
        <w:rPr>
          <w:rFonts w:hAnsi="黑体" w:eastAsia="黑体"/>
          <w:b/>
          <w:sz w:val="32"/>
          <w:szCs w:val="32"/>
        </w:rPr>
        <w:t>支</w:t>
      </w:r>
      <w:r>
        <w:rPr>
          <w:rStyle w:val="18"/>
          <w:rFonts w:ascii="Times New Roman" w:hAnsi="黑体" w:eastAsia="黑体" w:cs="Times New Roman"/>
          <w:b w:val="0"/>
        </w:rPr>
        <w:t>出决算情况说明</w:t>
      </w:r>
      <w:bookmarkEnd w:id="31"/>
      <w:bookmarkEnd w:id="32"/>
      <w:bookmarkEnd w:id="33"/>
    </w:p>
    <w:p>
      <w:pPr>
        <w:snapToGrid w:val="0"/>
        <w:spacing w:line="560" w:lineRule="exact"/>
        <w:ind w:firstLine="640" w:firstLineChars="200"/>
        <w:rPr>
          <w:rFonts w:eastAsia="仿宋_GB2312"/>
          <w:color w:val="000000"/>
          <w:sz w:val="32"/>
          <w:szCs w:val="32"/>
        </w:rPr>
      </w:pPr>
      <w:r>
        <w:rPr>
          <w:rFonts w:eastAsia="仿宋"/>
          <w:sz w:val="32"/>
          <w:szCs w:val="32"/>
        </w:rPr>
        <w:t>2023</w:t>
      </w:r>
      <w:r>
        <w:rPr>
          <w:rFonts w:hAnsi="仿宋" w:eastAsia="仿宋"/>
          <w:sz w:val="32"/>
          <w:szCs w:val="32"/>
        </w:rPr>
        <w:t>年度本年支出合计</w:t>
      </w:r>
      <w:r>
        <w:rPr>
          <w:sz w:val="32"/>
          <w:szCs w:val="32"/>
        </w:rPr>
        <w:t>297.74</w:t>
      </w:r>
      <w:r>
        <w:rPr>
          <w:rFonts w:hAnsi="仿宋" w:eastAsia="仿宋"/>
          <w:sz w:val="32"/>
          <w:szCs w:val="32"/>
        </w:rPr>
        <w:t>万元，其中：基本支出</w:t>
      </w:r>
      <w:r>
        <w:rPr>
          <w:sz w:val="32"/>
          <w:szCs w:val="32"/>
        </w:rPr>
        <w:t>200.92</w:t>
      </w:r>
      <w:r>
        <w:rPr>
          <w:rFonts w:hAnsi="仿宋" w:eastAsia="仿宋"/>
          <w:sz w:val="32"/>
          <w:szCs w:val="32"/>
        </w:rPr>
        <w:t>万元，占</w:t>
      </w:r>
      <w:r>
        <w:rPr>
          <w:sz w:val="32"/>
          <w:szCs w:val="32"/>
        </w:rPr>
        <w:t>67.48</w:t>
      </w:r>
      <w:r>
        <w:rPr>
          <w:rFonts w:eastAsia="仿宋"/>
          <w:sz w:val="32"/>
          <w:szCs w:val="32"/>
        </w:rPr>
        <w:t>%</w:t>
      </w:r>
      <w:r>
        <w:rPr>
          <w:rFonts w:hAnsi="仿宋" w:eastAsia="仿宋"/>
          <w:sz w:val="32"/>
          <w:szCs w:val="32"/>
        </w:rPr>
        <w:t>；项目支出</w:t>
      </w:r>
      <w:r>
        <w:rPr>
          <w:sz w:val="32"/>
          <w:szCs w:val="32"/>
        </w:rPr>
        <w:t>96.82</w:t>
      </w:r>
      <w:r>
        <w:rPr>
          <w:rFonts w:hAnsi="仿宋" w:eastAsia="仿宋"/>
          <w:sz w:val="32"/>
          <w:szCs w:val="32"/>
        </w:rPr>
        <w:t>万元，占</w:t>
      </w:r>
      <w:r>
        <w:rPr>
          <w:sz w:val="32"/>
          <w:szCs w:val="32"/>
        </w:rPr>
        <w:t>32.52</w:t>
      </w:r>
      <w:r>
        <w:rPr>
          <w:rFonts w:eastAsia="仿宋"/>
          <w:sz w:val="32"/>
          <w:szCs w:val="32"/>
        </w:rPr>
        <w:t>%</w:t>
      </w:r>
      <w:r>
        <w:rPr>
          <w:rFonts w:hAnsi="仿宋" w:eastAsia="仿宋"/>
          <w:sz w:val="32"/>
          <w:szCs w:val="32"/>
        </w:rPr>
        <w:t>；上缴上级支出</w:t>
      </w:r>
      <w:r>
        <w:rPr>
          <w:sz w:val="32"/>
          <w:szCs w:val="32"/>
        </w:rPr>
        <w:t>0</w:t>
      </w:r>
      <w:r>
        <w:rPr>
          <w:rFonts w:hAnsi="仿宋" w:eastAsia="仿宋"/>
          <w:sz w:val="32"/>
          <w:szCs w:val="32"/>
        </w:rPr>
        <w:t>万元，占</w:t>
      </w:r>
      <w:r>
        <w:rPr>
          <w:sz w:val="32"/>
          <w:szCs w:val="32"/>
        </w:rPr>
        <w:t>0</w:t>
      </w:r>
      <w:r>
        <w:rPr>
          <w:rFonts w:eastAsia="仿宋"/>
          <w:sz w:val="32"/>
          <w:szCs w:val="32"/>
        </w:rPr>
        <w:t>%</w:t>
      </w:r>
      <w:r>
        <w:rPr>
          <w:rFonts w:hAnsi="仿宋" w:eastAsia="仿宋"/>
          <w:sz w:val="32"/>
          <w:szCs w:val="32"/>
        </w:rPr>
        <w:t>；经营支出</w:t>
      </w:r>
      <w:r>
        <w:rPr>
          <w:sz w:val="32"/>
          <w:szCs w:val="32"/>
        </w:rPr>
        <w:t>0</w:t>
      </w:r>
      <w:r>
        <w:rPr>
          <w:rFonts w:hAnsi="仿宋" w:eastAsia="仿宋"/>
          <w:sz w:val="32"/>
          <w:szCs w:val="32"/>
        </w:rPr>
        <w:t>万元，占</w:t>
      </w:r>
      <w:r>
        <w:rPr>
          <w:sz w:val="32"/>
          <w:szCs w:val="32"/>
        </w:rPr>
        <w:t>0</w:t>
      </w:r>
      <w:r>
        <w:rPr>
          <w:rFonts w:eastAsia="仿宋"/>
          <w:sz w:val="32"/>
          <w:szCs w:val="32"/>
        </w:rPr>
        <w:t>%</w:t>
      </w:r>
      <w:r>
        <w:rPr>
          <w:rFonts w:hAnsi="仿宋" w:eastAsia="仿宋"/>
          <w:sz w:val="32"/>
          <w:szCs w:val="32"/>
        </w:rPr>
        <w:t>；对附属单位补助支出</w:t>
      </w:r>
      <w:r>
        <w:rPr>
          <w:sz w:val="32"/>
          <w:szCs w:val="32"/>
        </w:rPr>
        <w:t>0</w:t>
      </w:r>
      <w:r>
        <w:rPr>
          <w:rFonts w:hAnsi="仿宋" w:eastAsia="仿宋"/>
          <w:sz w:val="32"/>
          <w:szCs w:val="32"/>
        </w:rPr>
        <w:t>万元，占</w:t>
      </w:r>
      <w:r>
        <w:rPr>
          <w:sz w:val="32"/>
          <w:szCs w:val="32"/>
        </w:rPr>
        <w:t>0</w:t>
      </w:r>
      <w:r>
        <w:rPr>
          <w:rFonts w:eastAsia="仿宋"/>
          <w:sz w:val="32"/>
          <w:szCs w:val="32"/>
        </w:rPr>
        <w:t>%</w:t>
      </w:r>
      <w:r>
        <w:rPr>
          <w:rFonts w:hAnsi="仿宋" w:eastAsia="仿宋"/>
          <w:sz w:val="32"/>
          <w:szCs w:val="32"/>
        </w:rPr>
        <w:t>。</w:t>
      </w:r>
      <w:r>
        <w:rPr>
          <w:rStyle w:val="15"/>
          <w:rFonts w:eastAsia="仿宋_GB2312"/>
          <w:b w:val="0"/>
          <w:color w:val="000000"/>
          <w:sz w:val="32"/>
          <w:szCs w:val="32"/>
        </w:rPr>
        <w:t>（如图</w:t>
      </w:r>
      <w:r>
        <w:rPr>
          <w:rStyle w:val="15"/>
          <w:rFonts w:hint="eastAsia" w:eastAsia="仿宋_GB2312"/>
          <w:b w:val="0"/>
          <w:color w:val="000000"/>
          <w:sz w:val="32"/>
          <w:szCs w:val="32"/>
        </w:rPr>
        <w:t>3</w:t>
      </w:r>
      <w:r>
        <w:rPr>
          <w:rStyle w:val="15"/>
          <w:rFonts w:eastAsia="仿宋_GB2312"/>
          <w:b w:val="0"/>
          <w:color w:val="000000"/>
          <w:sz w:val="32"/>
          <w:szCs w:val="32"/>
        </w:rPr>
        <w:t>）</w:t>
      </w:r>
    </w:p>
    <w:p>
      <w:pPr>
        <w:pStyle w:val="2"/>
      </w:pPr>
      <w:r>
        <w:drawing>
          <wp:inline distT="0" distB="0" distL="0" distR="0">
            <wp:extent cx="4857750" cy="2324100"/>
            <wp:effectExtent l="19050" t="0" r="19050" b="0"/>
            <wp:docPr id="46" name="图表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700" w:lineRule="exact"/>
        <w:ind w:firstLine="1920" w:firstLineChars="600"/>
        <w:rPr>
          <w:rFonts w:eastAsia="仿宋_GB2312"/>
          <w:sz w:val="32"/>
          <w:szCs w:val="32"/>
        </w:rPr>
      </w:pPr>
      <w:r>
        <w:rPr>
          <w:rFonts w:hAnsi="仿宋" w:eastAsia="仿宋"/>
          <w:sz w:val="32"/>
          <w:szCs w:val="32"/>
        </w:rPr>
        <w:t>（图</w:t>
      </w:r>
      <w:r>
        <w:rPr>
          <w:rFonts w:eastAsia="仿宋"/>
          <w:sz w:val="32"/>
          <w:szCs w:val="32"/>
        </w:rPr>
        <w:t>3</w:t>
      </w:r>
      <w:r>
        <w:rPr>
          <w:rFonts w:hAnsi="仿宋" w:eastAsia="仿宋"/>
          <w:sz w:val="32"/>
          <w:szCs w:val="32"/>
        </w:rPr>
        <w:t>：支出决算结构图）</w:t>
      </w:r>
    </w:p>
    <w:p>
      <w:pPr>
        <w:spacing w:line="700" w:lineRule="exact"/>
        <w:ind w:firstLine="640" w:firstLineChars="200"/>
        <w:outlineLvl w:val="1"/>
        <w:rPr>
          <w:rStyle w:val="18"/>
          <w:rFonts w:ascii="Times New Roman" w:hAnsi="Times New Roman" w:eastAsia="黑体" w:cs="Times New Roman"/>
          <w:b w:val="0"/>
        </w:rPr>
      </w:pPr>
      <w:bookmarkStart w:id="34" w:name="_Toc15377208"/>
      <w:bookmarkStart w:id="35" w:name="_Toc177484445"/>
      <w:bookmarkStart w:id="36" w:name="_Toc15396606"/>
      <w:r>
        <w:rPr>
          <w:rFonts w:hAnsi="黑体" w:eastAsia="黑体"/>
          <w:sz w:val="32"/>
          <w:szCs w:val="32"/>
        </w:rPr>
        <w:t>四、财</w:t>
      </w:r>
      <w:r>
        <w:rPr>
          <w:rStyle w:val="18"/>
          <w:rFonts w:ascii="Times New Roman" w:hAnsi="黑体" w:eastAsia="黑体" w:cs="Times New Roman"/>
          <w:b w:val="0"/>
        </w:rPr>
        <w:t>政拨款收入支出决算总体情况说明</w:t>
      </w:r>
      <w:bookmarkEnd w:id="34"/>
      <w:bookmarkEnd w:id="35"/>
      <w:bookmarkEnd w:id="36"/>
    </w:p>
    <w:p>
      <w:pPr>
        <w:spacing w:line="600" w:lineRule="exact"/>
        <w:ind w:firstLine="640"/>
        <w:rPr>
          <w:rFonts w:eastAsia="仿宋_GB2312"/>
        </w:rPr>
      </w:pPr>
      <w:r>
        <w:rPr>
          <w:rFonts w:eastAsia="仿宋_GB2312"/>
          <w:sz w:val="32"/>
          <w:szCs w:val="32"/>
        </w:rPr>
        <w:t>2023年度财政拨款收、支总计均为297.74万元。与2022年度相比，财政拨款收、支总计各增加</w:t>
      </w:r>
      <w:r>
        <w:rPr>
          <w:rFonts w:eastAsia="仿宋_GB2312"/>
          <w:color w:val="000000"/>
          <w:sz w:val="32"/>
          <w:szCs w:val="32"/>
        </w:rPr>
        <w:t>7.98万元，增长2.75%。主要变动原因是机关事业单位基本工资调标部分支出、</w:t>
      </w:r>
      <w:r>
        <w:rPr>
          <w:rStyle w:val="15"/>
          <w:rFonts w:eastAsia="仿宋_GB2312"/>
          <w:b w:val="0"/>
          <w:color w:val="000000"/>
          <w:sz w:val="32"/>
          <w:szCs w:val="32"/>
        </w:rPr>
        <w:t>社会保障缴费及特殊疑难信访问题专项资金增加。（如图4）</w:t>
      </w:r>
    </w:p>
    <w:p>
      <w:pPr>
        <w:spacing w:line="600" w:lineRule="exact"/>
        <w:rPr>
          <w:rFonts w:eastAsia="仿宋"/>
          <w:b/>
          <w:sz w:val="32"/>
          <w:szCs w:val="32"/>
        </w:rPr>
      </w:pPr>
      <w:r>
        <w:rPr>
          <w:rFonts w:eastAsia="仿宋"/>
          <w:b/>
          <w:sz w:val="32"/>
          <w:szCs w:val="32"/>
        </w:rPr>
        <w:drawing>
          <wp:anchor distT="0" distB="0" distL="114300" distR="114300" simplePos="0" relativeHeight="251662336" behindDoc="0" locked="0" layoutInCell="1" allowOverlap="1">
            <wp:simplePos x="0" y="0"/>
            <wp:positionH relativeFrom="column">
              <wp:posOffset>304800</wp:posOffset>
            </wp:positionH>
            <wp:positionV relativeFrom="paragraph">
              <wp:posOffset>342900</wp:posOffset>
            </wp:positionV>
            <wp:extent cx="4806950" cy="2867025"/>
            <wp:effectExtent l="19050" t="0" r="12700" b="0"/>
            <wp:wrapNone/>
            <wp:docPr id="2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pStyle w:val="2"/>
        <w:spacing w:line="600" w:lineRule="exact"/>
        <w:rPr>
          <w:rFonts w:ascii="Times New Roman" w:hAnsi="Times New Roman"/>
        </w:rPr>
      </w:pPr>
    </w:p>
    <w:p>
      <w:pPr>
        <w:spacing w:line="600" w:lineRule="exact"/>
      </w:pPr>
    </w:p>
    <w:p>
      <w:pPr>
        <w:spacing w:line="600" w:lineRule="exact"/>
      </w:pPr>
    </w:p>
    <w:p>
      <w:pPr>
        <w:spacing w:line="600" w:lineRule="exact"/>
      </w:pPr>
    </w:p>
    <w:p>
      <w:pPr>
        <w:spacing w:line="600" w:lineRule="exact"/>
      </w:pPr>
    </w:p>
    <w:p>
      <w:pPr>
        <w:spacing w:line="600" w:lineRule="exact"/>
      </w:pPr>
    </w:p>
    <w:p>
      <w:pPr>
        <w:pStyle w:val="2"/>
        <w:spacing w:line="600" w:lineRule="exact"/>
        <w:rPr>
          <w:rFonts w:ascii="Times New Roman" w:hAnsi="Times New Roman"/>
        </w:rPr>
      </w:pPr>
    </w:p>
    <w:p>
      <w:pPr>
        <w:spacing w:line="600" w:lineRule="exact"/>
        <w:ind w:firstLine="640" w:firstLineChars="200"/>
        <w:rPr>
          <w:rFonts w:eastAsia="仿宋"/>
          <w:sz w:val="32"/>
          <w:szCs w:val="32"/>
        </w:rPr>
      </w:pPr>
      <w:r>
        <w:rPr>
          <w:rFonts w:hAnsi="仿宋" w:eastAsia="仿宋"/>
          <w:sz w:val="32"/>
          <w:szCs w:val="32"/>
        </w:rPr>
        <w:t>（图</w:t>
      </w:r>
      <w:r>
        <w:rPr>
          <w:rFonts w:eastAsia="仿宋"/>
          <w:sz w:val="32"/>
          <w:szCs w:val="32"/>
        </w:rPr>
        <w:t>4</w:t>
      </w:r>
      <w:r>
        <w:rPr>
          <w:rFonts w:hAnsi="仿宋" w:eastAsia="仿宋"/>
          <w:sz w:val="32"/>
          <w:szCs w:val="32"/>
        </w:rPr>
        <w:t>：财政拨款收、支决算总计变动情况）</w:t>
      </w:r>
    </w:p>
    <w:p>
      <w:pPr>
        <w:spacing w:line="600" w:lineRule="exact"/>
        <w:ind w:firstLine="640" w:firstLineChars="200"/>
        <w:outlineLvl w:val="1"/>
        <w:rPr>
          <w:rFonts w:hAnsi="黑体" w:eastAsia="黑体"/>
          <w:sz w:val="32"/>
          <w:szCs w:val="32"/>
        </w:rPr>
      </w:pPr>
      <w:bookmarkStart w:id="37" w:name="_Toc15377209"/>
      <w:bookmarkStart w:id="38" w:name="_Toc15396607"/>
    </w:p>
    <w:p>
      <w:pPr>
        <w:spacing w:line="600" w:lineRule="exact"/>
        <w:ind w:firstLine="640" w:firstLineChars="200"/>
        <w:outlineLvl w:val="1"/>
        <w:rPr>
          <w:rStyle w:val="18"/>
          <w:rFonts w:ascii="Times New Roman" w:hAnsi="Times New Roman" w:eastAsia="黑体" w:cs="Times New Roman"/>
          <w:b w:val="0"/>
        </w:rPr>
      </w:pPr>
      <w:bookmarkStart w:id="39" w:name="_Toc177484446"/>
      <w:r>
        <w:rPr>
          <w:rFonts w:hAnsi="黑体" w:eastAsia="黑体"/>
          <w:sz w:val="32"/>
          <w:szCs w:val="32"/>
        </w:rPr>
        <w:t>五</w:t>
      </w:r>
      <w:r>
        <w:rPr>
          <w:rFonts w:hAnsi="黑体" w:eastAsia="黑体"/>
          <w:b/>
          <w:sz w:val="32"/>
          <w:szCs w:val="32"/>
        </w:rPr>
        <w:t>、</w:t>
      </w:r>
      <w:r>
        <w:rPr>
          <w:rStyle w:val="18"/>
          <w:rFonts w:ascii="Times New Roman" w:hAnsi="黑体" w:eastAsia="黑体" w:cs="Times New Roman"/>
          <w:b w:val="0"/>
        </w:rPr>
        <w:t>一般公共预算财政拨款支出决算情况说明</w:t>
      </w:r>
      <w:bookmarkEnd w:id="37"/>
      <w:bookmarkEnd w:id="38"/>
      <w:bookmarkEnd w:id="39"/>
    </w:p>
    <w:p>
      <w:pPr>
        <w:spacing w:line="600" w:lineRule="exact"/>
        <w:ind w:firstLine="642" w:firstLineChars="200"/>
        <w:outlineLvl w:val="2"/>
        <w:rPr>
          <w:rFonts w:ascii="楷体_GB2312" w:eastAsia="楷体_GB2312"/>
          <w:b/>
          <w:sz w:val="32"/>
          <w:szCs w:val="32"/>
        </w:rPr>
      </w:pPr>
      <w:bookmarkStart w:id="40" w:name="_Toc15377210"/>
      <w:bookmarkStart w:id="41" w:name="_Toc177484447"/>
      <w:r>
        <w:rPr>
          <w:rFonts w:hint="eastAsia" w:ascii="楷体_GB2312" w:hAnsi="仿宋" w:eastAsia="楷体_GB2312"/>
          <w:b/>
          <w:sz w:val="32"/>
          <w:szCs w:val="32"/>
        </w:rPr>
        <w:t>（一）一般公共预算财政拨款支出决算总体情况</w:t>
      </w:r>
      <w:bookmarkEnd w:id="40"/>
      <w:bookmarkEnd w:id="41"/>
    </w:p>
    <w:p>
      <w:pPr>
        <w:spacing w:line="600" w:lineRule="exact"/>
        <w:ind w:firstLine="640"/>
        <w:rPr>
          <w:rStyle w:val="15"/>
          <w:rFonts w:eastAsia="仿宋_GB2312"/>
          <w:b w:val="0"/>
          <w:color w:val="000000"/>
          <w:sz w:val="32"/>
          <w:szCs w:val="32"/>
        </w:rPr>
      </w:pPr>
      <w:r>
        <w:rPr>
          <w:rFonts w:eastAsia="仿宋"/>
          <w:sz w:val="32"/>
          <w:szCs w:val="32"/>
        </w:rPr>
        <w:t>2023</w:t>
      </w:r>
      <w:r>
        <w:rPr>
          <w:rFonts w:hAnsi="仿宋" w:eastAsia="仿宋"/>
          <w:sz w:val="32"/>
          <w:szCs w:val="32"/>
        </w:rPr>
        <w:t>年度一般公共预算财政拨款支出</w:t>
      </w:r>
      <w:r>
        <w:rPr>
          <w:sz w:val="32"/>
          <w:szCs w:val="32"/>
        </w:rPr>
        <w:t>297.74</w:t>
      </w:r>
      <w:r>
        <w:rPr>
          <w:rFonts w:hAnsi="仿宋" w:eastAsia="仿宋"/>
          <w:sz w:val="32"/>
          <w:szCs w:val="32"/>
        </w:rPr>
        <w:t>万元，占本年支出合计的</w:t>
      </w:r>
      <w:r>
        <w:rPr>
          <w:sz w:val="32"/>
          <w:szCs w:val="32"/>
        </w:rPr>
        <w:t>100</w:t>
      </w:r>
      <w:r>
        <w:rPr>
          <w:rFonts w:eastAsia="仿宋"/>
          <w:sz w:val="32"/>
          <w:szCs w:val="32"/>
        </w:rPr>
        <w:t>%</w:t>
      </w:r>
      <w:r>
        <w:rPr>
          <w:rFonts w:hAnsi="仿宋" w:eastAsia="仿宋"/>
          <w:sz w:val="32"/>
          <w:szCs w:val="32"/>
        </w:rPr>
        <w:t>。与</w:t>
      </w:r>
      <w:r>
        <w:rPr>
          <w:rFonts w:eastAsia="仿宋"/>
          <w:sz w:val="32"/>
          <w:szCs w:val="32"/>
        </w:rPr>
        <w:t>2022</w:t>
      </w:r>
      <w:r>
        <w:rPr>
          <w:rFonts w:hAnsi="仿宋" w:eastAsia="仿宋"/>
          <w:sz w:val="32"/>
          <w:szCs w:val="32"/>
        </w:rPr>
        <w:t>年度相比，一般公共预算财政拨款支出增加</w:t>
      </w:r>
      <w:r>
        <w:rPr>
          <w:rFonts w:eastAsia="仿宋_GB2312"/>
          <w:color w:val="000000"/>
          <w:sz w:val="32"/>
          <w:szCs w:val="32"/>
        </w:rPr>
        <w:t>7.98万元，增长2.75%。主要变动原因是机关事业单位基本工资调标部分支出、</w:t>
      </w:r>
      <w:r>
        <w:rPr>
          <w:rStyle w:val="15"/>
          <w:rFonts w:eastAsia="仿宋_GB2312"/>
          <w:b w:val="0"/>
          <w:color w:val="000000"/>
          <w:sz w:val="32"/>
          <w:szCs w:val="32"/>
        </w:rPr>
        <w:t>社会保障缴费及特殊疑难信访问题专项资金增加。（如图5）</w:t>
      </w:r>
    </w:p>
    <w:p>
      <w:pPr>
        <w:pStyle w:val="2"/>
      </w:pPr>
      <w:r>
        <w:drawing>
          <wp:inline distT="0" distB="0" distL="0" distR="0">
            <wp:extent cx="5238750" cy="2647950"/>
            <wp:effectExtent l="19050" t="0" r="19050" b="0"/>
            <wp:docPr id="47" name="图表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bl>
      <w:tblPr>
        <w:tblStyle w:val="13"/>
        <w:tblW w:w="0" w:type="auto"/>
        <w:tblInd w:w="153"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100"/>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 w:hRule="atLeast"/>
        </w:trPr>
        <w:tc>
          <w:tcPr>
            <w:tcW w:w="8100" w:type="dxa"/>
          </w:tcPr>
          <w:p>
            <w:pPr>
              <w:spacing w:line="560" w:lineRule="exact"/>
              <w:rPr>
                <w:rFonts w:hAnsi="仿宋" w:eastAsia="仿宋"/>
                <w:sz w:val="32"/>
                <w:szCs w:val="32"/>
              </w:rPr>
            </w:pPr>
          </w:p>
        </w:tc>
      </w:tr>
    </w:tbl>
    <w:p>
      <w:pPr>
        <w:spacing w:line="560" w:lineRule="exact"/>
        <w:ind w:firstLine="480" w:firstLineChars="150"/>
        <w:rPr>
          <w:rFonts w:eastAsia="仿宋_GB2312"/>
          <w:sz w:val="32"/>
          <w:szCs w:val="32"/>
        </w:rPr>
      </w:pPr>
      <w:r>
        <w:rPr>
          <w:rFonts w:eastAsia="仿宋_GB2312"/>
          <w:sz w:val="32"/>
          <w:szCs w:val="32"/>
        </w:rPr>
        <w:t>（图5：一般公共预算财政拨款支出决算变动情况）</w:t>
      </w:r>
      <w:bookmarkStart w:id="42" w:name="_Toc15377211"/>
    </w:p>
    <w:p>
      <w:pPr>
        <w:spacing w:line="560" w:lineRule="exact"/>
        <w:ind w:firstLine="642" w:firstLineChars="200"/>
        <w:outlineLvl w:val="2"/>
        <w:rPr>
          <w:rFonts w:ascii="楷体_GB2312" w:eastAsia="楷体_GB2312"/>
          <w:b/>
          <w:sz w:val="32"/>
          <w:szCs w:val="32"/>
        </w:rPr>
      </w:pPr>
      <w:bookmarkStart w:id="43" w:name="_Toc177484448"/>
      <w:r>
        <w:rPr>
          <w:rFonts w:hint="eastAsia" w:ascii="楷体_GB2312" w:eastAsia="楷体_GB2312"/>
          <w:b/>
          <w:sz w:val="32"/>
          <w:szCs w:val="32"/>
        </w:rPr>
        <w:t>（二）一般公共预算财政拨款支出决算结构情况</w:t>
      </w:r>
      <w:bookmarkEnd w:id="42"/>
      <w:bookmarkEnd w:id="43"/>
    </w:p>
    <w:p>
      <w:pPr>
        <w:snapToGrid w:val="0"/>
        <w:spacing w:line="560" w:lineRule="exact"/>
        <w:ind w:firstLine="640" w:firstLineChars="200"/>
        <w:rPr>
          <w:rFonts w:eastAsia="仿宋_GB2312"/>
        </w:rPr>
      </w:pPr>
      <w:r>
        <w:rPr>
          <w:rFonts w:eastAsia="仿宋_GB2312"/>
          <w:sz w:val="32"/>
          <w:szCs w:val="32"/>
        </w:rPr>
        <w:t>2023年度一般公共预算财政拨款支出297.74万元，主要用于以下方面:</w:t>
      </w:r>
      <w:r>
        <w:rPr>
          <w:rFonts w:eastAsia="仿宋_GB2312"/>
          <w:color w:val="000000"/>
          <w:sz w:val="32"/>
          <w:szCs w:val="32"/>
        </w:rPr>
        <w:t xml:space="preserve"> 一般公共服务支出252.43万元，占84.78%；社会保障和就业支出22.56万元，占7.58%；卫生健康支出7.18万元，占2.41%；住房保障支出15.57万元，占5.23%，</w:t>
      </w:r>
      <w:r>
        <w:rPr>
          <w:rStyle w:val="15"/>
          <w:rFonts w:eastAsia="仿宋_GB2312"/>
          <w:b w:val="0"/>
          <w:color w:val="000000"/>
          <w:sz w:val="32"/>
          <w:szCs w:val="32"/>
        </w:rPr>
        <w:t>（如图6）。</w:t>
      </w:r>
    </w:p>
    <w:p>
      <w:pPr>
        <w:spacing w:line="560" w:lineRule="exact"/>
        <w:ind w:firstLine="640"/>
        <w:rPr>
          <w:rFonts w:eastAsia="仿宋_GB2312"/>
          <w:color w:val="000000"/>
          <w:sz w:val="32"/>
          <w:szCs w:val="32"/>
        </w:rPr>
      </w:pPr>
      <w:r>
        <w:rPr>
          <w:rFonts w:eastAsia="仿宋_GB2312"/>
          <w:color w:val="000000"/>
          <w:sz w:val="32"/>
          <w:szCs w:val="32"/>
        </w:rPr>
        <w:drawing>
          <wp:anchor distT="0" distB="0" distL="114300" distR="114300" simplePos="0" relativeHeight="251663360" behindDoc="0" locked="0" layoutInCell="1" allowOverlap="1">
            <wp:simplePos x="0" y="0"/>
            <wp:positionH relativeFrom="column">
              <wp:posOffset>114300</wp:posOffset>
            </wp:positionH>
            <wp:positionV relativeFrom="paragraph">
              <wp:posOffset>276860</wp:posOffset>
            </wp:positionV>
            <wp:extent cx="5143500" cy="2552700"/>
            <wp:effectExtent l="19050" t="19050" r="19050" b="19050"/>
            <wp:wrapNone/>
            <wp:docPr id="30" name="图表 11"/>
            <wp:cNvGraphicFramePr/>
            <a:graphic xmlns:a="http://schemas.openxmlformats.org/drawingml/2006/main">
              <a:graphicData uri="http://schemas.openxmlformats.org/drawingml/2006/picture">
                <pic:pic xmlns:pic="http://schemas.openxmlformats.org/drawingml/2006/picture">
                  <pic:nvPicPr>
                    <pic:cNvPr id="30" name="图表 11"/>
                    <pic:cNvPicPr>
                      <a:picLocks noChangeArrowheads="1"/>
                    </pic:cNvPicPr>
                  </pic:nvPicPr>
                  <pic:blipFill>
                    <a:blip r:embed="rId15"/>
                    <a:srcRect b="-110"/>
                    <a:stretch>
                      <a:fillRect/>
                    </a:stretch>
                  </pic:blipFill>
                  <pic:spPr>
                    <a:xfrm>
                      <a:off x="0" y="0"/>
                      <a:ext cx="5143500" cy="2552700"/>
                    </a:xfrm>
                    <a:prstGeom prst="rect">
                      <a:avLst/>
                    </a:prstGeom>
                    <a:noFill/>
                    <a:ln w="9525">
                      <a:solidFill>
                        <a:srgbClr val="000000"/>
                      </a:solidFill>
                      <a:miter lim="800000"/>
                      <a:headEnd/>
                      <a:tailEnd/>
                    </a:ln>
                  </pic:spPr>
                </pic:pic>
              </a:graphicData>
            </a:graphic>
          </wp:anchor>
        </w:drawing>
      </w:r>
    </w:p>
    <w:p>
      <w:pPr>
        <w:pStyle w:val="2"/>
        <w:spacing w:line="560" w:lineRule="exact"/>
        <w:rPr>
          <w:rFonts w:ascii="Times New Roman" w:hAnsi="Times New Roman"/>
        </w:rPr>
      </w:pPr>
    </w:p>
    <w:p>
      <w:pPr>
        <w:spacing w:line="560" w:lineRule="exact"/>
      </w:pPr>
    </w:p>
    <w:p>
      <w:pPr>
        <w:pStyle w:val="2"/>
        <w:spacing w:line="560" w:lineRule="exact"/>
        <w:rPr>
          <w:rFonts w:ascii="Times New Roman" w:hAnsi="Times New Roman"/>
        </w:rPr>
      </w:pPr>
    </w:p>
    <w:p/>
    <w:p>
      <w:pPr>
        <w:pStyle w:val="2"/>
      </w:pPr>
    </w:p>
    <w:p>
      <w:pPr>
        <w:spacing w:line="560" w:lineRule="exact"/>
        <w:ind w:firstLine="960" w:firstLineChars="300"/>
        <w:rPr>
          <w:rFonts w:eastAsia="仿宋"/>
          <w:sz w:val="32"/>
          <w:szCs w:val="32"/>
        </w:rPr>
      </w:pPr>
      <w:r>
        <w:rPr>
          <w:rFonts w:hAnsi="仿宋" w:eastAsia="仿宋"/>
          <w:sz w:val="32"/>
          <w:szCs w:val="32"/>
        </w:rPr>
        <w:t>（图</w:t>
      </w:r>
      <w:r>
        <w:rPr>
          <w:rFonts w:eastAsia="仿宋"/>
          <w:sz w:val="32"/>
          <w:szCs w:val="32"/>
        </w:rPr>
        <w:t>6</w:t>
      </w:r>
      <w:r>
        <w:rPr>
          <w:rFonts w:hAnsi="仿宋" w:eastAsia="仿宋"/>
          <w:sz w:val="32"/>
          <w:szCs w:val="32"/>
        </w:rPr>
        <w:t>：一般公共预算财政拨款支出决算结构）</w:t>
      </w:r>
    </w:p>
    <w:p>
      <w:pPr>
        <w:spacing w:line="560" w:lineRule="exact"/>
        <w:ind w:firstLine="642" w:firstLineChars="200"/>
        <w:outlineLvl w:val="2"/>
        <w:rPr>
          <w:rFonts w:ascii="楷体_GB2312" w:eastAsia="楷体_GB2312"/>
          <w:b/>
          <w:sz w:val="32"/>
          <w:szCs w:val="32"/>
        </w:rPr>
      </w:pPr>
      <w:bookmarkStart w:id="44" w:name="_Toc177484449"/>
      <w:bookmarkStart w:id="45" w:name="_Toc15377212"/>
      <w:r>
        <w:rPr>
          <w:rFonts w:ascii="楷体_GB2312" w:eastAsia="楷体_GB2312"/>
          <w:b/>
          <w:sz w:val="32"/>
          <w:szCs w:val="32"/>
        </w:rPr>
        <w:t>（三）一般公共预算财政拨款支出决算具体情况</w:t>
      </w:r>
      <w:bookmarkEnd w:id="44"/>
      <w:bookmarkEnd w:id="45"/>
    </w:p>
    <w:p>
      <w:pPr>
        <w:spacing w:line="560" w:lineRule="exact"/>
        <w:ind w:firstLine="640" w:firstLineChars="200"/>
        <w:outlineLvl w:val="2"/>
        <w:rPr>
          <w:rFonts w:eastAsia="仿宋_GB2312"/>
          <w:sz w:val="32"/>
          <w:szCs w:val="32"/>
        </w:rPr>
      </w:pPr>
      <w:bookmarkStart w:id="46" w:name="_Toc177484450"/>
      <w:bookmarkStart w:id="47" w:name="_Toc15377444"/>
      <w:bookmarkStart w:id="48" w:name="_Toc15378460"/>
      <w:bookmarkStart w:id="49" w:name="_Toc15377213"/>
      <w:r>
        <w:rPr>
          <w:rFonts w:eastAsia="仿宋_GB2312"/>
          <w:sz w:val="32"/>
          <w:szCs w:val="32"/>
        </w:rPr>
        <w:t>2023年度一般公共预算支出决算数为297.74，</w:t>
      </w:r>
      <w:r>
        <w:rPr>
          <w:rStyle w:val="15"/>
          <w:rFonts w:eastAsia="仿宋_GB2312"/>
          <w:b w:val="0"/>
          <w:bCs/>
          <w:sz w:val="32"/>
          <w:szCs w:val="32"/>
        </w:rPr>
        <w:t>完成预算100%。其中：</w:t>
      </w:r>
      <w:bookmarkEnd w:id="46"/>
      <w:bookmarkEnd w:id="47"/>
      <w:bookmarkEnd w:id="48"/>
      <w:bookmarkEnd w:id="49"/>
    </w:p>
    <w:p>
      <w:pPr>
        <w:spacing w:line="560" w:lineRule="exact"/>
        <w:ind w:firstLine="640" w:firstLineChars="200"/>
        <w:rPr>
          <w:rStyle w:val="15"/>
          <w:rFonts w:eastAsia="仿宋_GB2312"/>
          <w:b w:val="0"/>
          <w:bCs/>
          <w:color w:val="000000"/>
          <w:sz w:val="32"/>
          <w:szCs w:val="32"/>
        </w:rPr>
      </w:pPr>
      <w:r>
        <w:rPr>
          <w:rStyle w:val="15"/>
          <w:rFonts w:eastAsia="仿宋_GB2312"/>
          <w:b w:val="0"/>
          <w:bCs/>
          <w:color w:val="000000"/>
          <w:sz w:val="32"/>
          <w:szCs w:val="32"/>
        </w:rPr>
        <w:t>1.</w:t>
      </w:r>
      <w:r>
        <w:rPr>
          <w:rStyle w:val="15"/>
          <w:rFonts w:eastAsia="仿宋_GB2312"/>
          <w:b w:val="0"/>
          <w:color w:val="000000"/>
          <w:sz w:val="32"/>
          <w:szCs w:val="32"/>
        </w:rPr>
        <w:t>一般公共服务（类）</w:t>
      </w:r>
      <w:r>
        <w:rPr>
          <w:rStyle w:val="15"/>
          <w:rFonts w:eastAsia="仿宋_GB2312"/>
          <w:b w:val="0"/>
          <w:sz w:val="32"/>
          <w:szCs w:val="32"/>
        </w:rPr>
        <w:t>政府办公厅（室）及相关机构事务</w:t>
      </w:r>
      <w:r>
        <w:rPr>
          <w:rStyle w:val="15"/>
          <w:rFonts w:eastAsia="仿宋_GB2312"/>
          <w:b w:val="0"/>
          <w:color w:val="000000"/>
          <w:sz w:val="32"/>
          <w:szCs w:val="32"/>
        </w:rPr>
        <w:t>（款）行政运行（项）</w:t>
      </w:r>
      <w:r>
        <w:rPr>
          <w:rStyle w:val="15"/>
          <w:rFonts w:eastAsia="仿宋_GB2312"/>
          <w:b w:val="0"/>
          <w:bCs/>
          <w:color w:val="000000"/>
          <w:sz w:val="32"/>
          <w:szCs w:val="32"/>
        </w:rPr>
        <w:t>: 支出决算为</w:t>
      </w:r>
      <w:r>
        <w:rPr>
          <w:rFonts w:eastAsia="仿宋_GB2312"/>
          <w:sz w:val="32"/>
          <w:szCs w:val="32"/>
        </w:rPr>
        <w:t>96.87</w:t>
      </w:r>
      <w:r>
        <w:rPr>
          <w:rStyle w:val="15"/>
          <w:rFonts w:eastAsia="仿宋_GB2312"/>
          <w:b w:val="0"/>
          <w:bCs/>
          <w:color w:val="000000"/>
          <w:sz w:val="32"/>
          <w:szCs w:val="32"/>
        </w:rPr>
        <w:t>万元，完成预算100%，决算数与预算数一致；</w:t>
      </w:r>
      <w:r>
        <w:rPr>
          <w:rStyle w:val="15"/>
          <w:rFonts w:eastAsia="仿宋_GB2312"/>
          <w:b w:val="0"/>
          <w:color w:val="000000"/>
          <w:sz w:val="32"/>
          <w:szCs w:val="32"/>
        </w:rPr>
        <w:t>一般公共服务（类）</w:t>
      </w:r>
      <w:r>
        <w:rPr>
          <w:rStyle w:val="15"/>
          <w:rFonts w:eastAsia="仿宋_GB2312"/>
          <w:b w:val="0"/>
          <w:sz w:val="32"/>
          <w:szCs w:val="32"/>
        </w:rPr>
        <w:t>政府办公厅（室）及相关机构事务</w:t>
      </w:r>
      <w:r>
        <w:rPr>
          <w:rStyle w:val="15"/>
          <w:rFonts w:eastAsia="仿宋_GB2312"/>
          <w:b w:val="0"/>
          <w:color w:val="000000"/>
          <w:sz w:val="32"/>
          <w:szCs w:val="32"/>
        </w:rPr>
        <w:t>（款）信访事务（项）</w:t>
      </w:r>
      <w:r>
        <w:rPr>
          <w:rStyle w:val="15"/>
          <w:rFonts w:eastAsia="仿宋_GB2312"/>
          <w:b w:val="0"/>
          <w:bCs/>
          <w:color w:val="000000"/>
          <w:sz w:val="32"/>
          <w:szCs w:val="32"/>
        </w:rPr>
        <w:t>: 支出决算为</w:t>
      </w:r>
      <w:r>
        <w:rPr>
          <w:rFonts w:eastAsia="仿宋_GB2312"/>
          <w:sz w:val="32"/>
          <w:szCs w:val="32"/>
        </w:rPr>
        <w:t>96.82</w:t>
      </w:r>
      <w:r>
        <w:rPr>
          <w:rStyle w:val="15"/>
          <w:rFonts w:eastAsia="仿宋_GB2312"/>
          <w:b w:val="0"/>
          <w:bCs/>
          <w:color w:val="000000"/>
          <w:sz w:val="32"/>
          <w:szCs w:val="32"/>
        </w:rPr>
        <w:t>万元，完成预算100%，决算数与预算数一致；</w:t>
      </w:r>
      <w:r>
        <w:rPr>
          <w:rStyle w:val="15"/>
          <w:rFonts w:eastAsia="仿宋_GB2312"/>
          <w:b w:val="0"/>
          <w:color w:val="000000"/>
          <w:sz w:val="32"/>
          <w:szCs w:val="32"/>
        </w:rPr>
        <w:t>一般公共服务（类）</w:t>
      </w:r>
      <w:r>
        <w:rPr>
          <w:rStyle w:val="15"/>
          <w:rFonts w:eastAsia="仿宋_GB2312"/>
          <w:b w:val="0"/>
          <w:sz w:val="32"/>
          <w:szCs w:val="32"/>
        </w:rPr>
        <w:t>政府办公厅（室）及相关机构事务</w:t>
      </w:r>
      <w:r>
        <w:rPr>
          <w:rStyle w:val="15"/>
          <w:rFonts w:eastAsia="仿宋_GB2312"/>
          <w:b w:val="0"/>
          <w:color w:val="000000"/>
          <w:sz w:val="32"/>
          <w:szCs w:val="32"/>
        </w:rPr>
        <w:t>（款）事业运行（项）</w:t>
      </w:r>
      <w:r>
        <w:rPr>
          <w:rStyle w:val="15"/>
          <w:rFonts w:eastAsia="仿宋_GB2312"/>
          <w:b w:val="0"/>
          <w:bCs/>
          <w:color w:val="000000"/>
          <w:sz w:val="32"/>
          <w:szCs w:val="32"/>
        </w:rPr>
        <w:t>: 支出决算为</w:t>
      </w:r>
      <w:r>
        <w:rPr>
          <w:rFonts w:eastAsia="仿宋_GB2312"/>
          <w:sz w:val="32"/>
          <w:szCs w:val="32"/>
        </w:rPr>
        <w:t>58.74</w:t>
      </w:r>
      <w:r>
        <w:rPr>
          <w:rStyle w:val="15"/>
          <w:rFonts w:eastAsia="仿宋_GB2312"/>
          <w:b w:val="0"/>
          <w:bCs/>
          <w:color w:val="000000"/>
          <w:sz w:val="32"/>
          <w:szCs w:val="32"/>
        </w:rPr>
        <w:t>万元，完成预算100%，决算数与预算数一致</w:t>
      </w:r>
      <w:r>
        <w:rPr>
          <w:rStyle w:val="15"/>
          <w:rFonts w:hint="eastAsia" w:eastAsia="仿宋_GB2312"/>
          <w:b w:val="0"/>
          <w:bCs/>
          <w:color w:val="000000"/>
          <w:sz w:val="32"/>
          <w:szCs w:val="32"/>
        </w:rPr>
        <w:t>。</w:t>
      </w:r>
    </w:p>
    <w:p>
      <w:pPr>
        <w:spacing w:line="560" w:lineRule="exact"/>
        <w:ind w:firstLine="640" w:firstLineChars="200"/>
        <w:rPr>
          <w:rFonts w:eastAsia="仿宋_GB2312"/>
          <w:color w:val="000000"/>
          <w:sz w:val="32"/>
          <w:szCs w:val="32"/>
        </w:rPr>
      </w:pPr>
      <w:r>
        <w:rPr>
          <w:rStyle w:val="15"/>
          <w:rFonts w:eastAsia="仿宋_GB2312"/>
          <w:b w:val="0"/>
          <w:bCs/>
          <w:color w:val="000000"/>
          <w:sz w:val="32"/>
          <w:szCs w:val="32"/>
        </w:rPr>
        <w:t>2.</w:t>
      </w:r>
      <w:r>
        <w:rPr>
          <w:rStyle w:val="15"/>
          <w:rFonts w:eastAsia="仿宋_GB2312"/>
          <w:b w:val="0"/>
          <w:color w:val="000000"/>
          <w:sz w:val="32"/>
          <w:szCs w:val="32"/>
        </w:rPr>
        <w:t>社会保障和就业（类）</w:t>
      </w:r>
      <w:r>
        <w:rPr>
          <w:rStyle w:val="15"/>
          <w:rFonts w:eastAsia="仿宋_GB2312"/>
          <w:b w:val="0"/>
          <w:sz w:val="32"/>
          <w:szCs w:val="32"/>
        </w:rPr>
        <w:t>行政事业单位养老支出</w:t>
      </w:r>
      <w:r>
        <w:rPr>
          <w:rStyle w:val="15"/>
          <w:rFonts w:eastAsia="仿宋_GB2312"/>
          <w:b w:val="0"/>
          <w:color w:val="000000"/>
          <w:sz w:val="32"/>
          <w:szCs w:val="32"/>
        </w:rPr>
        <w:t>（款）</w:t>
      </w:r>
      <w:r>
        <w:rPr>
          <w:rStyle w:val="15"/>
          <w:rFonts w:eastAsia="仿宋_GB2312"/>
          <w:b w:val="0"/>
          <w:sz w:val="32"/>
          <w:szCs w:val="32"/>
        </w:rPr>
        <w:t>机关事业单位基本养老保险缴费支出</w:t>
      </w:r>
      <w:r>
        <w:rPr>
          <w:rStyle w:val="15"/>
          <w:rFonts w:eastAsia="仿宋_GB2312"/>
          <w:b w:val="0"/>
          <w:color w:val="000000"/>
          <w:sz w:val="32"/>
          <w:szCs w:val="32"/>
        </w:rPr>
        <w:t>（项）</w:t>
      </w:r>
      <w:r>
        <w:rPr>
          <w:rStyle w:val="15"/>
          <w:rFonts w:eastAsia="仿宋_GB2312"/>
          <w:b w:val="0"/>
          <w:bCs/>
          <w:color w:val="000000"/>
          <w:sz w:val="32"/>
          <w:szCs w:val="32"/>
        </w:rPr>
        <w:t>: 支出决算为</w:t>
      </w:r>
      <w:r>
        <w:rPr>
          <w:rFonts w:eastAsia="仿宋_GB2312"/>
          <w:sz w:val="32"/>
          <w:szCs w:val="32"/>
        </w:rPr>
        <w:t>18.64</w:t>
      </w:r>
      <w:r>
        <w:rPr>
          <w:rStyle w:val="15"/>
          <w:rFonts w:eastAsia="仿宋_GB2312"/>
          <w:b w:val="0"/>
          <w:bCs/>
          <w:color w:val="000000"/>
          <w:sz w:val="32"/>
          <w:szCs w:val="32"/>
        </w:rPr>
        <w:t>万元，完成预算100%，决算数与预算数一致；</w:t>
      </w:r>
      <w:r>
        <w:rPr>
          <w:rStyle w:val="15"/>
          <w:rFonts w:eastAsia="仿宋_GB2312"/>
          <w:b w:val="0"/>
          <w:color w:val="000000"/>
          <w:sz w:val="32"/>
          <w:szCs w:val="32"/>
        </w:rPr>
        <w:t>社会保障和就业（类）</w:t>
      </w:r>
      <w:r>
        <w:rPr>
          <w:rStyle w:val="15"/>
          <w:rFonts w:eastAsia="仿宋_GB2312"/>
          <w:b w:val="0"/>
          <w:sz w:val="32"/>
          <w:szCs w:val="32"/>
        </w:rPr>
        <w:t>行政事业单位养老支出</w:t>
      </w:r>
      <w:r>
        <w:rPr>
          <w:rStyle w:val="15"/>
          <w:rFonts w:eastAsia="仿宋_GB2312"/>
          <w:b w:val="0"/>
          <w:color w:val="000000"/>
          <w:sz w:val="32"/>
          <w:szCs w:val="32"/>
        </w:rPr>
        <w:t>（款）</w:t>
      </w:r>
      <w:r>
        <w:rPr>
          <w:rStyle w:val="15"/>
          <w:rFonts w:eastAsia="仿宋_GB2312"/>
          <w:b w:val="0"/>
          <w:sz w:val="32"/>
          <w:szCs w:val="32"/>
        </w:rPr>
        <w:t>其他行政事业单位养老支出</w:t>
      </w:r>
      <w:r>
        <w:rPr>
          <w:rStyle w:val="15"/>
          <w:rFonts w:eastAsia="仿宋_GB2312"/>
          <w:b w:val="0"/>
          <w:color w:val="000000"/>
          <w:sz w:val="32"/>
          <w:szCs w:val="32"/>
        </w:rPr>
        <w:t>（项）</w:t>
      </w:r>
      <w:r>
        <w:rPr>
          <w:rStyle w:val="15"/>
          <w:rFonts w:eastAsia="仿宋_GB2312"/>
          <w:b w:val="0"/>
          <w:bCs/>
          <w:color w:val="000000"/>
          <w:sz w:val="32"/>
          <w:szCs w:val="32"/>
        </w:rPr>
        <w:t>: 支出决算为</w:t>
      </w:r>
      <w:r>
        <w:rPr>
          <w:rFonts w:eastAsia="仿宋_GB2312"/>
          <w:sz w:val="32"/>
          <w:szCs w:val="32"/>
        </w:rPr>
        <w:t>2.28</w:t>
      </w:r>
      <w:r>
        <w:rPr>
          <w:rStyle w:val="15"/>
          <w:rFonts w:eastAsia="仿宋_GB2312"/>
          <w:b w:val="0"/>
          <w:bCs/>
          <w:color w:val="000000"/>
          <w:sz w:val="32"/>
          <w:szCs w:val="32"/>
        </w:rPr>
        <w:t>万元，完成预算100%，决算数与预算数一致；</w:t>
      </w:r>
      <w:r>
        <w:rPr>
          <w:rStyle w:val="15"/>
          <w:rFonts w:eastAsia="仿宋_GB2312"/>
          <w:b w:val="0"/>
          <w:color w:val="000000"/>
          <w:sz w:val="32"/>
          <w:szCs w:val="32"/>
        </w:rPr>
        <w:t>社会保障和就业（类）</w:t>
      </w:r>
      <w:r>
        <w:rPr>
          <w:rStyle w:val="15"/>
          <w:rFonts w:eastAsia="仿宋_GB2312"/>
          <w:b w:val="0"/>
          <w:sz w:val="32"/>
          <w:szCs w:val="32"/>
        </w:rPr>
        <w:t>其他社会保障和就业支出</w:t>
      </w:r>
      <w:r>
        <w:rPr>
          <w:rStyle w:val="15"/>
          <w:rFonts w:eastAsia="仿宋_GB2312"/>
          <w:b w:val="0"/>
          <w:color w:val="000000"/>
          <w:sz w:val="32"/>
          <w:szCs w:val="32"/>
        </w:rPr>
        <w:t>（款）</w:t>
      </w:r>
      <w:r>
        <w:rPr>
          <w:rStyle w:val="15"/>
          <w:rFonts w:eastAsia="仿宋_GB2312"/>
          <w:b w:val="0"/>
          <w:sz w:val="32"/>
          <w:szCs w:val="32"/>
        </w:rPr>
        <w:t>其他社会保障和就业支出</w:t>
      </w:r>
      <w:r>
        <w:rPr>
          <w:rStyle w:val="15"/>
          <w:rFonts w:eastAsia="仿宋_GB2312"/>
          <w:b w:val="0"/>
          <w:color w:val="000000"/>
          <w:sz w:val="32"/>
          <w:szCs w:val="32"/>
        </w:rPr>
        <w:t>（项）</w:t>
      </w:r>
      <w:r>
        <w:rPr>
          <w:rStyle w:val="15"/>
          <w:rFonts w:eastAsia="仿宋_GB2312"/>
          <w:b w:val="0"/>
          <w:bCs/>
          <w:color w:val="000000"/>
          <w:sz w:val="32"/>
          <w:szCs w:val="32"/>
        </w:rPr>
        <w:t>: 支出决算为</w:t>
      </w:r>
      <w:r>
        <w:rPr>
          <w:rFonts w:eastAsia="仿宋_GB2312"/>
          <w:sz w:val="32"/>
          <w:szCs w:val="32"/>
        </w:rPr>
        <w:t>1.64</w:t>
      </w:r>
      <w:r>
        <w:rPr>
          <w:rStyle w:val="15"/>
          <w:rFonts w:eastAsia="仿宋_GB2312"/>
          <w:b w:val="0"/>
          <w:bCs/>
          <w:color w:val="000000"/>
          <w:sz w:val="32"/>
          <w:szCs w:val="32"/>
        </w:rPr>
        <w:t>万元，完成预算100%，决算数与预算数一致</w:t>
      </w:r>
      <w:r>
        <w:rPr>
          <w:rStyle w:val="15"/>
          <w:rFonts w:hint="eastAsia" w:eastAsia="仿宋_GB2312"/>
          <w:b w:val="0"/>
          <w:bCs/>
          <w:color w:val="000000"/>
          <w:sz w:val="32"/>
          <w:szCs w:val="32"/>
        </w:rPr>
        <w:t>。</w:t>
      </w:r>
    </w:p>
    <w:p>
      <w:pPr>
        <w:spacing w:line="560" w:lineRule="exact"/>
        <w:ind w:firstLine="640" w:firstLineChars="200"/>
        <w:rPr>
          <w:rFonts w:eastAsia="仿宋_GB2312"/>
          <w:color w:val="000000"/>
          <w:sz w:val="32"/>
          <w:szCs w:val="32"/>
        </w:rPr>
      </w:pPr>
      <w:r>
        <w:rPr>
          <w:rStyle w:val="15"/>
          <w:rFonts w:eastAsia="仿宋_GB2312"/>
          <w:b w:val="0"/>
          <w:color w:val="000000"/>
          <w:sz w:val="32"/>
          <w:szCs w:val="32"/>
        </w:rPr>
        <w:t>3.</w:t>
      </w:r>
      <w:r>
        <w:rPr>
          <w:rFonts w:eastAsia="仿宋_GB2312"/>
          <w:bCs/>
          <w:sz w:val="32"/>
          <w:szCs w:val="32"/>
        </w:rPr>
        <w:t>卫生健康</w:t>
      </w:r>
      <w:r>
        <w:rPr>
          <w:rStyle w:val="15"/>
          <w:rFonts w:eastAsia="仿宋_GB2312"/>
          <w:b w:val="0"/>
          <w:color w:val="000000"/>
          <w:sz w:val="32"/>
          <w:szCs w:val="32"/>
        </w:rPr>
        <w:t>（类）行政事业单位医疗（款）行政单位医疗（项）:</w:t>
      </w:r>
      <w:r>
        <w:rPr>
          <w:rStyle w:val="15"/>
          <w:rFonts w:eastAsia="仿宋_GB2312"/>
          <w:b w:val="0"/>
          <w:bCs/>
          <w:color w:val="000000"/>
          <w:sz w:val="32"/>
          <w:szCs w:val="32"/>
        </w:rPr>
        <w:t xml:space="preserve"> 支出决算为4.34万元，完成预算100%，决算数与预算数一致；</w:t>
      </w:r>
      <w:r>
        <w:rPr>
          <w:rFonts w:eastAsia="仿宋_GB2312"/>
          <w:bCs/>
          <w:sz w:val="32"/>
          <w:szCs w:val="32"/>
        </w:rPr>
        <w:t>卫生健康</w:t>
      </w:r>
      <w:r>
        <w:rPr>
          <w:rStyle w:val="15"/>
          <w:rFonts w:eastAsia="仿宋_GB2312"/>
          <w:b w:val="0"/>
          <w:color w:val="000000"/>
          <w:sz w:val="32"/>
          <w:szCs w:val="32"/>
        </w:rPr>
        <w:t>（类）行政事业单位医疗（款）事业单位医疗（项）:</w:t>
      </w:r>
      <w:r>
        <w:rPr>
          <w:rStyle w:val="15"/>
          <w:rFonts w:eastAsia="仿宋_GB2312"/>
          <w:b w:val="0"/>
          <w:bCs/>
          <w:color w:val="000000"/>
          <w:sz w:val="32"/>
          <w:szCs w:val="32"/>
        </w:rPr>
        <w:t xml:space="preserve"> 支出决算为2.84万元，完成预算100%，决算数与预算数一致。</w:t>
      </w:r>
    </w:p>
    <w:p>
      <w:pPr>
        <w:spacing w:line="560" w:lineRule="exact"/>
        <w:ind w:firstLine="640" w:firstLineChars="200"/>
        <w:rPr>
          <w:rFonts w:eastAsia="仿宋_GB2312"/>
          <w:color w:val="000000"/>
          <w:sz w:val="32"/>
          <w:szCs w:val="32"/>
        </w:rPr>
      </w:pPr>
      <w:r>
        <w:rPr>
          <w:rStyle w:val="15"/>
          <w:rFonts w:eastAsia="仿宋_GB2312"/>
          <w:b w:val="0"/>
          <w:color w:val="000000"/>
          <w:sz w:val="32"/>
          <w:szCs w:val="32"/>
        </w:rPr>
        <w:t>4.住房保障支出（类）</w:t>
      </w:r>
      <w:r>
        <w:rPr>
          <w:rStyle w:val="15"/>
          <w:rFonts w:eastAsia="仿宋_GB2312"/>
          <w:b w:val="0"/>
          <w:sz w:val="32"/>
          <w:szCs w:val="32"/>
        </w:rPr>
        <w:t>住房改革支出</w:t>
      </w:r>
      <w:r>
        <w:rPr>
          <w:rStyle w:val="15"/>
          <w:rFonts w:eastAsia="仿宋_GB2312"/>
          <w:b w:val="0"/>
          <w:color w:val="000000"/>
          <w:sz w:val="32"/>
          <w:szCs w:val="32"/>
        </w:rPr>
        <w:t>（款）</w:t>
      </w:r>
      <w:r>
        <w:rPr>
          <w:rStyle w:val="15"/>
          <w:rFonts w:eastAsia="仿宋_GB2312"/>
          <w:b w:val="0"/>
          <w:sz w:val="32"/>
          <w:szCs w:val="32"/>
        </w:rPr>
        <w:t>住房公积金</w:t>
      </w:r>
      <w:r>
        <w:rPr>
          <w:rStyle w:val="15"/>
          <w:rFonts w:eastAsia="仿宋_GB2312"/>
          <w:b w:val="0"/>
          <w:color w:val="000000"/>
          <w:sz w:val="32"/>
          <w:szCs w:val="32"/>
        </w:rPr>
        <w:t>（项）:</w:t>
      </w:r>
      <w:r>
        <w:rPr>
          <w:rStyle w:val="15"/>
          <w:rFonts w:eastAsia="仿宋_GB2312"/>
          <w:b w:val="0"/>
          <w:bCs/>
          <w:color w:val="000000"/>
          <w:sz w:val="32"/>
          <w:szCs w:val="32"/>
        </w:rPr>
        <w:t>支出决算为15.57万元，完成预算100%，决算数与预算数一致。</w:t>
      </w:r>
    </w:p>
    <w:p>
      <w:pPr>
        <w:tabs>
          <w:tab w:val="right" w:pos="8306"/>
        </w:tabs>
        <w:spacing w:line="560" w:lineRule="exact"/>
        <w:ind w:firstLine="640"/>
        <w:outlineLvl w:val="1"/>
        <w:rPr>
          <w:rStyle w:val="18"/>
          <w:rFonts w:ascii="Times New Roman" w:hAnsi="Times New Roman" w:cs="Times New Roman"/>
          <w:b w:val="0"/>
        </w:rPr>
      </w:pPr>
      <w:bookmarkStart w:id="50" w:name="_Toc15396608"/>
      <w:bookmarkStart w:id="51" w:name="_Toc15377214"/>
      <w:bookmarkStart w:id="52" w:name="_Toc177484451"/>
      <w:r>
        <w:rPr>
          <w:rFonts w:eastAsia="黑体"/>
          <w:sz w:val="32"/>
          <w:szCs w:val="32"/>
        </w:rPr>
        <w:t>六</w:t>
      </w:r>
      <w:r>
        <w:rPr>
          <w:rFonts w:eastAsia="黑体"/>
          <w:b/>
          <w:sz w:val="32"/>
          <w:szCs w:val="32"/>
        </w:rPr>
        <w:t>、</w:t>
      </w:r>
      <w:r>
        <w:rPr>
          <w:rStyle w:val="18"/>
          <w:rFonts w:ascii="Times New Roman" w:hAnsi="黑体" w:eastAsia="黑体" w:cs="Times New Roman"/>
          <w:b w:val="0"/>
        </w:rPr>
        <w:t>一般公共预算财政拨款基本支出决算情况说明</w:t>
      </w:r>
      <w:bookmarkEnd w:id="50"/>
      <w:bookmarkEnd w:id="51"/>
      <w:bookmarkEnd w:id="52"/>
      <w:r>
        <w:rPr>
          <w:rStyle w:val="18"/>
          <w:rFonts w:ascii="Times New Roman" w:hAnsi="Times New Roman" w:eastAsia="黑体" w:cs="Times New Roman"/>
          <w:b w:val="0"/>
        </w:rPr>
        <w:tab/>
      </w:r>
    </w:p>
    <w:p>
      <w:pPr>
        <w:spacing w:line="560" w:lineRule="exact"/>
        <w:ind w:firstLine="645"/>
        <w:rPr>
          <w:rFonts w:eastAsia="仿宋"/>
          <w:sz w:val="32"/>
          <w:szCs w:val="32"/>
        </w:rPr>
      </w:pPr>
      <w:r>
        <w:rPr>
          <w:rFonts w:eastAsia="仿宋"/>
          <w:sz w:val="32"/>
          <w:szCs w:val="32"/>
        </w:rPr>
        <w:t>2023</w:t>
      </w:r>
      <w:r>
        <w:rPr>
          <w:rFonts w:hAnsi="仿宋" w:eastAsia="仿宋"/>
          <w:sz w:val="32"/>
          <w:szCs w:val="32"/>
        </w:rPr>
        <w:t>年度一般公共预算财政拨款基本支出</w:t>
      </w:r>
      <w:r>
        <w:rPr>
          <w:sz w:val="32"/>
          <w:szCs w:val="32"/>
        </w:rPr>
        <w:t>200.92</w:t>
      </w:r>
      <w:r>
        <w:rPr>
          <w:rFonts w:hAnsi="仿宋" w:eastAsia="仿宋"/>
          <w:sz w:val="32"/>
          <w:szCs w:val="32"/>
        </w:rPr>
        <w:t>万元，其中：</w:t>
      </w:r>
    </w:p>
    <w:p>
      <w:pPr>
        <w:spacing w:line="560" w:lineRule="exact"/>
        <w:ind w:firstLine="640" w:firstLineChars="200"/>
        <w:rPr>
          <w:rFonts w:eastAsia="仿宋_GB2312"/>
          <w:color w:val="000000"/>
          <w:sz w:val="32"/>
          <w:szCs w:val="32"/>
        </w:rPr>
      </w:pPr>
      <w:r>
        <w:rPr>
          <w:rFonts w:eastAsia="仿宋_GB2312"/>
          <w:color w:val="000000"/>
          <w:sz w:val="32"/>
          <w:szCs w:val="32"/>
        </w:rPr>
        <w:t>人员经费183.20万元，主要包括：基本工资、津贴补贴、奖金、绩效工资、机关事业单位基本养老保险缴费、职业年金缴费、其他社会保障缴费、其他工资福利支出、生活补助、医疗费、奖励金、住房公积金、其他对个人和家庭的补助支出等。</w:t>
      </w:r>
    </w:p>
    <w:p>
      <w:pPr>
        <w:spacing w:line="560" w:lineRule="exact"/>
        <w:ind w:firstLine="645"/>
        <w:rPr>
          <w:rFonts w:eastAsia="仿宋_GB2312"/>
          <w:color w:val="000000"/>
          <w:sz w:val="32"/>
          <w:szCs w:val="32"/>
        </w:rPr>
      </w:pPr>
      <w:r>
        <w:rPr>
          <w:rFonts w:eastAsia="仿宋_GB2312"/>
          <w:color w:val="000000"/>
          <w:sz w:val="32"/>
          <w:szCs w:val="32"/>
        </w:rPr>
        <w:t>公用经费17.72万元，主要包括：办公费、手续费、水费、电费、邮电费、差旅费、维修（护）费、公务接待费、工会经费、福利费、其他交通费、其他商品和服务支出、办公设备购置、其他资本性支出等。</w:t>
      </w:r>
    </w:p>
    <w:p>
      <w:pPr>
        <w:tabs>
          <w:tab w:val="right" w:pos="8306"/>
        </w:tabs>
        <w:spacing w:line="560" w:lineRule="exact"/>
        <w:ind w:firstLine="640"/>
        <w:outlineLvl w:val="1"/>
        <w:rPr>
          <w:rStyle w:val="18"/>
          <w:rFonts w:ascii="Times New Roman" w:hAnsi="黑体" w:eastAsia="黑体" w:cs="Times New Roman"/>
          <w:b w:val="0"/>
          <w:bCs w:val="0"/>
        </w:rPr>
      </w:pPr>
      <w:bookmarkStart w:id="53" w:name="_Toc177484452"/>
      <w:bookmarkStart w:id="54" w:name="_Toc15396609"/>
      <w:bookmarkStart w:id="55" w:name="_Toc15377215"/>
      <w:r>
        <w:rPr>
          <w:rStyle w:val="18"/>
          <w:rFonts w:hint="eastAsia" w:ascii="Times New Roman" w:hAnsi="黑体" w:eastAsia="黑体" w:cs="Times New Roman"/>
          <w:b w:val="0"/>
        </w:rPr>
        <w:t>七、</w:t>
      </w:r>
      <w:r>
        <w:rPr>
          <w:rStyle w:val="18"/>
          <w:rFonts w:hint="eastAsia" w:ascii="Times New Roman" w:hAnsi="黑体" w:eastAsia="黑体" w:cs="Times New Roman"/>
          <w:b w:val="0"/>
          <w:bCs w:val="0"/>
        </w:rPr>
        <w:t>财政拨款“三公”经费支出决算情况说明</w:t>
      </w:r>
      <w:bookmarkEnd w:id="53"/>
      <w:bookmarkEnd w:id="54"/>
      <w:bookmarkEnd w:id="55"/>
    </w:p>
    <w:p>
      <w:pPr>
        <w:spacing w:line="560" w:lineRule="exact"/>
        <w:ind w:firstLine="640"/>
        <w:outlineLvl w:val="2"/>
        <w:rPr>
          <w:rFonts w:ascii="楷体_GB2312" w:eastAsia="楷体_GB2312"/>
          <w:b/>
          <w:sz w:val="32"/>
          <w:szCs w:val="32"/>
        </w:rPr>
      </w:pPr>
      <w:bookmarkStart w:id="56" w:name="_Toc177484453"/>
      <w:bookmarkStart w:id="57" w:name="_Toc15377216"/>
      <w:r>
        <w:rPr>
          <w:rFonts w:hint="eastAsia" w:ascii="楷体_GB2312" w:hAnsi="仿宋" w:eastAsia="楷体_GB2312"/>
          <w:b/>
          <w:sz w:val="32"/>
          <w:szCs w:val="32"/>
        </w:rPr>
        <w:t>（一）</w:t>
      </w:r>
      <w:r>
        <w:rPr>
          <w:rFonts w:hint="eastAsia" w:ascii="楷体_GB2312" w:eastAsia="楷体_GB2312"/>
          <w:b/>
          <w:sz w:val="32"/>
          <w:szCs w:val="32"/>
        </w:rPr>
        <w:t>“</w:t>
      </w:r>
      <w:r>
        <w:rPr>
          <w:rFonts w:hint="eastAsia" w:ascii="楷体_GB2312" w:hAnsi="仿宋" w:eastAsia="楷体_GB2312"/>
          <w:b/>
          <w:sz w:val="32"/>
          <w:szCs w:val="32"/>
        </w:rPr>
        <w:t>三公</w:t>
      </w:r>
      <w:r>
        <w:rPr>
          <w:rFonts w:hint="eastAsia" w:ascii="楷体_GB2312" w:eastAsia="楷体_GB2312"/>
          <w:b/>
          <w:sz w:val="32"/>
          <w:szCs w:val="32"/>
        </w:rPr>
        <w:t>”</w:t>
      </w:r>
      <w:r>
        <w:rPr>
          <w:rFonts w:hint="eastAsia" w:ascii="楷体_GB2312" w:hAnsi="仿宋" w:eastAsia="楷体_GB2312"/>
          <w:b/>
          <w:sz w:val="32"/>
          <w:szCs w:val="32"/>
        </w:rPr>
        <w:t>经费财政拨款支出决算总体情况说明</w:t>
      </w:r>
      <w:bookmarkEnd w:id="56"/>
      <w:bookmarkEnd w:id="57"/>
    </w:p>
    <w:p>
      <w:pPr>
        <w:snapToGrid w:val="0"/>
        <w:spacing w:line="560" w:lineRule="exact"/>
        <w:ind w:firstLine="800" w:firstLineChars="250"/>
        <w:rPr>
          <w:rFonts w:eastAsia="仿宋_GB2312"/>
          <w:sz w:val="32"/>
          <w:szCs w:val="32"/>
        </w:rPr>
      </w:pPr>
      <w:r>
        <w:rPr>
          <w:rFonts w:eastAsia="仿宋"/>
          <w:sz w:val="32"/>
          <w:szCs w:val="32"/>
        </w:rPr>
        <w:t>2023</w:t>
      </w:r>
      <w:r>
        <w:rPr>
          <w:rFonts w:hAnsi="仿宋" w:eastAsia="仿宋"/>
          <w:sz w:val="32"/>
          <w:szCs w:val="32"/>
        </w:rPr>
        <w:t>年度</w:t>
      </w:r>
      <w:r>
        <w:rPr>
          <w:rFonts w:eastAsia="仿宋"/>
          <w:sz w:val="32"/>
          <w:szCs w:val="32"/>
        </w:rPr>
        <w:t>“</w:t>
      </w:r>
      <w:r>
        <w:rPr>
          <w:rFonts w:hAnsi="仿宋" w:eastAsia="仿宋"/>
          <w:sz w:val="32"/>
          <w:szCs w:val="32"/>
        </w:rPr>
        <w:t>三公</w:t>
      </w:r>
      <w:r>
        <w:rPr>
          <w:rFonts w:eastAsia="仿宋"/>
          <w:sz w:val="32"/>
          <w:szCs w:val="32"/>
        </w:rPr>
        <w:t>”</w:t>
      </w:r>
      <w:r>
        <w:rPr>
          <w:rFonts w:hAnsi="仿宋" w:eastAsia="仿宋"/>
          <w:sz w:val="32"/>
          <w:szCs w:val="32"/>
        </w:rPr>
        <w:t>经费财政拨款支出决算为</w:t>
      </w:r>
      <w:r>
        <w:rPr>
          <w:sz w:val="32"/>
          <w:szCs w:val="32"/>
        </w:rPr>
        <w:t>0.07</w:t>
      </w:r>
      <w:r>
        <w:rPr>
          <w:rFonts w:hAnsi="仿宋" w:eastAsia="仿宋"/>
          <w:sz w:val="32"/>
          <w:szCs w:val="32"/>
        </w:rPr>
        <w:t>万元，完成预算</w:t>
      </w:r>
      <w:r>
        <w:rPr>
          <w:sz w:val="32"/>
          <w:szCs w:val="32"/>
        </w:rPr>
        <w:t>100</w:t>
      </w:r>
      <w:r>
        <w:rPr>
          <w:rFonts w:eastAsia="仿宋"/>
          <w:sz w:val="32"/>
          <w:szCs w:val="32"/>
        </w:rPr>
        <w:t>%</w:t>
      </w:r>
      <w:r>
        <w:rPr>
          <w:rFonts w:hAnsi="仿宋" w:eastAsia="仿宋"/>
          <w:sz w:val="32"/>
          <w:szCs w:val="32"/>
        </w:rPr>
        <w:t>，较上年度减少</w:t>
      </w:r>
      <w:r>
        <w:rPr>
          <w:rFonts w:eastAsia="仿宋"/>
          <w:sz w:val="32"/>
          <w:szCs w:val="32"/>
        </w:rPr>
        <w:t>0.14</w:t>
      </w:r>
      <w:r>
        <w:rPr>
          <w:rFonts w:hAnsi="仿宋" w:eastAsia="仿宋"/>
          <w:sz w:val="32"/>
          <w:szCs w:val="32"/>
        </w:rPr>
        <w:t>万元，下降</w:t>
      </w:r>
      <w:r>
        <w:rPr>
          <w:rFonts w:eastAsia="仿宋"/>
          <w:sz w:val="32"/>
          <w:szCs w:val="32"/>
        </w:rPr>
        <w:t>66.67%</w:t>
      </w:r>
      <w:r>
        <w:rPr>
          <w:rFonts w:hAnsi="仿宋" w:eastAsia="仿宋"/>
          <w:sz w:val="32"/>
          <w:szCs w:val="32"/>
        </w:rPr>
        <w:t>。决算数小于预算数的主要原因是</w:t>
      </w:r>
      <w:r>
        <w:rPr>
          <w:rFonts w:eastAsia="仿宋_GB2312"/>
          <w:sz w:val="32"/>
          <w:szCs w:val="32"/>
        </w:rPr>
        <w:t>严格执行</w:t>
      </w:r>
      <w:r>
        <w:rPr>
          <w:rFonts w:hint="eastAsia" w:eastAsia="仿宋_GB2312"/>
          <w:sz w:val="32"/>
          <w:szCs w:val="32"/>
          <w:lang w:eastAsia="zh-CN"/>
        </w:rPr>
        <w:t>中央八项规定</w:t>
      </w:r>
      <w:r>
        <w:rPr>
          <w:rFonts w:eastAsia="仿宋_GB2312"/>
          <w:sz w:val="32"/>
          <w:szCs w:val="32"/>
        </w:rPr>
        <w:t>和省、市、县“十项规定”，本着厉行节约反对浪费的原则，加强内部财务管理，压缩不必要的开支。</w:t>
      </w:r>
    </w:p>
    <w:p>
      <w:pPr>
        <w:spacing w:line="560" w:lineRule="exact"/>
        <w:ind w:firstLine="640"/>
        <w:outlineLvl w:val="2"/>
        <w:rPr>
          <w:rFonts w:ascii="楷体_GB2312" w:hAnsi="仿宋" w:eastAsia="楷体_GB2312"/>
          <w:b/>
          <w:sz w:val="32"/>
          <w:szCs w:val="32"/>
        </w:rPr>
      </w:pPr>
      <w:bookmarkStart w:id="58" w:name="_Toc177484454"/>
      <w:bookmarkStart w:id="59" w:name="_Toc15377217"/>
      <w:r>
        <w:rPr>
          <w:rFonts w:ascii="楷体_GB2312" w:hAnsi="仿宋" w:eastAsia="楷体_GB2312"/>
          <w:b/>
          <w:sz w:val="32"/>
          <w:szCs w:val="32"/>
        </w:rPr>
        <w:t>（二）“三公”经费财政拨款支出决算具体情况说明</w:t>
      </w:r>
      <w:bookmarkEnd w:id="58"/>
      <w:bookmarkEnd w:id="59"/>
    </w:p>
    <w:p>
      <w:pPr>
        <w:spacing w:line="560" w:lineRule="exact"/>
        <w:ind w:firstLine="640"/>
        <w:rPr>
          <w:rFonts w:hAnsi="仿宋" w:eastAsia="仿宋"/>
          <w:sz w:val="32"/>
          <w:szCs w:val="32"/>
        </w:rPr>
        <w:sectPr>
          <w:footerReference r:id="rId6" w:type="first"/>
          <w:footerReference r:id="rId5" w:type="default"/>
          <w:pgSz w:w="11906" w:h="16838"/>
          <w:pgMar w:top="1440" w:right="1800" w:bottom="1440" w:left="1800" w:header="851" w:footer="992" w:gutter="0"/>
          <w:pgNumType w:fmt="decimal" w:start="1"/>
          <w:cols w:space="425" w:num="1"/>
          <w:docGrid w:type="lines" w:linePitch="312" w:charSpace="0"/>
        </w:sectPr>
      </w:pPr>
      <w:r>
        <w:rPr>
          <w:rFonts w:eastAsia="仿宋"/>
          <w:sz w:val="32"/>
          <w:szCs w:val="32"/>
        </w:rPr>
        <w:t>2023</w:t>
      </w:r>
      <w:r>
        <w:rPr>
          <w:rFonts w:hAnsi="仿宋" w:eastAsia="仿宋"/>
          <w:sz w:val="32"/>
          <w:szCs w:val="32"/>
        </w:rPr>
        <w:t>年度</w:t>
      </w:r>
      <w:r>
        <w:rPr>
          <w:rFonts w:eastAsia="仿宋"/>
          <w:sz w:val="32"/>
          <w:szCs w:val="32"/>
        </w:rPr>
        <w:t>“</w:t>
      </w:r>
      <w:r>
        <w:rPr>
          <w:rFonts w:hAnsi="仿宋" w:eastAsia="仿宋"/>
          <w:sz w:val="32"/>
          <w:szCs w:val="32"/>
        </w:rPr>
        <w:t>三公</w:t>
      </w:r>
      <w:r>
        <w:rPr>
          <w:rFonts w:eastAsia="仿宋"/>
          <w:sz w:val="32"/>
          <w:szCs w:val="32"/>
        </w:rPr>
        <w:t>”</w:t>
      </w:r>
      <w:r>
        <w:rPr>
          <w:rFonts w:hAnsi="仿宋" w:eastAsia="仿宋"/>
          <w:sz w:val="32"/>
          <w:szCs w:val="32"/>
        </w:rPr>
        <w:t>经费财政拨款支出决算中，因公出国</w:t>
      </w:r>
    </w:p>
    <w:p>
      <w:pPr>
        <w:spacing w:line="560" w:lineRule="exact"/>
        <w:ind w:firstLine="640"/>
        <w:rPr>
          <w:rFonts w:eastAsia="仿宋"/>
          <w:sz w:val="32"/>
          <w:szCs w:val="32"/>
        </w:rPr>
      </w:pPr>
      <w:r>
        <w:rPr>
          <w:rFonts w:hAnsi="仿宋" w:eastAsia="仿宋"/>
          <w:sz w:val="32"/>
          <w:szCs w:val="32"/>
        </w:rPr>
        <w:t>（境）费支出决算</w:t>
      </w:r>
      <w:r>
        <w:rPr>
          <w:sz w:val="32"/>
          <w:szCs w:val="32"/>
        </w:rPr>
        <w:t>0</w:t>
      </w:r>
      <w:r>
        <w:rPr>
          <w:rFonts w:hAnsi="仿宋" w:eastAsia="仿宋"/>
          <w:sz w:val="32"/>
          <w:szCs w:val="32"/>
        </w:rPr>
        <w:t>万元，占</w:t>
      </w:r>
      <w:r>
        <w:rPr>
          <w:sz w:val="32"/>
          <w:szCs w:val="32"/>
        </w:rPr>
        <w:t>0</w:t>
      </w:r>
      <w:r>
        <w:rPr>
          <w:rFonts w:eastAsia="仿宋"/>
          <w:sz w:val="32"/>
          <w:szCs w:val="32"/>
        </w:rPr>
        <w:t>%</w:t>
      </w:r>
      <w:r>
        <w:rPr>
          <w:rFonts w:hAnsi="仿宋" w:eastAsia="仿宋"/>
          <w:sz w:val="32"/>
          <w:szCs w:val="32"/>
        </w:rPr>
        <w:t>；公务用车购置及运行维护费支出决算</w:t>
      </w:r>
      <w:r>
        <w:rPr>
          <w:sz w:val="32"/>
          <w:szCs w:val="32"/>
        </w:rPr>
        <w:t>0</w:t>
      </w:r>
      <w:r>
        <w:rPr>
          <w:rFonts w:hAnsi="仿宋" w:eastAsia="仿宋"/>
          <w:sz w:val="32"/>
          <w:szCs w:val="32"/>
        </w:rPr>
        <w:t>万元，占</w:t>
      </w:r>
      <w:r>
        <w:rPr>
          <w:sz w:val="32"/>
          <w:szCs w:val="32"/>
        </w:rPr>
        <w:t>0</w:t>
      </w:r>
      <w:r>
        <w:rPr>
          <w:rFonts w:eastAsia="仿宋"/>
          <w:sz w:val="32"/>
          <w:szCs w:val="32"/>
        </w:rPr>
        <w:t>%</w:t>
      </w:r>
      <w:r>
        <w:rPr>
          <w:rFonts w:hAnsi="仿宋" w:eastAsia="仿宋"/>
          <w:sz w:val="32"/>
          <w:szCs w:val="32"/>
        </w:rPr>
        <w:t>；公务接待费支出决算</w:t>
      </w:r>
      <w:r>
        <w:rPr>
          <w:sz w:val="32"/>
          <w:szCs w:val="32"/>
        </w:rPr>
        <w:t>0.07</w:t>
      </w:r>
      <w:r>
        <w:rPr>
          <w:rFonts w:hAnsi="仿宋" w:eastAsia="仿宋"/>
          <w:sz w:val="32"/>
          <w:szCs w:val="32"/>
        </w:rPr>
        <w:t>万元，占</w:t>
      </w:r>
      <w:r>
        <w:rPr>
          <w:sz w:val="32"/>
          <w:szCs w:val="32"/>
        </w:rPr>
        <w:t>100</w:t>
      </w:r>
      <w:r>
        <w:rPr>
          <w:rFonts w:eastAsia="仿宋"/>
          <w:sz w:val="32"/>
          <w:szCs w:val="32"/>
        </w:rPr>
        <w:t>%</w:t>
      </w:r>
      <w:r>
        <w:rPr>
          <w:rFonts w:hAnsi="仿宋" w:eastAsia="仿宋"/>
          <w:sz w:val="32"/>
          <w:szCs w:val="32"/>
        </w:rPr>
        <w:t>。具体情况如下：</w:t>
      </w:r>
    </w:p>
    <w:p>
      <w:pPr>
        <w:pStyle w:val="2"/>
      </w:pPr>
      <w:r>
        <w:drawing>
          <wp:inline distT="0" distB="0" distL="0" distR="0">
            <wp:extent cx="5038725" cy="2562225"/>
            <wp:effectExtent l="19050" t="0" r="9525" b="0"/>
            <wp:docPr id="6"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spacing w:line="560" w:lineRule="exact"/>
        <w:ind w:firstLine="1280" w:firstLineChars="400"/>
        <w:rPr>
          <w:rFonts w:eastAsia="仿宋"/>
          <w:sz w:val="32"/>
          <w:szCs w:val="32"/>
        </w:rPr>
      </w:pPr>
      <w:r>
        <w:rPr>
          <w:rFonts w:hAnsi="仿宋" w:eastAsia="仿宋"/>
          <w:sz w:val="32"/>
          <w:szCs w:val="32"/>
        </w:rPr>
        <w:t>（图</w:t>
      </w:r>
      <w:r>
        <w:rPr>
          <w:rFonts w:eastAsia="仿宋"/>
          <w:sz w:val="32"/>
          <w:szCs w:val="32"/>
        </w:rPr>
        <w:t>7</w:t>
      </w:r>
      <w:r>
        <w:rPr>
          <w:rFonts w:hAnsi="仿宋" w:eastAsia="仿宋"/>
          <w:sz w:val="32"/>
          <w:szCs w:val="32"/>
        </w:rPr>
        <w:t>：</w:t>
      </w:r>
      <w:r>
        <w:rPr>
          <w:rFonts w:eastAsia="仿宋"/>
          <w:sz w:val="32"/>
          <w:szCs w:val="32"/>
        </w:rPr>
        <w:t>“</w:t>
      </w:r>
      <w:r>
        <w:rPr>
          <w:rFonts w:hAnsi="仿宋" w:eastAsia="仿宋"/>
          <w:sz w:val="32"/>
          <w:szCs w:val="32"/>
        </w:rPr>
        <w:t>三公</w:t>
      </w:r>
      <w:r>
        <w:rPr>
          <w:rFonts w:eastAsia="仿宋"/>
          <w:sz w:val="32"/>
          <w:szCs w:val="32"/>
        </w:rPr>
        <w:t>”</w:t>
      </w:r>
      <w:r>
        <w:rPr>
          <w:rFonts w:hAnsi="仿宋" w:eastAsia="仿宋"/>
          <w:sz w:val="32"/>
          <w:szCs w:val="32"/>
        </w:rPr>
        <w:t>经费财政拨款支出结构）</w:t>
      </w:r>
    </w:p>
    <w:p>
      <w:pPr>
        <w:spacing w:line="560" w:lineRule="exact"/>
        <w:ind w:firstLine="640"/>
        <w:rPr>
          <w:rFonts w:eastAsia="仿宋_GB2312"/>
          <w:sz w:val="32"/>
          <w:szCs w:val="32"/>
        </w:rPr>
      </w:pPr>
      <w:r>
        <w:rPr>
          <w:rFonts w:eastAsia="仿宋_GB2312"/>
          <w:sz w:val="32"/>
          <w:szCs w:val="32"/>
        </w:rPr>
        <w:t>1.因公出国（境）经费支出0万元，</w:t>
      </w:r>
      <w:r>
        <w:rPr>
          <w:rStyle w:val="15"/>
          <w:rFonts w:hint="eastAsia" w:ascii="仿宋_GB2312" w:eastAsia="仿宋_GB2312"/>
          <w:b w:val="0"/>
          <w:bCs/>
          <w:sz w:val="32"/>
          <w:szCs w:val="32"/>
        </w:rPr>
        <w:t>完成预算</w:t>
      </w:r>
      <w:r>
        <w:rPr>
          <w:rFonts w:hint="eastAsia" w:ascii="仿宋_GB2312" w:eastAsia="仿宋_GB2312"/>
          <w:sz w:val="32"/>
          <w:szCs w:val="32"/>
        </w:rPr>
        <w:t>0</w:t>
      </w:r>
      <w:r>
        <w:rPr>
          <w:rStyle w:val="15"/>
          <w:rFonts w:hint="eastAsia" w:ascii="仿宋_GB2312" w:eastAsia="仿宋_GB2312"/>
          <w:b w:val="0"/>
          <w:bCs/>
          <w:sz w:val="32"/>
          <w:szCs w:val="32"/>
        </w:rPr>
        <w:t>%。</w:t>
      </w:r>
      <w:r>
        <w:rPr>
          <w:rFonts w:eastAsia="仿宋_GB2312"/>
          <w:sz w:val="32"/>
          <w:szCs w:val="32"/>
        </w:rPr>
        <w:t>全年安排因公出国（境）团组0次，出国（境）0人。</w:t>
      </w:r>
    </w:p>
    <w:p>
      <w:pPr>
        <w:spacing w:line="560" w:lineRule="exact"/>
        <w:ind w:firstLine="640"/>
        <w:rPr>
          <w:rFonts w:eastAsia="仿宋_GB2312"/>
          <w:sz w:val="32"/>
          <w:szCs w:val="32"/>
        </w:rPr>
      </w:pPr>
      <w:r>
        <w:rPr>
          <w:rFonts w:eastAsia="仿宋_GB2312"/>
          <w:sz w:val="32"/>
          <w:szCs w:val="32"/>
        </w:rPr>
        <w:t>2.公务用车购置及运行维护费支出0万元,</w:t>
      </w:r>
      <w:r>
        <w:rPr>
          <w:rStyle w:val="15"/>
          <w:rFonts w:eastAsia="仿宋_GB2312"/>
          <w:b w:val="0"/>
          <w:bCs/>
          <w:sz w:val="32"/>
          <w:szCs w:val="32"/>
        </w:rPr>
        <w:t>完成预算</w:t>
      </w:r>
      <w:r>
        <w:rPr>
          <w:rFonts w:eastAsia="仿宋_GB2312"/>
          <w:b w:val="0"/>
          <w:bCs w:val="0"/>
          <w:sz w:val="32"/>
          <w:szCs w:val="32"/>
        </w:rPr>
        <w:t>0</w:t>
      </w:r>
      <w:r>
        <w:rPr>
          <w:rStyle w:val="15"/>
          <w:rFonts w:eastAsia="仿宋_GB2312"/>
          <w:b w:val="0"/>
          <w:bCs/>
          <w:sz w:val="32"/>
          <w:szCs w:val="32"/>
        </w:rPr>
        <w:t>%</w:t>
      </w:r>
      <w:r>
        <w:rPr>
          <w:rStyle w:val="15"/>
          <w:rFonts w:eastAsia="仿宋_GB2312"/>
          <w:bCs/>
          <w:sz w:val="32"/>
          <w:szCs w:val="32"/>
        </w:rPr>
        <w:t>。</w:t>
      </w:r>
    </w:p>
    <w:p>
      <w:pPr>
        <w:snapToGrid w:val="0"/>
        <w:spacing w:line="560" w:lineRule="exact"/>
        <w:ind w:firstLine="627" w:firstLineChars="196"/>
        <w:rPr>
          <w:rFonts w:eastAsia="仿宋_GB2312"/>
          <w:sz w:val="32"/>
          <w:szCs w:val="32"/>
        </w:rPr>
      </w:pPr>
      <w:r>
        <w:rPr>
          <w:rFonts w:eastAsia="仿宋_GB2312"/>
          <w:sz w:val="32"/>
          <w:szCs w:val="32"/>
        </w:rPr>
        <w:t>3.公务接待费支出0.07万元，完成预算11.67%</w:t>
      </w:r>
      <w:r>
        <w:rPr>
          <w:rFonts w:eastAsia="仿宋_GB2312"/>
        </w:rPr>
        <w:t>。</w:t>
      </w:r>
      <w:r>
        <w:rPr>
          <w:rFonts w:eastAsia="仿宋_GB2312"/>
          <w:sz w:val="32"/>
          <w:szCs w:val="32"/>
        </w:rPr>
        <w:t>公务接待费支出决算比2022年度减少0.14万元，下降66.67%。主要原因是严格执行</w:t>
      </w:r>
      <w:r>
        <w:rPr>
          <w:rFonts w:hint="eastAsia" w:eastAsia="仿宋_GB2312"/>
          <w:sz w:val="32"/>
          <w:szCs w:val="32"/>
          <w:lang w:eastAsia="zh-CN"/>
        </w:rPr>
        <w:t>中央八项规定</w:t>
      </w:r>
      <w:bookmarkStart w:id="79" w:name="_GoBack"/>
      <w:bookmarkEnd w:id="79"/>
      <w:r>
        <w:rPr>
          <w:rFonts w:eastAsia="仿宋_GB2312"/>
          <w:sz w:val="32"/>
          <w:szCs w:val="32"/>
        </w:rPr>
        <w:t>和省、市、县“十项规定”，本着厉行节约的原则，加强内部财务管理，压缩不必要的开支。</w:t>
      </w:r>
    </w:p>
    <w:p>
      <w:pPr>
        <w:spacing w:line="600" w:lineRule="exact"/>
        <w:ind w:firstLine="640"/>
        <w:rPr>
          <w:rFonts w:eastAsia="仿宋_GB2312"/>
          <w:sz w:val="32"/>
          <w:szCs w:val="32"/>
        </w:rPr>
      </w:pPr>
      <w:r>
        <w:rPr>
          <w:rFonts w:eastAsia="仿宋_GB2312"/>
          <w:sz w:val="32"/>
          <w:szCs w:val="32"/>
        </w:rPr>
        <w:t>其中：国内公务接待支出0.07万元，主要用于执行公务、开展信访业务开支的用餐费。国内公务接待1批次，4人次（不包括陪同人员），共计支出0.07万元，具体内容包括：接待市信访局一行人研究信访事项，</w:t>
      </w:r>
      <w:r>
        <w:rPr>
          <w:rFonts w:eastAsia="仿宋_GB2312"/>
          <w:color w:val="000000"/>
          <w:sz w:val="32"/>
          <w:szCs w:val="32"/>
        </w:rPr>
        <w:t>督查信访积案办理</w:t>
      </w:r>
      <w:r>
        <w:rPr>
          <w:rFonts w:eastAsia="仿宋_GB2312"/>
          <w:sz w:val="32"/>
          <w:szCs w:val="32"/>
        </w:rPr>
        <w:t>，接待支出金额为0.07万元。</w:t>
      </w:r>
      <w:bookmarkStart w:id="60" w:name="_Toc15377218"/>
      <w:bookmarkStart w:id="61" w:name="_Toc15396610"/>
    </w:p>
    <w:p>
      <w:pPr>
        <w:spacing w:line="600" w:lineRule="exact"/>
        <w:ind w:firstLine="640"/>
        <w:outlineLvl w:val="1"/>
        <w:rPr>
          <w:rStyle w:val="18"/>
          <w:rFonts w:ascii="Times New Roman" w:hAnsi="Times New Roman" w:eastAsia="黑体" w:cs="Times New Roman"/>
          <w:b w:val="0"/>
        </w:rPr>
      </w:pPr>
      <w:bookmarkStart w:id="62" w:name="_Toc177484455"/>
      <w:r>
        <w:rPr>
          <w:rFonts w:eastAsia="黑体"/>
          <w:sz w:val="32"/>
          <w:szCs w:val="32"/>
        </w:rPr>
        <w:t>八、</w:t>
      </w:r>
      <w:r>
        <w:rPr>
          <w:rStyle w:val="18"/>
          <w:rFonts w:ascii="Times New Roman" w:hAnsi="黑体" w:eastAsia="黑体" w:cs="Times New Roman"/>
          <w:b w:val="0"/>
        </w:rPr>
        <w:t>政府性基金预算支出决算情况说明</w:t>
      </w:r>
      <w:bookmarkEnd w:id="60"/>
      <w:bookmarkEnd w:id="61"/>
      <w:bookmarkEnd w:id="62"/>
    </w:p>
    <w:p>
      <w:pPr>
        <w:spacing w:line="600" w:lineRule="exact"/>
        <w:ind w:firstLine="640"/>
        <w:rPr>
          <w:rFonts w:eastAsia="仿宋_GB2312"/>
          <w:sz w:val="32"/>
          <w:szCs w:val="32"/>
        </w:rPr>
      </w:pPr>
      <w:r>
        <w:rPr>
          <w:rFonts w:eastAsia="仿宋_GB2312"/>
          <w:sz w:val="32"/>
          <w:szCs w:val="32"/>
        </w:rPr>
        <w:t>2023年度政府性基金预算财政拨款支出</w:t>
      </w:r>
      <w:r>
        <w:rPr>
          <w:sz w:val="32"/>
          <w:szCs w:val="32"/>
        </w:rPr>
        <w:t>0</w:t>
      </w:r>
      <w:r>
        <w:rPr>
          <w:rFonts w:eastAsia="仿宋_GB2312"/>
          <w:sz w:val="32"/>
          <w:szCs w:val="32"/>
        </w:rPr>
        <w:t>万元。</w:t>
      </w:r>
    </w:p>
    <w:p>
      <w:pPr>
        <w:numPr>
          <w:ilvl w:val="0"/>
          <w:numId w:val="3"/>
        </w:numPr>
        <w:spacing w:line="600" w:lineRule="exact"/>
        <w:ind w:firstLine="640"/>
        <w:outlineLvl w:val="1"/>
        <w:rPr>
          <w:rStyle w:val="18"/>
          <w:rFonts w:ascii="Times New Roman" w:hAnsi="Times New Roman" w:eastAsia="黑体" w:cs="Times New Roman"/>
          <w:b w:val="0"/>
        </w:rPr>
      </w:pPr>
      <w:bookmarkStart w:id="63" w:name="_Toc15377219"/>
      <w:bookmarkStart w:id="64" w:name="_Toc177484456"/>
      <w:bookmarkStart w:id="65" w:name="_Toc15396611"/>
      <w:r>
        <w:rPr>
          <w:rStyle w:val="18"/>
          <w:rFonts w:ascii="Times New Roman" w:hAnsi="黑体" w:eastAsia="黑体" w:cs="Times New Roman"/>
          <w:b w:val="0"/>
        </w:rPr>
        <w:t>国有资本经营预算支出决算情况说明</w:t>
      </w:r>
      <w:bookmarkEnd w:id="63"/>
      <w:bookmarkEnd w:id="64"/>
      <w:bookmarkEnd w:id="65"/>
    </w:p>
    <w:p>
      <w:pPr>
        <w:spacing w:line="600" w:lineRule="exact"/>
        <w:ind w:firstLine="640"/>
        <w:rPr>
          <w:rFonts w:eastAsia="仿宋_GB2312"/>
          <w:sz w:val="32"/>
          <w:szCs w:val="32"/>
        </w:rPr>
      </w:pPr>
      <w:r>
        <w:rPr>
          <w:rFonts w:eastAsia="仿宋_GB2312"/>
          <w:sz w:val="32"/>
          <w:szCs w:val="32"/>
        </w:rPr>
        <w:t>2023年度国有资本经营预算财政拨款支出</w:t>
      </w:r>
      <w:r>
        <w:rPr>
          <w:sz w:val="32"/>
          <w:szCs w:val="32"/>
        </w:rPr>
        <w:t>0</w:t>
      </w:r>
      <w:r>
        <w:rPr>
          <w:rFonts w:eastAsia="仿宋_GB2312"/>
          <w:sz w:val="32"/>
          <w:szCs w:val="32"/>
        </w:rPr>
        <w:t>万元。</w:t>
      </w:r>
    </w:p>
    <w:p>
      <w:pPr>
        <w:numPr>
          <w:ilvl w:val="0"/>
          <w:numId w:val="3"/>
        </w:numPr>
        <w:spacing w:line="600" w:lineRule="exact"/>
        <w:ind w:firstLine="640"/>
        <w:outlineLvl w:val="1"/>
        <w:rPr>
          <w:rStyle w:val="18"/>
          <w:rFonts w:ascii="Times New Roman" w:hAnsi="Times New Roman" w:eastAsia="黑体" w:cs="Times New Roman"/>
          <w:b w:val="0"/>
        </w:rPr>
      </w:pPr>
      <w:bookmarkStart w:id="66" w:name="_Toc15396612"/>
      <w:bookmarkStart w:id="67" w:name="_Toc177484457"/>
      <w:bookmarkStart w:id="68" w:name="_Toc15377221"/>
      <w:r>
        <w:rPr>
          <w:rStyle w:val="18"/>
          <w:rFonts w:ascii="Times New Roman" w:hAnsi="黑体" w:eastAsia="黑体" w:cs="Times New Roman"/>
          <w:b w:val="0"/>
        </w:rPr>
        <w:t>其他重要事项的情况说明</w:t>
      </w:r>
      <w:bookmarkEnd w:id="66"/>
      <w:bookmarkEnd w:id="67"/>
      <w:bookmarkEnd w:id="68"/>
    </w:p>
    <w:p>
      <w:pPr>
        <w:spacing w:line="600" w:lineRule="exact"/>
        <w:ind w:firstLine="642" w:firstLineChars="200"/>
        <w:outlineLvl w:val="2"/>
        <w:rPr>
          <w:rFonts w:ascii="楷体_GB2312" w:eastAsia="楷体_GB2312"/>
          <w:sz w:val="32"/>
          <w:szCs w:val="32"/>
        </w:rPr>
      </w:pPr>
      <w:bookmarkStart w:id="69" w:name="_Toc177484458"/>
      <w:bookmarkStart w:id="70" w:name="_Toc15377222"/>
      <w:r>
        <w:rPr>
          <w:rFonts w:hint="eastAsia" w:ascii="楷体_GB2312" w:hAnsi="仿宋" w:eastAsia="楷体_GB2312"/>
          <w:b/>
          <w:sz w:val="32"/>
          <w:szCs w:val="32"/>
        </w:rPr>
        <w:t>（一）机关运行经费支出情况</w:t>
      </w:r>
      <w:bookmarkEnd w:id="69"/>
      <w:bookmarkEnd w:id="70"/>
    </w:p>
    <w:p>
      <w:pPr>
        <w:spacing w:line="600" w:lineRule="exact"/>
        <w:ind w:firstLine="640" w:firstLineChars="200"/>
        <w:rPr>
          <w:rFonts w:eastAsia="仿宋_GB2312"/>
          <w:sz w:val="32"/>
          <w:szCs w:val="32"/>
        </w:rPr>
      </w:pPr>
      <w:r>
        <w:rPr>
          <w:rFonts w:eastAsia="仿宋_GB2312"/>
          <w:sz w:val="32"/>
          <w:szCs w:val="32"/>
        </w:rPr>
        <w:t>2023年度，沐川县信访局机关运行经费支出</w:t>
      </w:r>
      <w:r>
        <w:rPr>
          <w:sz w:val="32"/>
          <w:szCs w:val="32"/>
        </w:rPr>
        <w:t>17.72</w:t>
      </w:r>
      <w:r>
        <w:rPr>
          <w:rFonts w:eastAsia="仿宋_GB2312"/>
          <w:sz w:val="32"/>
          <w:szCs w:val="32"/>
        </w:rPr>
        <w:t>万元，比2022年度增加2.77万元，增长18.53%。主要原因是新进两名行政人员，机关运行经费支出增加。</w:t>
      </w:r>
    </w:p>
    <w:p>
      <w:pPr>
        <w:spacing w:line="600" w:lineRule="exact"/>
        <w:ind w:firstLine="642" w:firstLineChars="200"/>
        <w:outlineLvl w:val="2"/>
        <w:rPr>
          <w:rFonts w:ascii="楷体_GB2312" w:hAnsi="仿宋" w:eastAsia="楷体_GB2312"/>
          <w:b/>
          <w:sz w:val="32"/>
          <w:szCs w:val="32"/>
        </w:rPr>
      </w:pPr>
      <w:bookmarkStart w:id="71" w:name="_Toc177484459"/>
      <w:bookmarkStart w:id="72" w:name="_Toc15377223"/>
      <w:r>
        <w:rPr>
          <w:rFonts w:ascii="楷体_GB2312" w:hAnsi="仿宋" w:eastAsia="楷体_GB2312"/>
          <w:b/>
          <w:sz w:val="32"/>
          <w:szCs w:val="32"/>
        </w:rPr>
        <w:t>（二）政府采购支出情况</w:t>
      </w:r>
      <w:bookmarkEnd w:id="71"/>
      <w:bookmarkEnd w:id="72"/>
    </w:p>
    <w:p>
      <w:pPr>
        <w:spacing w:line="600" w:lineRule="exact"/>
        <w:ind w:firstLine="640" w:firstLineChars="200"/>
        <w:rPr>
          <w:rFonts w:eastAsia="仿宋_GB2312"/>
          <w:sz w:val="32"/>
          <w:szCs w:val="32"/>
        </w:rPr>
      </w:pPr>
      <w:r>
        <w:rPr>
          <w:rFonts w:eastAsia="仿宋_GB2312"/>
          <w:sz w:val="32"/>
          <w:szCs w:val="32"/>
        </w:rPr>
        <w:t>2023年度，沐川县信访局政府采购支出总额</w:t>
      </w:r>
      <w:r>
        <w:rPr>
          <w:sz w:val="32"/>
          <w:szCs w:val="32"/>
        </w:rPr>
        <w:t>1.48</w:t>
      </w:r>
      <w:r>
        <w:rPr>
          <w:rFonts w:eastAsia="仿宋_GB2312"/>
          <w:sz w:val="32"/>
          <w:szCs w:val="32"/>
        </w:rPr>
        <w:t>万元，其中：政府采购货物支出</w:t>
      </w:r>
      <w:r>
        <w:rPr>
          <w:sz w:val="32"/>
          <w:szCs w:val="32"/>
        </w:rPr>
        <w:t>1.48</w:t>
      </w:r>
      <w:r>
        <w:rPr>
          <w:rFonts w:eastAsia="仿宋_GB2312"/>
          <w:sz w:val="32"/>
          <w:szCs w:val="32"/>
        </w:rPr>
        <w:t>万元，用于采购国产电脑2台、多功能一体机1台。政府采购工程支出</w:t>
      </w:r>
      <w:r>
        <w:rPr>
          <w:sz w:val="32"/>
          <w:szCs w:val="32"/>
        </w:rPr>
        <w:t>0</w:t>
      </w:r>
      <w:r>
        <w:rPr>
          <w:rFonts w:eastAsia="仿宋_GB2312"/>
          <w:sz w:val="32"/>
          <w:szCs w:val="32"/>
        </w:rPr>
        <w:t>万元、政府采购服务支出</w:t>
      </w:r>
      <w:r>
        <w:rPr>
          <w:sz w:val="32"/>
          <w:szCs w:val="32"/>
        </w:rPr>
        <w:t>0</w:t>
      </w:r>
      <w:r>
        <w:rPr>
          <w:rFonts w:eastAsia="仿宋_GB2312"/>
          <w:sz w:val="32"/>
          <w:szCs w:val="32"/>
        </w:rPr>
        <w:t>万元。授予中小企业合同金额</w:t>
      </w:r>
      <w:r>
        <w:rPr>
          <w:sz w:val="32"/>
          <w:szCs w:val="32"/>
        </w:rPr>
        <w:t>0</w:t>
      </w:r>
      <w:r>
        <w:rPr>
          <w:rFonts w:eastAsia="仿宋_GB2312"/>
          <w:sz w:val="32"/>
          <w:szCs w:val="32"/>
        </w:rPr>
        <w:t>万元，占政府采购支出总额的</w:t>
      </w:r>
      <w:r>
        <w:rPr>
          <w:sz w:val="32"/>
          <w:szCs w:val="32"/>
        </w:rPr>
        <w:t>0</w:t>
      </w:r>
      <w:r>
        <w:rPr>
          <w:rFonts w:eastAsia="仿宋_GB2312"/>
          <w:sz w:val="32"/>
          <w:szCs w:val="32"/>
        </w:rPr>
        <w:t>%，其中：授予小微企业合同金额</w:t>
      </w:r>
      <w:r>
        <w:rPr>
          <w:sz w:val="32"/>
          <w:szCs w:val="32"/>
        </w:rPr>
        <w:t>0</w:t>
      </w:r>
      <w:r>
        <w:rPr>
          <w:rFonts w:eastAsia="仿宋_GB2312"/>
          <w:sz w:val="32"/>
          <w:szCs w:val="32"/>
        </w:rPr>
        <w:t>万元，占政府采购支出总额的</w:t>
      </w:r>
      <w:r>
        <w:rPr>
          <w:sz w:val="32"/>
          <w:szCs w:val="32"/>
        </w:rPr>
        <w:t>0</w:t>
      </w:r>
      <w:r>
        <w:rPr>
          <w:rFonts w:eastAsia="仿宋_GB2312"/>
          <w:sz w:val="32"/>
          <w:szCs w:val="32"/>
        </w:rPr>
        <w:t>%。</w:t>
      </w:r>
    </w:p>
    <w:p>
      <w:pPr>
        <w:spacing w:line="600" w:lineRule="exact"/>
        <w:ind w:firstLine="642" w:firstLineChars="200"/>
        <w:outlineLvl w:val="2"/>
        <w:rPr>
          <w:rFonts w:ascii="楷体_GB2312" w:hAnsi="仿宋" w:eastAsia="楷体_GB2312"/>
          <w:b/>
          <w:sz w:val="32"/>
          <w:szCs w:val="32"/>
        </w:rPr>
      </w:pPr>
      <w:bookmarkStart w:id="73" w:name="_Toc15377224"/>
      <w:bookmarkStart w:id="74" w:name="_Toc177484460"/>
      <w:r>
        <w:rPr>
          <w:rFonts w:ascii="楷体_GB2312" w:hAnsi="仿宋" w:eastAsia="楷体_GB2312"/>
          <w:b/>
          <w:sz w:val="32"/>
          <w:szCs w:val="32"/>
        </w:rPr>
        <w:t>（三）国有资产占有使用情况</w:t>
      </w:r>
      <w:bookmarkEnd w:id="73"/>
      <w:bookmarkEnd w:id="74"/>
    </w:p>
    <w:p>
      <w:pPr>
        <w:autoSpaceDE w:val="0"/>
        <w:autoSpaceDN w:val="0"/>
        <w:adjustRightInd w:val="0"/>
        <w:spacing w:line="600" w:lineRule="exact"/>
        <w:ind w:firstLine="640" w:firstLineChars="200"/>
        <w:jc w:val="left"/>
        <w:rPr>
          <w:rFonts w:eastAsia="仿宋_GB2312"/>
          <w:sz w:val="32"/>
          <w:szCs w:val="32"/>
        </w:rPr>
      </w:pPr>
      <w:r>
        <w:rPr>
          <w:rFonts w:eastAsia="仿宋_GB2312"/>
          <w:sz w:val="32"/>
          <w:szCs w:val="32"/>
        </w:rPr>
        <w:t>截至2023年12月31日，沐川县信访局共有车辆0辆，其中：主要领导干部用车0辆、机要通信用车0辆、应急保障用车0辆、其他用车0辆。单价100万元以上设备（不含车辆）</w:t>
      </w:r>
      <w:r>
        <w:rPr>
          <w:sz w:val="32"/>
          <w:szCs w:val="32"/>
        </w:rPr>
        <w:t>0</w:t>
      </w:r>
      <w:r>
        <w:rPr>
          <w:rFonts w:eastAsia="仿宋_GB2312"/>
          <w:sz w:val="32"/>
          <w:szCs w:val="32"/>
        </w:rPr>
        <w:t>台（套）。</w:t>
      </w:r>
    </w:p>
    <w:p>
      <w:pPr>
        <w:autoSpaceDE w:val="0"/>
        <w:autoSpaceDN w:val="0"/>
        <w:adjustRightInd w:val="0"/>
        <w:spacing w:line="600" w:lineRule="exact"/>
        <w:ind w:firstLine="642" w:firstLineChars="200"/>
        <w:jc w:val="left"/>
        <w:outlineLvl w:val="2"/>
        <w:rPr>
          <w:rFonts w:ascii="楷体_GB2312" w:hAnsi="仿宋" w:eastAsia="楷体_GB2312"/>
          <w:b/>
          <w:sz w:val="32"/>
          <w:szCs w:val="32"/>
        </w:rPr>
      </w:pPr>
      <w:bookmarkStart w:id="75" w:name="_Toc177484461"/>
      <w:r>
        <w:rPr>
          <w:rFonts w:ascii="楷体_GB2312" w:hAnsi="仿宋" w:eastAsia="楷体_GB2312"/>
          <w:b/>
          <w:sz w:val="32"/>
          <w:szCs w:val="32"/>
        </w:rPr>
        <w:t>（四）预算绩效管理情况</w:t>
      </w:r>
      <w:bookmarkEnd w:id="75"/>
    </w:p>
    <w:p>
      <w:pPr>
        <w:pStyle w:val="2"/>
        <w:spacing w:line="600" w:lineRule="exact"/>
        <w:ind w:firstLine="480" w:firstLineChars="150"/>
        <w:rPr>
          <w:rFonts w:ascii="Times New Roman" w:hAnsi="Times New Roman" w:eastAsia="仿宋_GB2312"/>
          <w:b w:val="0"/>
          <w:sz w:val="32"/>
          <w:szCs w:val="32"/>
        </w:rPr>
      </w:pPr>
      <w:r>
        <w:rPr>
          <w:rFonts w:ascii="Times New Roman" w:hAnsi="Times New Roman" w:eastAsia="仿宋_GB2312"/>
          <w:b w:val="0"/>
          <w:sz w:val="32"/>
          <w:szCs w:val="32"/>
        </w:rPr>
        <w:t>根据预算绩效管理要求，本</w:t>
      </w:r>
      <w:r>
        <w:rPr>
          <w:rFonts w:hint="eastAsia" w:ascii="Times New Roman" w:hAnsi="Times New Roman" w:eastAsia="仿宋_GB2312"/>
          <w:b w:val="0"/>
          <w:sz w:val="32"/>
          <w:szCs w:val="32"/>
        </w:rPr>
        <w:t>单位</w:t>
      </w:r>
      <w:r>
        <w:rPr>
          <w:rFonts w:ascii="Times New Roman" w:hAnsi="Times New Roman" w:eastAsia="仿宋_GB2312"/>
          <w:b w:val="0"/>
          <w:sz w:val="32"/>
          <w:szCs w:val="32"/>
        </w:rPr>
        <w:t>在2023年度预算编制阶段，组织对政务运转工作经费项目、特殊疑难信访问题专项资金项目开展了预算事前绩效评估，对2个项目编制了绩效目标，预算执行过程中，选取2个项目开展绩效监控</w:t>
      </w:r>
      <w:r>
        <w:rPr>
          <w:rFonts w:hint="eastAsia" w:ascii="Times New Roman" w:hAnsi="Times New Roman" w:eastAsia="仿宋_GB2312"/>
          <w:b w:val="0"/>
          <w:sz w:val="32"/>
          <w:szCs w:val="32"/>
        </w:rPr>
        <w:t>。组织对</w:t>
      </w:r>
      <w:r>
        <w:rPr>
          <w:rFonts w:ascii="Times New Roman" w:hAnsi="Times New Roman" w:eastAsia="仿宋_GB2312"/>
          <w:b w:val="0"/>
          <w:sz w:val="32"/>
          <w:szCs w:val="32"/>
        </w:rPr>
        <w:t>特殊疑难信访问题专项资金项目</w:t>
      </w:r>
      <w:r>
        <w:rPr>
          <w:rFonts w:hint="eastAsia" w:ascii="Times New Roman" w:hAnsi="Times New Roman" w:eastAsia="仿宋_GB2312"/>
          <w:b w:val="0"/>
          <w:sz w:val="32"/>
          <w:szCs w:val="32"/>
        </w:rPr>
        <w:t>1个项目开展绩效自评，绩效自评表详见第四部分附件。</w:t>
      </w:r>
    </w:p>
    <w:p>
      <w:pPr>
        <w:pStyle w:val="2"/>
        <w:rPr>
          <w:rFonts w:ascii="黑体" w:hAnsi="黑体"/>
          <w:b w:val="0"/>
        </w:rPr>
      </w:pPr>
    </w:p>
    <w:p/>
    <w:p>
      <w:pPr>
        <w:pStyle w:val="2"/>
      </w:pPr>
    </w:p>
    <w:p/>
    <w:p>
      <w:pPr>
        <w:pStyle w:val="2"/>
      </w:pPr>
    </w:p>
    <w:p/>
    <w:p>
      <w:pPr>
        <w:pStyle w:val="2"/>
      </w:pPr>
    </w:p>
    <w:p/>
    <w:p>
      <w:pPr>
        <w:pStyle w:val="2"/>
      </w:pPr>
    </w:p>
    <w:p/>
    <w:p>
      <w:pPr>
        <w:pStyle w:val="2"/>
      </w:pPr>
    </w:p>
    <w:p/>
    <w:p>
      <w:pPr>
        <w:pStyle w:val="2"/>
      </w:pPr>
    </w:p>
    <w:p/>
    <w:p>
      <w:pPr>
        <w:pStyle w:val="2"/>
      </w:pPr>
    </w:p>
    <w:p/>
    <w:p>
      <w:pPr>
        <w:pStyle w:val="3"/>
        <w:spacing w:line="560" w:lineRule="exact"/>
        <w:jc w:val="center"/>
        <w:rPr>
          <w:rFonts w:ascii="黑体" w:hAnsi="黑体" w:eastAsia="黑体"/>
          <w:b w:val="0"/>
        </w:rPr>
      </w:pPr>
      <w:bookmarkStart w:id="76" w:name="_Toc177484462"/>
      <w:r>
        <w:rPr>
          <w:rFonts w:ascii="黑体" w:hAnsi="黑体" w:eastAsia="黑体"/>
          <w:b w:val="0"/>
        </w:rPr>
        <w:t>第</w:t>
      </w:r>
      <w:r>
        <w:rPr>
          <w:rFonts w:hint="eastAsia" w:ascii="黑体" w:hAnsi="黑体" w:eastAsia="黑体"/>
          <w:b w:val="0"/>
        </w:rPr>
        <w:t>三</w:t>
      </w:r>
      <w:r>
        <w:rPr>
          <w:rFonts w:ascii="黑体" w:hAnsi="黑体" w:eastAsia="黑体"/>
          <w:b w:val="0"/>
        </w:rPr>
        <w:t>部分</w:t>
      </w:r>
      <w:r>
        <w:rPr>
          <w:rFonts w:hint="eastAsia" w:ascii="黑体" w:hAnsi="黑体" w:eastAsia="黑体"/>
          <w:b w:val="0"/>
        </w:rPr>
        <w:t xml:space="preserve"> </w:t>
      </w:r>
      <w:r>
        <w:rPr>
          <w:rFonts w:ascii="黑体" w:hAnsi="黑体" w:eastAsia="黑体"/>
          <w:b w:val="0"/>
        </w:rPr>
        <w:t>名词解释</w:t>
      </w:r>
      <w:bookmarkEnd w:id="76"/>
    </w:p>
    <w:p>
      <w:pPr>
        <w:spacing w:line="560" w:lineRule="exact"/>
        <w:ind w:firstLine="640" w:firstLineChars="200"/>
        <w:rPr>
          <w:rFonts w:eastAsia="仿宋_GB2312"/>
          <w:sz w:val="32"/>
          <w:szCs w:val="32"/>
        </w:rPr>
      </w:pPr>
      <w:r>
        <w:rPr>
          <w:rFonts w:eastAsia="仿宋_GB2312"/>
          <w:sz w:val="32"/>
          <w:szCs w:val="32"/>
        </w:rPr>
        <w:t>1.财政拨款收入：指单位从同级财政部门取得的财政预算资金。</w:t>
      </w:r>
    </w:p>
    <w:p>
      <w:pPr>
        <w:spacing w:line="560" w:lineRule="exact"/>
        <w:ind w:firstLine="640" w:firstLineChars="200"/>
        <w:rPr>
          <w:rFonts w:eastAsia="仿宋_GB2312"/>
          <w:sz w:val="32"/>
          <w:szCs w:val="32"/>
        </w:rPr>
      </w:pPr>
      <w:r>
        <w:rPr>
          <w:rFonts w:eastAsia="仿宋_GB2312"/>
          <w:sz w:val="32"/>
          <w:szCs w:val="32"/>
        </w:rPr>
        <w:t xml:space="preserve">2.年初结转和结余：指以前年度尚未完成、结转到本年按有关规定继续使用的资金。 </w:t>
      </w:r>
    </w:p>
    <w:p>
      <w:pPr>
        <w:spacing w:line="560" w:lineRule="exact"/>
        <w:ind w:firstLine="640" w:firstLineChars="200"/>
        <w:rPr>
          <w:rFonts w:eastAsia="仿宋_GB2312"/>
          <w:sz w:val="32"/>
          <w:szCs w:val="32"/>
        </w:rPr>
      </w:pPr>
      <w:r>
        <w:rPr>
          <w:rFonts w:eastAsia="仿宋_GB2312"/>
          <w:sz w:val="32"/>
          <w:szCs w:val="32"/>
        </w:rPr>
        <w:t>3.结余分配：指事业单位按照会计制度规定缴纳的所得税、提取的专用结余以及转入非财政拨款结余的金额等。</w:t>
      </w:r>
    </w:p>
    <w:p>
      <w:pPr>
        <w:spacing w:line="560" w:lineRule="exact"/>
        <w:ind w:firstLine="640" w:firstLineChars="200"/>
        <w:rPr>
          <w:rFonts w:eastAsia="仿宋_GB2312"/>
          <w:sz w:val="32"/>
          <w:szCs w:val="32"/>
        </w:rPr>
      </w:pPr>
      <w:r>
        <w:rPr>
          <w:rFonts w:eastAsia="仿宋_GB2312"/>
          <w:sz w:val="32"/>
          <w:szCs w:val="32"/>
        </w:rPr>
        <w:t>4.年末结转和结余：指单位按有关规定结转到下年或以后年度继续使用的资金。</w:t>
      </w:r>
    </w:p>
    <w:p>
      <w:pPr>
        <w:pStyle w:val="24"/>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5.财政拨款收入：指单位从同级财政部门取得的财政预算资金。</w:t>
      </w:r>
    </w:p>
    <w:p>
      <w:pPr>
        <w:pStyle w:val="24"/>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6.年初结转和结余：指以前年度尚未完成、结转到本年按有关规定继续使用的资金。 </w:t>
      </w:r>
    </w:p>
    <w:p>
      <w:pPr>
        <w:pStyle w:val="24"/>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7.年末结转和结余：指单位按有关规定结转到下年或以后年度继续使用的资金。</w:t>
      </w:r>
    </w:p>
    <w:p>
      <w:pPr>
        <w:pStyle w:val="24"/>
        <w:spacing w:line="560" w:lineRule="exact"/>
        <w:ind w:firstLine="640" w:firstLineChars="200"/>
        <w:rPr>
          <w:rFonts w:ascii="Times New Roman" w:hAnsi="Times New Roman" w:eastAsia="仿宋_GB2312" w:cs="Times New Roman"/>
          <w:sz w:val="32"/>
          <w:szCs w:val="32"/>
        </w:rPr>
      </w:pPr>
      <w:r>
        <w:rPr>
          <w:rStyle w:val="15"/>
          <w:rFonts w:ascii="Times New Roman" w:hAnsi="Times New Roman" w:eastAsia="仿宋_GB2312" w:cs="Times New Roman"/>
          <w:b w:val="0"/>
          <w:sz w:val="32"/>
          <w:szCs w:val="32"/>
        </w:rPr>
        <w:t>8.一般公共服务（类）政府办公厅（室）及相关机构事务（款）行政运行（项）：反映行政单位（包括实行公务员管理的事业单位）的基本支出。</w:t>
      </w:r>
    </w:p>
    <w:p>
      <w:pPr>
        <w:pStyle w:val="24"/>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9.一般公共服务（类）政府办公厅（室）及相关机构事务（款）信访事务（项）：指保障县信访局机关、下属事业单位等机构正常运转的日常支出，包括基本工资、津贴补贴等人员经费以及办公费、印刷费、水电费、办公设备购置等日常公用经费。以及完成特定的行政工作任务或事业发展目标，用于专项业务工作的经费支出。</w:t>
      </w:r>
    </w:p>
    <w:p>
      <w:pPr>
        <w:pStyle w:val="24"/>
        <w:spacing w:line="560" w:lineRule="exact"/>
        <w:ind w:firstLine="640" w:firstLineChars="200"/>
        <w:rPr>
          <w:rFonts w:ascii="Times New Roman" w:hAnsi="Times New Roman" w:eastAsia="仿宋_GB2312" w:cs="Times New Roman"/>
          <w:sz w:val="32"/>
          <w:szCs w:val="32"/>
        </w:rPr>
      </w:pPr>
      <w:r>
        <w:rPr>
          <w:rStyle w:val="15"/>
          <w:rFonts w:ascii="Times New Roman" w:hAnsi="Times New Roman" w:eastAsia="仿宋_GB2312" w:cs="Times New Roman"/>
          <w:b w:val="0"/>
          <w:sz w:val="32"/>
          <w:szCs w:val="32"/>
        </w:rPr>
        <w:t>10.一般公共服务（类）政府办公厅（室）及相关机构事务（款）事业运行（项）：反映事业单位的基本支出，不包括行政单位（包括实行公务员管理的事业单位）后勤服务中心、医务室等附属事业单位。</w:t>
      </w:r>
    </w:p>
    <w:p>
      <w:pPr>
        <w:pStyle w:val="24"/>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11.社会保障和就业（类）行政事业单位养老支出（款）机关事业单位基本养老保险缴费支出（项）:指县信访局机关及下属事业单位按照规定标准为职工缴纳机关事业单位基本养老保险费等支出。</w:t>
      </w:r>
    </w:p>
    <w:p>
      <w:pPr>
        <w:pStyle w:val="24"/>
        <w:spacing w:line="560" w:lineRule="exact"/>
        <w:ind w:firstLine="640" w:firstLineChars="200"/>
        <w:rPr>
          <w:rStyle w:val="15"/>
          <w:rFonts w:ascii="Times New Roman" w:hAnsi="Times New Roman" w:eastAsia="仿宋_GB2312" w:cs="Times New Roman"/>
          <w:b w:val="0"/>
          <w:bCs/>
          <w:sz w:val="32"/>
          <w:szCs w:val="32"/>
        </w:rPr>
      </w:pPr>
      <w:r>
        <w:rPr>
          <w:rStyle w:val="15"/>
          <w:rFonts w:ascii="Times New Roman" w:hAnsi="Times New Roman" w:eastAsia="仿宋_GB2312" w:cs="Times New Roman"/>
          <w:b w:val="0"/>
          <w:sz w:val="32"/>
          <w:szCs w:val="32"/>
        </w:rPr>
        <w:t>12.社会保障和就业（类）行政事业单位养老支出（款）其他行政事业单位养老支出（项）</w:t>
      </w:r>
      <w:r>
        <w:rPr>
          <w:rStyle w:val="15"/>
          <w:rFonts w:ascii="Times New Roman" w:hAnsi="Times New Roman" w:eastAsia="仿宋_GB2312" w:cs="Times New Roman"/>
          <w:b w:val="0"/>
          <w:bCs/>
          <w:sz w:val="32"/>
          <w:szCs w:val="32"/>
        </w:rPr>
        <w:t>:反映其他用于行政事业单位养老方面的支出。</w:t>
      </w:r>
    </w:p>
    <w:p>
      <w:pPr>
        <w:pStyle w:val="24"/>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Cs/>
          <w:sz w:val="32"/>
          <w:szCs w:val="32"/>
        </w:rPr>
        <w:t>13.卫生健康</w:t>
      </w:r>
      <w:r>
        <w:rPr>
          <w:rStyle w:val="15"/>
          <w:rFonts w:ascii="Times New Roman" w:hAnsi="Times New Roman" w:eastAsia="仿宋_GB2312" w:cs="Times New Roman"/>
          <w:b w:val="0"/>
          <w:sz w:val="32"/>
          <w:szCs w:val="32"/>
        </w:rPr>
        <w:t>（类）行政事业单位医疗（款）行政事业单位医疗（项）:反映行政事业单位医疗方面的支出。</w:t>
      </w:r>
    </w:p>
    <w:p>
      <w:pPr>
        <w:pStyle w:val="24"/>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14.住房保障支出（类）住房改革支出（款）住房公积金（项）: 指县信访局机关及下属事业单位按照规定标准为职工缴纳住房公积金等支出。</w:t>
      </w:r>
    </w:p>
    <w:p>
      <w:pPr>
        <w:spacing w:line="560" w:lineRule="exact"/>
        <w:ind w:firstLine="640" w:firstLineChars="200"/>
        <w:rPr>
          <w:rFonts w:eastAsia="仿宋_GB2312"/>
          <w:sz w:val="32"/>
          <w:szCs w:val="32"/>
        </w:rPr>
      </w:pPr>
      <w:r>
        <w:rPr>
          <w:rFonts w:eastAsia="仿宋_GB2312"/>
          <w:sz w:val="32"/>
          <w:szCs w:val="32"/>
        </w:rPr>
        <w:t>15.基本支出：指为保障机构正常运转、完成日常工作任务而发生的人员支出和公用支出。</w:t>
      </w:r>
    </w:p>
    <w:p>
      <w:pPr>
        <w:spacing w:line="560" w:lineRule="exact"/>
        <w:ind w:firstLine="640" w:firstLineChars="200"/>
        <w:rPr>
          <w:rFonts w:eastAsia="仿宋_GB2312"/>
          <w:sz w:val="32"/>
          <w:szCs w:val="32"/>
        </w:rPr>
      </w:pPr>
      <w:r>
        <w:rPr>
          <w:rFonts w:eastAsia="仿宋_GB2312"/>
          <w:sz w:val="32"/>
          <w:szCs w:val="32"/>
        </w:rPr>
        <w:t xml:space="preserve">16.项目支出：指在基本支出之外为完成特定行政任务和事业发展目标所发生的支出。 </w:t>
      </w:r>
    </w:p>
    <w:p>
      <w:pPr>
        <w:spacing w:line="560" w:lineRule="exact"/>
        <w:ind w:firstLine="640" w:firstLineChars="200"/>
        <w:rPr>
          <w:rFonts w:eastAsia="仿宋_GB2312"/>
          <w:sz w:val="32"/>
          <w:szCs w:val="32"/>
        </w:rPr>
      </w:pPr>
      <w:r>
        <w:rPr>
          <w:rFonts w:eastAsia="仿宋_GB2312"/>
          <w:sz w:val="32"/>
          <w:szCs w:val="32"/>
        </w:rPr>
        <w:t>17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60" w:lineRule="exact"/>
        <w:ind w:firstLine="640" w:firstLineChars="200"/>
        <w:rPr>
          <w:rFonts w:eastAsia="仿宋_GB2312"/>
          <w:sz w:val="32"/>
          <w:szCs w:val="32"/>
        </w:rPr>
      </w:pPr>
      <w:r>
        <w:rPr>
          <w:rFonts w:eastAsia="仿宋_GB2312"/>
          <w:sz w:val="32"/>
          <w:szCs w:val="32"/>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60" w:lineRule="exact"/>
        <w:ind w:firstLine="642" w:firstLineChars="200"/>
        <w:rPr>
          <w:rFonts w:eastAsia="仿宋"/>
          <w:b/>
          <w:sz w:val="32"/>
          <w:szCs w:val="32"/>
        </w:rPr>
      </w:pPr>
      <w:r>
        <w:rPr>
          <w:rFonts w:eastAsia="仿宋"/>
          <w:b/>
          <w:sz w:val="32"/>
          <w:szCs w:val="32"/>
        </w:rPr>
        <w:br w:type="page"/>
      </w:r>
    </w:p>
    <w:p>
      <w:pPr>
        <w:pStyle w:val="3"/>
        <w:spacing w:line="560" w:lineRule="exact"/>
        <w:jc w:val="center"/>
        <w:rPr>
          <w:rFonts w:eastAsia="黑体"/>
          <w:b w:val="0"/>
        </w:rPr>
      </w:pPr>
      <w:bookmarkStart w:id="77" w:name="_Toc177484463"/>
      <w:r>
        <w:rPr>
          <w:rFonts w:eastAsia="黑体"/>
          <w:b w:val="0"/>
        </w:rPr>
        <w:t>第四部分 附件</w:t>
      </w:r>
      <w:bookmarkEnd w:id="77"/>
    </w:p>
    <w:p>
      <w:pPr>
        <w:spacing w:line="560" w:lineRule="exact"/>
        <w:ind w:firstLine="640" w:firstLineChars="200"/>
        <w:rPr>
          <w:rFonts w:eastAsia="仿宋_GB2312"/>
          <w:sz w:val="32"/>
          <w:szCs w:val="32"/>
        </w:rPr>
      </w:pPr>
      <w:r>
        <w:rPr>
          <w:rFonts w:hint="eastAsia" w:eastAsia="仿宋_GB2312"/>
          <w:sz w:val="32"/>
          <w:szCs w:val="32"/>
        </w:rPr>
        <w:t>沐川县信访局</w:t>
      </w:r>
      <w:r>
        <w:rPr>
          <w:rFonts w:eastAsia="仿宋_GB2312"/>
          <w:sz w:val="32"/>
          <w:szCs w:val="32"/>
        </w:rPr>
        <w:t>部门预算特殊疑难信访问题专项资金项目支出绩效自评表（2023年度）</w:t>
      </w:r>
      <w:r>
        <w:rPr>
          <w:rFonts w:hint="eastAsia" w:eastAsia="仿宋_GB2312"/>
          <w:sz w:val="32"/>
          <w:szCs w:val="32"/>
        </w:rPr>
        <w:t>。</w:t>
      </w:r>
    </w:p>
    <w:tbl>
      <w:tblPr>
        <w:tblStyle w:val="13"/>
        <w:tblW w:w="0" w:type="auto"/>
        <w:tblInd w:w="93" w:type="dxa"/>
        <w:tblLayout w:type="autofit"/>
        <w:tblCellMar>
          <w:top w:w="0" w:type="dxa"/>
          <w:left w:w="108" w:type="dxa"/>
          <w:bottom w:w="0" w:type="dxa"/>
          <w:right w:w="108" w:type="dxa"/>
        </w:tblCellMar>
      </w:tblPr>
      <w:tblGrid>
        <w:gridCol w:w="1345"/>
        <w:gridCol w:w="616"/>
        <w:gridCol w:w="616"/>
        <w:gridCol w:w="2152"/>
        <w:gridCol w:w="1137"/>
        <w:gridCol w:w="1053"/>
        <w:gridCol w:w="574"/>
        <w:gridCol w:w="506"/>
        <w:gridCol w:w="430"/>
      </w:tblGrid>
      <w:tr>
        <w:tblPrEx>
          <w:tblCellMar>
            <w:top w:w="0" w:type="dxa"/>
            <w:left w:w="108" w:type="dxa"/>
            <w:bottom w:w="0" w:type="dxa"/>
            <w:right w:w="108" w:type="dxa"/>
          </w:tblCellMar>
        </w:tblPrEx>
        <w:trPr>
          <w:trHeight w:val="480" w:hRule="atLeast"/>
        </w:trPr>
        <w:tc>
          <w:tcPr>
            <w:tcW w:w="0" w:type="auto"/>
            <w:gridSpan w:val="9"/>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特殊疑难信访问题专项资金项目支出绩效自评表</w:t>
            </w:r>
          </w:p>
        </w:tc>
      </w:tr>
      <w:tr>
        <w:tblPrEx>
          <w:tblCellMar>
            <w:top w:w="0" w:type="dxa"/>
            <w:left w:w="108" w:type="dxa"/>
            <w:bottom w:w="0" w:type="dxa"/>
            <w:right w:w="108" w:type="dxa"/>
          </w:tblCellMar>
        </w:tblPrEx>
        <w:trPr>
          <w:trHeight w:val="409"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项目名称：</w:t>
            </w:r>
          </w:p>
        </w:tc>
        <w:tc>
          <w:tcPr>
            <w:tcW w:w="0" w:type="auto"/>
            <w:gridSpan w:val="3"/>
            <w:tcBorders>
              <w:top w:val="single" w:color="auto" w:sz="4" w:space="0"/>
              <w:left w:val="nil"/>
              <w:bottom w:val="single" w:color="auto" w:sz="4" w:space="0"/>
              <w:right w:val="single" w:color="000000"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特殊疑难信访问题专项资金</w:t>
            </w:r>
          </w:p>
        </w:tc>
        <w:tc>
          <w:tcPr>
            <w:tcW w:w="0" w:type="auto"/>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年度：</w:t>
            </w:r>
          </w:p>
        </w:tc>
        <w:tc>
          <w:tcPr>
            <w:tcW w:w="0" w:type="auto"/>
            <w:gridSpan w:val="4"/>
            <w:tcBorders>
              <w:top w:val="single" w:color="auto" w:sz="4" w:space="0"/>
              <w:left w:val="nil"/>
              <w:bottom w:val="single" w:color="auto" w:sz="4" w:space="0"/>
              <w:right w:val="single" w:color="000000"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2023年度</w:t>
            </w:r>
          </w:p>
        </w:tc>
      </w:tr>
      <w:tr>
        <w:tblPrEx>
          <w:tblCellMar>
            <w:top w:w="0" w:type="dxa"/>
            <w:left w:w="108" w:type="dxa"/>
            <w:bottom w:w="0" w:type="dxa"/>
            <w:right w:w="108" w:type="dxa"/>
          </w:tblCellMar>
        </w:tblPrEx>
        <w:trPr>
          <w:trHeight w:val="409"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主管部门：</w:t>
            </w:r>
          </w:p>
        </w:tc>
        <w:tc>
          <w:tcPr>
            <w:tcW w:w="0" w:type="auto"/>
            <w:gridSpan w:val="3"/>
            <w:tcBorders>
              <w:top w:val="single" w:color="auto" w:sz="4" w:space="0"/>
              <w:left w:val="nil"/>
              <w:bottom w:val="single" w:color="auto" w:sz="4" w:space="0"/>
              <w:right w:val="single" w:color="000000"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沐川县信访局</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实施单位：</w:t>
            </w:r>
          </w:p>
        </w:tc>
        <w:tc>
          <w:tcPr>
            <w:tcW w:w="0" w:type="auto"/>
            <w:gridSpan w:val="4"/>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沐川县信访局</w:t>
            </w:r>
          </w:p>
        </w:tc>
      </w:tr>
      <w:tr>
        <w:tblPrEx>
          <w:tblCellMar>
            <w:top w:w="0" w:type="dxa"/>
            <w:left w:w="108" w:type="dxa"/>
            <w:bottom w:w="0" w:type="dxa"/>
            <w:right w:w="108" w:type="dxa"/>
          </w:tblCellMar>
        </w:tblPrEx>
        <w:trPr>
          <w:trHeight w:val="409" w:hRule="atLeast"/>
        </w:trPr>
        <w:tc>
          <w:tcPr>
            <w:tcW w:w="0" w:type="auto"/>
            <w:gridSpan w:val="9"/>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项目资金（万元）</w:t>
            </w:r>
          </w:p>
        </w:tc>
      </w:tr>
      <w:tr>
        <w:tblPrEx>
          <w:tblCellMar>
            <w:top w:w="0" w:type="dxa"/>
            <w:left w:w="108" w:type="dxa"/>
            <w:bottom w:w="0" w:type="dxa"/>
            <w:right w:w="108" w:type="dxa"/>
          </w:tblCellMar>
        </w:tblPrEx>
        <w:trPr>
          <w:trHeight w:val="409" w:hRule="atLeast"/>
        </w:trPr>
        <w:tc>
          <w:tcPr>
            <w:tcW w:w="0" w:type="auto"/>
            <w:gridSpan w:val="2"/>
            <w:tcBorders>
              <w:top w:val="single" w:color="auto" w:sz="4" w:space="0"/>
              <w:left w:val="single" w:color="auto" w:sz="4" w:space="0"/>
              <w:bottom w:val="single" w:color="auto" w:sz="4" w:space="0"/>
              <w:right w:val="nil"/>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0" w:type="auto"/>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全年预算数</w:t>
            </w:r>
          </w:p>
        </w:tc>
        <w:tc>
          <w:tcPr>
            <w:tcW w:w="0" w:type="auto"/>
            <w:gridSpan w:val="2"/>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全年执行数</w:t>
            </w:r>
          </w:p>
        </w:tc>
        <w:tc>
          <w:tcPr>
            <w:tcW w:w="0" w:type="auto"/>
            <w:gridSpan w:val="3"/>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预算执行率</w:t>
            </w:r>
          </w:p>
        </w:tc>
      </w:tr>
      <w:tr>
        <w:tblPrEx>
          <w:tblCellMar>
            <w:top w:w="0" w:type="dxa"/>
            <w:left w:w="108" w:type="dxa"/>
            <w:bottom w:w="0" w:type="dxa"/>
            <w:right w:w="108" w:type="dxa"/>
          </w:tblCellMar>
        </w:tblPrEx>
        <w:trPr>
          <w:trHeight w:val="409" w:hRule="atLeast"/>
        </w:trPr>
        <w:tc>
          <w:tcPr>
            <w:tcW w:w="0" w:type="auto"/>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年度资金总额</w:t>
            </w:r>
          </w:p>
        </w:tc>
        <w:tc>
          <w:tcPr>
            <w:tcW w:w="0" w:type="auto"/>
            <w:gridSpan w:val="2"/>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29.86</w:t>
            </w:r>
          </w:p>
        </w:tc>
        <w:tc>
          <w:tcPr>
            <w:tcW w:w="0" w:type="auto"/>
            <w:gridSpan w:val="2"/>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29.86</w:t>
            </w:r>
          </w:p>
        </w:tc>
        <w:tc>
          <w:tcPr>
            <w:tcW w:w="0" w:type="auto"/>
            <w:gridSpan w:val="3"/>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409" w:hRule="atLeast"/>
        </w:trPr>
        <w:tc>
          <w:tcPr>
            <w:tcW w:w="0" w:type="auto"/>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其中：财政拨款</w:t>
            </w:r>
          </w:p>
        </w:tc>
        <w:tc>
          <w:tcPr>
            <w:tcW w:w="0" w:type="auto"/>
            <w:gridSpan w:val="2"/>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29.86</w:t>
            </w:r>
          </w:p>
        </w:tc>
        <w:tc>
          <w:tcPr>
            <w:tcW w:w="0" w:type="auto"/>
            <w:gridSpan w:val="2"/>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29.86</w:t>
            </w:r>
          </w:p>
        </w:tc>
        <w:tc>
          <w:tcPr>
            <w:tcW w:w="0" w:type="auto"/>
            <w:gridSpan w:val="3"/>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409" w:hRule="atLeast"/>
        </w:trPr>
        <w:tc>
          <w:tcPr>
            <w:tcW w:w="0" w:type="auto"/>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其他资金</w:t>
            </w:r>
          </w:p>
        </w:tc>
        <w:tc>
          <w:tcPr>
            <w:tcW w:w="0" w:type="auto"/>
            <w:gridSpan w:val="2"/>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0" w:type="auto"/>
            <w:gridSpan w:val="2"/>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0" w:type="auto"/>
            <w:gridSpan w:val="3"/>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9" w:hRule="atLeast"/>
        </w:trPr>
        <w:tc>
          <w:tcPr>
            <w:tcW w:w="0" w:type="auto"/>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年度总体目标</w:t>
            </w:r>
          </w:p>
        </w:tc>
        <w:tc>
          <w:tcPr>
            <w:tcW w:w="0" w:type="auto"/>
            <w:gridSpan w:val="4"/>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预期目标</w:t>
            </w:r>
          </w:p>
        </w:tc>
        <w:tc>
          <w:tcPr>
            <w:tcW w:w="0" w:type="auto"/>
            <w:gridSpan w:val="4"/>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实际完成情况</w:t>
            </w:r>
          </w:p>
        </w:tc>
      </w:tr>
      <w:tr>
        <w:tblPrEx>
          <w:tblCellMar>
            <w:top w:w="0" w:type="dxa"/>
            <w:left w:w="108" w:type="dxa"/>
            <w:bottom w:w="0" w:type="dxa"/>
            <w:right w:w="108" w:type="dxa"/>
          </w:tblCellMar>
        </w:tblPrEx>
        <w:trPr>
          <w:trHeight w:val="1902" w:hRule="atLeast"/>
        </w:trPr>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0" w:type="auto"/>
            <w:gridSpan w:val="4"/>
            <w:tcBorders>
              <w:top w:val="single" w:color="auto" w:sz="4" w:space="0"/>
              <w:left w:val="nil"/>
              <w:bottom w:val="nil"/>
              <w:right w:val="single" w:color="000000"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    解决复杂、长期积累、久拖未决、难以划分责任主体或无法追查责任单位的特殊疑难信访问题，特别是对事关民生的“无头案、钉子案、骨头案”的当事人畅通信访渠道、化解信访积案，实现事要解决、案结事了、和谐社会的工作目标，极大限度降低非正常重复上访量，使矛盾化解在基层，保障全县和谐发展。</w:t>
            </w:r>
          </w:p>
        </w:tc>
        <w:tc>
          <w:tcPr>
            <w:tcW w:w="0" w:type="auto"/>
            <w:gridSpan w:val="4"/>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积极完成交办我县治重化积信访案件，严格按照财经法规制度，本着厉行节约原则，符合规定使用财政资金29.86万元。</w:t>
            </w:r>
          </w:p>
        </w:tc>
      </w:tr>
      <w:tr>
        <w:tblPrEx>
          <w:tblCellMar>
            <w:top w:w="0" w:type="dxa"/>
            <w:left w:w="108" w:type="dxa"/>
            <w:bottom w:w="0" w:type="dxa"/>
            <w:right w:w="108" w:type="dxa"/>
          </w:tblCellMar>
        </w:tblPrEx>
        <w:trPr>
          <w:trHeight w:val="529"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一级指标</w:t>
            </w:r>
          </w:p>
        </w:tc>
        <w:tc>
          <w:tcPr>
            <w:tcW w:w="0" w:type="auto"/>
            <w:gridSpan w:val="2"/>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二级指标</w:t>
            </w:r>
          </w:p>
        </w:tc>
        <w:tc>
          <w:tcPr>
            <w:tcW w:w="0" w:type="auto"/>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三级指标</w:t>
            </w:r>
          </w:p>
        </w:tc>
        <w:tc>
          <w:tcPr>
            <w:tcW w:w="0" w:type="auto"/>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年度指标值</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实际完成值</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分值/权重</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（百分制）</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得分</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扣分原因分析</w:t>
            </w:r>
          </w:p>
        </w:tc>
      </w:tr>
      <w:tr>
        <w:tblPrEx>
          <w:tblCellMar>
            <w:top w:w="0" w:type="dxa"/>
            <w:left w:w="108" w:type="dxa"/>
            <w:bottom w:w="0" w:type="dxa"/>
            <w:right w:w="108" w:type="dxa"/>
          </w:tblCellMar>
        </w:tblPrEx>
        <w:trPr>
          <w:trHeight w:val="409" w:hRule="atLeast"/>
        </w:trPr>
        <w:tc>
          <w:tcPr>
            <w:tcW w:w="0" w:type="auto"/>
            <w:gridSpan w:val="6"/>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得    分</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90</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90</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409" w:hRule="atLeast"/>
        </w:trPr>
        <w:tc>
          <w:tcPr>
            <w:tcW w:w="0" w:type="auto"/>
            <w:gridSpan w:val="4"/>
            <w:tcBorders>
              <w:top w:val="single" w:color="auto" w:sz="4" w:space="0"/>
              <w:left w:val="single" w:color="auto" w:sz="4" w:space="0"/>
              <w:bottom w:val="single" w:color="auto" w:sz="4" w:space="0"/>
              <w:right w:val="single" w:color="000000" w:sz="4" w:space="0"/>
            </w:tcBorders>
            <w:shd w:val="clear" w:color="000000" w:fill="FFFFFF"/>
            <w:noWrap/>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预算执行率（10分）</w:t>
            </w:r>
          </w:p>
        </w:tc>
        <w:tc>
          <w:tcPr>
            <w:tcW w:w="0" w:type="auto"/>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100%</w:t>
            </w:r>
          </w:p>
        </w:tc>
        <w:tc>
          <w:tcPr>
            <w:tcW w:w="0" w:type="auto"/>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10</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　</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702" w:hRule="atLeast"/>
        </w:trPr>
        <w:tc>
          <w:tcPr>
            <w:tcW w:w="0" w:type="auto"/>
            <w:vMerge w:val="restart"/>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产出指标</w:t>
            </w:r>
          </w:p>
        </w:tc>
        <w:tc>
          <w:tcPr>
            <w:tcW w:w="0" w:type="auto"/>
            <w:gridSpan w:val="2"/>
            <w:tcBorders>
              <w:top w:val="single" w:color="auto" w:sz="4" w:space="0"/>
              <w:left w:val="nil"/>
              <w:bottom w:val="single" w:color="auto" w:sz="4" w:space="0"/>
              <w:right w:val="nil"/>
            </w:tcBorders>
            <w:shd w:val="clear" w:color="000000" w:fill="FFFFFF"/>
            <w:noWrap/>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数量指标</w:t>
            </w:r>
          </w:p>
        </w:tc>
        <w:tc>
          <w:tcPr>
            <w:tcW w:w="0" w:type="auto"/>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化解特殊疑难、复杂信访突出问题及信访积案</w:t>
            </w:r>
          </w:p>
        </w:tc>
        <w:tc>
          <w:tcPr>
            <w:tcW w:w="0" w:type="auto"/>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2</w:t>
            </w:r>
          </w:p>
        </w:tc>
        <w:tc>
          <w:tcPr>
            <w:tcW w:w="0" w:type="auto"/>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2</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9</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642" w:hRule="atLeast"/>
        </w:trPr>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333333"/>
                <w:kern w:val="0"/>
                <w:sz w:val="18"/>
                <w:szCs w:val="18"/>
              </w:rPr>
            </w:pPr>
          </w:p>
        </w:tc>
        <w:tc>
          <w:tcPr>
            <w:tcW w:w="0" w:type="auto"/>
            <w:gridSpan w:val="2"/>
            <w:tcBorders>
              <w:top w:val="single" w:color="auto" w:sz="4" w:space="0"/>
              <w:left w:val="nil"/>
              <w:bottom w:val="single" w:color="auto" w:sz="4" w:space="0"/>
              <w:right w:val="nil"/>
            </w:tcBorders>
            <w:shd w:val="clear" w:color="000000" w:fill="FFFFFF"/>
            <w:noWrap/>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质量指标</w:t>
            </w:r>
          </w:p>
        </w:tc>
        <w:tc>
          <w:tcPr>
            <w:tcW w:w="0" w:type="auto"/>
            <w:tcBorders>
              <w:top w:val="nil"/>
              <w:left w:val="single" w:color="auto" w:sz="4" w:space="0"/>
              <w:bottom w:val="single" w:color="auto" w:sz="4" w:space="0"/>
              <w:right w:val="single" w:color="auto" w:sz="4" w:space="0"/>
            </w:tcBorders>
            <w:shd w:val="clear" w:color="000000" w:fill="FFFFFF"/>
            <w:vAlign w:val="center"/>
          </w:tcPr>
          <w:p>
            <w:pPr>
              <w:widowControl/>
              <w:jc w:val="left"/>
              <w:rPr>
                <w:rFonts w:ascii="宋体" w:hAnsi="宋体" w:cs="宋体"/>
                <w:color w:val="333333"/>
                <w:kern w:val="0"/>
                <w:sz w:val="18"/>
                <w:szCs w:val="18"/>
              </w:rPr>
            </w:pPr>
            <w:r>
              <w:rPr>
                <w:rFonts w:hint="eastAsia" w:ascii="宋体" w:hAnsi="宋体" w:cs="宋体"/>
                <w:color w:val="333333"/>
                <w:kern w:val="0"/>
                <w:sz w:val="18"/>
                <w:szCs w:val="18"/>
              </w:rPr>
              <w:t>特殊疑难、复杂信访突出问题及信访积案化解率</w:t>
            </w:r>
          </w:p>
        </w:tc>
        <w:tc>
          <w:tcPr>
            <w:tcW w:w="0" w:type="auto"/>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100%</w:t>
            </w:r>
          </w:p>
        </w:tc>
        <w:tc>
          <w:tcPr>
            <w:tcW w:w="0" w:type="auto"/>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100%</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9</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409" w:hRule="atLeast"/>
        </w:trPr>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333333"/>
                <w:kern w:val="0"/>
                <w:sz w:val="18"/>
                <w:szCs w:val="18"/>
              </w:rPr>
            </w:pPr>
          </w:p>
        </w:tc>
        <w:tc>
          <w:tcPr>
            <w:tcW w:w="0" w:type="auto"/>
            <w:gridSpan w:val="2"/>
            <w:tcBorders>
              <w:top w:val="single" w:color="auto" w:sz="4" w:space="0"/>
              <w:left w:val="nil"/>
              <w:bottom w:val="single" w:color="auto" w:sz="4" w:space="0"/>
              <w:right w:val="nil"/>
            </w:tcBorders>
            <w:shd w:val="clear" w:color="000000" w:fill="FFFFFF"/>
            <w:noWrap/>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时效指标</w:t>
            </w:r>
          </w:p>
        </w:tc>
        <w:tc>
          <w:tcPr>
            <w:tcW w:w="0" w:type="auto"/>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完成时间</w:t>
            </w:r>
          </w:p>
        </w:tc>
        <w:tc>
          <w:tcPr>
            <w:tcW w:w="0" w:type="auto"/>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2023年度</w:t>
            </w:r>
          </w:p>
        </w:tc>
        <w:tc>
          <w:tcPr>
            <w:tcW w:w="0" w:type="auto"/>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2023年度</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9</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409" w:hRule="atLeast"/>
        </w:trPr>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333333"/>
                <w:kern w:val="0"/>
                <w:sz w:val="18"/>
                <w:szCs w:val="18"/>
              </w:rPr>
            </w:pPr>
          </w:p>
        </w:tc>
        <w:tc>
          <w:tcPr>
            <w:tcW w:w="0" w:type="auto"/>
            <w:gridSpan w:val="2"/>
            <w:tcBorders>
              <w:top w:val="single" w:color="auto" w:sz="4" w:space="0"/>
              <w:left w:val="nil"/>
              <w:bottom w:val="single" w:color="auto" w:sz="4" w:space="0"/>
              <w:right w:val="nil"/>
            </w:tcBorders>
            <w:shd w:val="clear" w:color="000000" w:fill="FFFFFF"/>
            <w:noWrap/>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成本指标</w:t>
            </w:r>
          </w:p>
        </w:tc>
        <w:tc>
          <w:tcPr>
            <w:tcW w:w="0" w:type="auto"/>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特殊疑难信访问题专项资金</w:t>
            </w:r>
          </w:p>
        </w:tc>
        <w:tc>
          <w:tcPr>
            <w:tcW w:w="0" w:type="auto"/>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29.86</w:t>
            </w:r>
          </w:p>
        </w:tc>
        <w:tc>
          <w:tcPr>
            <w:tcW w:w="0" w:type="auto"/>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29.86</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8</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8</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480" w:hRule="atLeast"/>
        </w:trPr>
        <w:tc>
          <w:tcPr>
            <w:tcW w:w="0" w:type="auto"/>
            <w:vMerge w:val="restart"/>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效益指标</w:t>
            </w:r>
          </w:p>
        </w:tc>
        <w:tc>
          <w:tcPr>
            <w:tcW w:w="0" w:type="auto"/>
            <w:gridSpan w:val="2"/>
            <w:tcBorders>
              <w:top w:val="single" w:color="auto" w:sz="4" w:space="0"/>
              <w:left w:val="nil"/>
              <w:bottom w:val="single" w:color="auto" w:sz="4" w:space="0"/>
              <w:right w:val="nil"/>
            </w:tcBorders>
            <w:shd w:val="clear" w:color="000000" w:fill="FFFFFF"/>
            <w:noWrap/>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经济效益指标</w:t>
            </w:r>
          </w:p>
        </w:tc>
        <w:tc>
          <w:tcPr>
            <w:tcW w:w="0" w:type="auto"/>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对社会经济增加产生促进作用</w:t>
            </w:r>
          </w:p>
        </w:tc>
        <w:tc>
          <w:tcPr>
            <w:tcW w:w="0" w:type="auto"/>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社会经济稳定发展</w:t>
            </w:r>
          </w:p>
        </w:tc>
        <w:tc>
          <w:tcPr>
            <w:tcW w:w="0" w:type="auto"/>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社会经济稳定发展</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8</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8</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480" w:hRule="atLeast"/>
        </w:trPr>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333333"/>
                <w:kern w:val="0"/>
                <w:sz w:val="18"/>
                <w:szCs w:val="18"/>
              </w:rPr>
            </w:pPr>
          </w:p>
        </w:tc>
        <w:tc>
          <w:tcPr>
            <w:tcW w:w="0" w:type="auto"/>
            <w:gridSpan w:val="2"/>
            <w:tcBorders>
              <w:top w:val="single" w:color="auto" w:sz="4" w:space="0"/>
              <w:left w:val="nil"/>
              <w:bottom w:val="single" w:color="auto" w:sz="4" w:space="0"/>
              <w:right w:val="nil"/>
            </w:tcBorders>
            <w:shd w:val="clear" w:color="000000" w:fill="FFFFFF"/>
            <w:noWrap/>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社会效益指标</w:t>
            </w:r>
          </w:p>
        </w:tc>
        <w:tc>
          <w:tcPr>
            <w:tcW w:w="0" w:type="auto"/>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对解决疑难、复杂信访突出问题及信访积案</w:t>
            </w:r>
          </w:p>
        </w:tc>
        <w:tc>
          <w:tcPr>
            <w:tcW w:w="0" w:type="auto"/>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优良中差</w:t>
            </w:r>
          </w:p>
        </w:tc>
        <w:tc>
          <w:tcPr>
            <w:tcW w:w="0" w:type="auto"/>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良</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9</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799" w:hRule="atLeast"/>
        </w:trPr>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333333"/>
                <w:kern w:val="0"/>
                <w:sz w:val="18"/>
                <w:szCs w:val="18"/>
              </w:rPr>
            </w:pPr>
          </w:p>
        </w:tc>
        <w:tc>
          <w:tcPr>
            <w:tcW w:w="0" w:type="auto"/>
            <w:gridSpan w:val="2"/>
            <w:tcBorders>
              <w:top w:val="single" w:color="auto" w:sz="4" w:space="0"/>
              <w:left w:val="nil"/>
              <w:bottom w:val="single" w:color="auto" w:sz="4" w:space="0"/>
              <w:right w:val="nil"/>
            </w:tcBorders>
            <w:shd w:val="clear" w:color="000000" w:fill="FFFFFF"/>
            <w:noWrap/>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生态效益指标</w:t>
            </w:r>
          </w:p>
        </w:tc>
        <w:tc>
          <w:tcPr>
            <w:tcW w:w="0" w:type="auto"/>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化解疑难、复杂信访突出问题及信访积案创造和谐生态环境</w:t>
            </w:r>
          </w:p>
        </w:tc>
        <w:tc>
          <w:tcPr>
            <w:tcW w:w="0" w:type="auto"/>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优良中差</w:t>
            </w:r>
          </w:p>
        </w:tc>
        <w:tc>
          <w:tcPr>
            <w:tcW w:w="0" w:type="auto"/>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良</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9</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480" w:hRule="atLeast"/>
        </w:trPr>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333333"/>
                <w:kern w:val="0"/>
                <w:sz w:val="18"/>
                <w:szCs w:val="18"/>
              </w:rPr>
            </w:pPr>
          </w:p>
        </w:tc>
        <w:tc>
          <w:tcPr>
            <w:tcW w:w="0" w:type="auto"/>
            <w:gridSpan w:val="2"/>
            <w:tcBorders>
              <w:top w:val="single" w:color="auto" w:sz="4" w:space="0"/>
              <w:left w:val="nil"/>
              <w:bottom w:val="single" w:color="auto" w:sz="4" w:space="0"/>
              <w:right w:val="nil"/>
            </w:tcBorders>
            <w:shd w:val="clear" w:color="000000" w:fill="FFFFFF"/>
            <w:noWrap/>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可持续影响指标</w:t>
            </w:r>
          </w:p>
        </w:tc>
        <w:tc>
          <w:tcPr>
            <w:tcW w:w="0" w:type="auto"/>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信访稳定工作</w:t>
            </w:r>
          </w:p>
        </w:tc>
        <w:tc>
          <w:tcPr>
            <w:tcW w:w="0" w:type="auto"/>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优良中差</w:t>
            </w:r>
          </w:p>
        </w:tc>
        <w:tc>
          <w:tcPr>
            <w:tcW w:w="0" w:type="auto"/>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良</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9</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409" w:hRule="atLeast"/>
        </w:trPr>
        <w:tc>
          <w:tcPr>
            <w:tcW w:w="0" w:type="auto"/>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满意度指标</w:t>
            </w:r>
          </w:p>
        </w:tc>
        <w:tc>
          <w:tcPr>
            <w:tcW w:w="0" w:type="auto"/>
            <w:gridSpan w:val="2"/>
            <w:tcBorders>
              <w:top w:val="single" w:color="auto" w:sz="4" w:space="0"/>
              <w:left w:val="nil"/>
              <w:bottom w:val="single" w:color="auto" w:sz="4" w:space="0"/>
              <w:right w:val="nil"/>
            </w:tcBorders>
            <w:shd w:val="clear" w:color="000000" w:fill="FFFFFF"/>
            <w:noWrap/>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满意度指标</w:t>
            </w:r>
          </w:p>
        </w:tc>
        <w:tc>
          <w:tcPr>
            <w:tcW w:w="0" w:type="auto"/>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对信访部门满意度</w:t>
            </w:r>
          </w:p>
        </w:tc>
        <w:tc>
          <w:tcPr>
            <w:tcW w:w="0" w:type="auto"/>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100%</w:t>
            </w:r>
          </w:p>
        </w:tc>
        <w:tc>
          <w:tcPr>
            <w:tcW w:w="0" w:type="auto"/>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color w:val="333333"/>
                <w:kern w:val="0"/>
                <w:sz w:val="18"/>
                <w:szCs w:val="18"/>
              </w:rPr>
            </w:pPr>
            <w:r>
              <w:rPr>
                <w:rFonts w:hint="eastAsia" w:ascii="宋体" w:hAnsi="宋体" w:cs="宋体"/>
                <w:color w:val="333333"/>
                <w:kern w:val="0"/>
                <w:sz w:val="18"/>
                <w:szCs w:val="18"/>
              </w:rPr>
              <w:t>100%</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w:t>
            </w:r>
          </w:p>
        </w:tc>
      </w:tr>
      <w:tr>
        <w:tblPrEx>
          <w:tblCellMar>
            <w:top w:w="0" w:type="dxa"/>
            <w:left w:w="108" w:type="dxa"/>
            <w:bottom w:w="0" w:type="dxa"/>
            <w:right w:w="108" w:type="dxa"/>
          </w:tblCellMar>
        </w:tblPrEx>
        <w:trPr>
          <w:trHeight w:val="758" w:hRule="atLeast"/>
        </w:trPr>
        <w:tc>
          <w:tcPr>
            <w:tcW w:w="0" w:type="auto"/>
            <w:gridSpan w:val="9"/>
            <w:tcBorders>
              <w:top w:val="single" w:color="auto" w:sz="4" w:space="0"/>
              <w:left w:val="nil"/>
              <w:bottom w:val="nil"/>
              <w:right w:val="nil"/>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说明：1.预算执行率得分=全年执行数/全年预算数*10分；</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 xml:space="preserve">      2.“产出指标、效益指标、满意度指标”一共90分，对应的是一体化系统中单位编制的项目绩效目标。</w:t>
            </w:r>
          </w:p>
        </w:tc>
      </w:tr>
    </w:tbl>
    <w:p>
      <w:pPr>
        <w:spacing w:line="560" w:lineRule="exact"/>
        <w:rPr>
          <w:rFonts w:eastAsia="黑体"/>
          <w:b/>
          <w:sz w:val="24"/>
          <w:szCs w:val="28"/>
        </w:rPr>
      </w:pPr>
    </w:p>
    <w:p>
      <w:pPr>
        <w:pStyle w:val="2"/>
      </w:pPr>
    </w:p>
    <w:p/>
    <w:p>
      <w:pPr>
        <w:pStyle w:val="2"/>
      </w:pPr>
    </w:p>
    <w:p/>
    <w:p>
      <w:pPr>
        <w:pStyle w:val="2"/>
      </w:pPr>
    </w:p>
    <w:p/>
    <w:p>
      <w:pPr>
        <w:pStyle w:val="2"/>
      </w:pPr>
    </w:p>
    <w:p/>
    <w:p>
      <w:pPr>
        <w:pStyle w:val="2"/>
      </w:pPr>
    </w:p>
    <w:p/>
    <w:p>
      <w:pPr>
        <w:pStyle w:val="2"/>
      </w:pPr>
    </w:p>
    <w:p/>
    <w:p>
      <w:pPr>
        <w:spacing w:line="560" w:lineRule="exact"/>
        <w:rPr>
          <w:rFonts w:ascii="Arial" w:hAnsi="Arial" w:eastAsia="黑体"/>
          <w:b/>
          <w:sz w:val="24"/>
          <w:szCs w:val="28"/>
        </w:rPr>
      </w:pPr>
    </w:p>
    <w:p>
      <w:pPr>
        <w:pStyle w:val="3"/>
        <w:spacing w:line="560" w:lineRule="exact"/>
        <w:jc w:val="center"/>
        <w:rPr>
          <w:rFonts w:eastAsia="黑体"/>
        </w:rPr>
      </w:pPr>
      <w:bookmarkStart w:id="78" w:name="_Toc177484466"/>
      <w:r>
        <w:rPr>
          <w:rFonts w:eastAsia="黑体"/>
        </w:rPr>
        <w:t>第五部分 附表</w:t>
      </w:r>
      <w:bookmarkEnd w:id="78"/>
    </w:p>
    <w:p>
      <w:pPr>
        <w:spacing w:line="560" w:lineRule="exact"/>
        <w:rPr>
          <w:rFonts w:eastAsia="仿宋"/>
          <w:sz w:val="32"/>
          <w:szCs w:val="32"/>
        </w:rPr>
      </w:pPr>
      <w:r>
        <w:rPr>
          <w:rFonts w:eastAsia="仿宋"/>
          <w:sz w:val="32"/>
          <w:szCs w:val="32"/>
        </w:rPr>
        <w:t>一、收入支出决算总表</w:t>
      </w:r>
    </w:p>
    <w:p>
      <w:pPr>
        <w:spacing w:line="560" w:lineRule="exact"/>
        <w:rPr>
          <w:rFonts w:eastAsia="仿宋"/>
          <w:sz w:val="32"/>
          <w:szCs w:val="32"/>
        </w:rPr>
      </w:pPr>
      <w:r>
        <w:rPr>
          <w:rFonts w:eastAsia="仿宋"/>
          <w:sz w:val="32"/>
          <w:szCs w:val="32"/>
        </w:rPr>
        <w:t>二、收入决算表</w:t>
      </w:r>
    </w:p>
    <w:p>
      <w:pPr>
        <w:spacing w:line="560" w:lineRule="exact"/>
        <w:rPr>
          <w:rFonts w:eastAsia="仿宋"/>
          <w:sz w:val="32"/>
          <w:szCs w:val="32"/>
        </w:rPr>
      </w:pPr>
      <w:r>
        <w:rPr>
          <w:rFonts w:eastAsia="仿宋"/>
          <w:sz w:val="32"/>
          <w:szCs w:val="32"/>
        </w:rPr>
        <w:t>三、支出决算表</w:t>
      </w:r>
    </w:p>
    <w:p>
      <w:pPr>
        <w:spacing w:line="560" w:lineRule="exact"/>
        <w:rPr>
          <w:rFonts w:eastAsia="仿宋"/>
          <w:sz w:val="32"/>
          <w:szCs w:val="32"/>
        </w:rPr>
      </w:pPr>
      <w:r>
        <w:rPr>
          <w:rFonts w:eastAsia="仿宋"/>
          <w:sz w:val="32"/>
          <w:szCs w:val="32"/>
        </w:rPr>
        <w:t>四、财政拨款收入支出决算总表</w:t>
      </w:r>
    </w:p>
    <w:p>
      <w:pPr>
        <w:spacing w:line="560" w:lineRule="exact"/>
        <w:rPr>
          <w:rFonts w:eastAsia="仿宋"/>
          <w:sz w:val="32"/>
          <w:szCs w:val="32"/>
        </w:rPr>
      </w:pPr>
      <w:r>
        <w:rPr>
          <w:rFonts w:eastAsia="仿宋"/>
          <w:sz w:val="32"/>
          <w:szCs w:val="32"/>
        </w:rPr>
        <w:t>五、财政拨款支出决算明细表</w:t>
      </w:r>
    </w:p>
    <w:p>
      <w:pPr>
        <w:spacing w:line="560" w:lineRule="exact"/>
        <w:rPr>
          <w:rFonts w:eastAsia="仿宋"/>
          <w:sz w:val="32"/>
          <w:szCs w:val="32"/>
        </w:rPr>
      </w:pPr>
      <w:r>
        <w:rPr>
          <w:rFonts w:eastAsia="仿宋"/>
          <w:sz w:val="32"/>
          <w:szCs w:val="32"/>
        </w:rPr>
        <w:t>六、一般公共预算财政拨款支出决算表</w:t>
      </w:r>
    </w:p>
    <w:p>
      <w:pPr>
        <w:spacing w:line="560" w:lineRule="exact"/>
        <w:rPr>
          <w:rFonts w:eastAsia="仿宋"/>
          <w:sz w:val="32"/>
          <w:szCs w:val="32"/>
        </w:rPr>
      </w:pPr>
      <w:r>
        <w:rPr>
          <w:rFonts w:eastAsia="仿宋"/>
          <w:sz w:val="32"/>
          <w:szCs w:val="32"/>
        </w:rPr>
        <w:t>七、一般公共预算财政拨款支出决算明细表</w:t>
      </w:r>
    </w:p>
    <w:p>
      <w:pPr>
        <w:spacing w:line="560" w:lineRule="exact"/>
        <w:rPr>
          <w:rFonts w:eastAsia="仿宋"/>
          <w:sz w:val="32"/>
          <w:szCs w:val="32"/>
        </w:rPr>
      </w:pPr>
      <w:r>
        <w:rPr>
          <w:rFonts w:eastAsia="仿宋"/>
          <w:sz w:val="32"/>
          <w:szCs w:val="32"/>
        </w:rPr>
        <w:t>八、一般公共预算财政拨款基本支出决算表</w:t>
      </w:r>
    </w:p>
    <w:p>
      <w:pPr>
        <w:spacing w:line="560" w:lineRule="exact"/>
        <w:rPr>
          <w:rFonts w:eastAsia="仿宋"/>
          <w:sz w:val="32"/>
          <w:szCs w:val="32"/>
        </w:rPr>
      </w:pPr>
      <w:r>
        <w:rPr>
          <w:rFonts w:eastAsia="仿宋"/>
          <w:sz w:val="32"/>
          <w:szCs w:val="32"/>
        </w:rPr>
        <w:t>九、一般公共预算财政拨款项目支出决算表</w:t>
      </w:r>
    </w:p>
    <w:p>
      <w:pPr>
        <w:spacing w:line="560" w:lineRule="exact"/>
        <w:rPr>
          <w:rFonts w:eastAsia="仿宋"/>
          <w:sz w:val="32"/>
          <w:szCs w:val="32"/>
        </w:rPr>
      </w:pPr>
      <w:r>
        <w:rPr>
          <w:rFonts w:eastAsia="仿宋"/>
          <w:sz w:val="32"/>
          <w:szCs w:val="32"/>
        </w:rPr>
        <w:t>十、政府性基金预算财政拨款收入支出决算表</w:t>
      </w:r>
    </w:p>
    <w:p>
      <w:pPr>
        <w:spacing w:line="560" w:lineRule="exact"/>
        <w:rPr>
          <w:rFonts w:eastAsia="仿宋"/>
          <w:sz w:val="32"/>
          <w:szCs w:val="32"/>
        </w:rPr>
      </w:pPr>
      <w:r>
        <w:rPr>
          <w:rFonts w:eastAsia="仿宋"/>
          <w:sz w:val="32"/>
          <w:szCs w:val="32"/>
        </w:rPr>
        <w:t>十一、国有资本经营预算财政拨款收入支出决算表</w:t>
      </w:r>
    </w:p>
    <w:p>
      <w:pPr>
        <w:spacing w:line="560" w:lineRule="exact"/>
        <w:rPr>
          <w:rFonts w:eastAsia="仿宋"/>
          <w:sz w:val="32"/>
          <w:szCs w:val="32"/>
        </w:rPr>
      </w:pPr>
      <w:r>
        <w:rPr>
          <w:rFonts w:eastAsia="仿宋"/>
          <w:sz w:val="32"/>
          <w:szCs w:val="32"/>
        </w:rPr>
        <w:t>十二、国有资本经营预算财政拨款支出决算表</w:t>
      </w:r>
    </w:p>
    <w:p>
      <w:pPr>
        <w:spacing w:line="560" w:lineRule="exact"/>
        <w:rPr>
          <w:rFonts w:eastAsia="仿宋"/>
          <w:sz w:val="32"/>
          <w:szCs w:val="32"/>
        </w:rPr>
      </w:pPr>
      <w:r>
        <w:rPr>
          <w:rFonts w:eastAsia="仿宋"/>
          <w:sz w:val="32"/>
          <w:szCs w:val="32"/>
        </w:rPr>
        <w:t>十三、财政拨款“三公”经费支出决算表</w:t>
      </w:r>
    </w:p>
    <w:p>
      <w:pPr>
        <w:spacing w:line="560" w:lineRule="exact"/>
      </w:pPr>
    </w:p>
    <w:p>
      <w:pPr>
        <w:spacing w:line="560" w:lineRule="exact"/>
      </w:pPr>
    </w:p>
    <w:p>
      <w:pPr>
        <w:spacing w:line="560" w:lineRule="exact"/>
      </w:pPr>
    </w:p>
    <w:sectPr>
      <w:footerReference r:id="rId8" w:type="first"/>
      <w:footerReference r:id="rId7"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Batang">
    <w:panose1 w:val="0203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8"/>
          <w:jc w:val="center"/>
        </w:pPr>
        <w:r>
          <w:fldChar w:fldCharType="begin"/>
        </w:r>
        <w:r>
          <w:instrText xml:space="preserve">PAGE   \* MERGEFORMAT</w:instrText>
        </w:r>
        <w:r>
          <w:fldChar w:fldCharType="separate"/>
        </w:r>
        <w:r>
          <w:rPr>
            <w:lang w:val="zh-CN"/>
          </w:rPr>
          <w:t>2</w:t>
        </w:r>
        <w:r>
          <w:rPr>
            <w:lang w:val="zh-CN"/>
          </w:rPr>
          <w:fldChar w:fldCharType="end"/>
        </w:r>
      </w:p>
    </w:sdtContent>
  </w:sdt>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pPr>
                          <w:r>
                            <w:t xml:space="preserve">— </w:t>
                          </w:r>
                          <w:r>
                            <w:fldChar w:fldCharType="begin"/>
                          </w:r>
                          <w:r>
                            <w:instrText xml:space="preserve"> PAGE  \* MERGEFORMAT </w:instrText>
                          </w:r>
                          <w:r>
                            <w:fldChar w:fldCharType="separate"/>
                          </w:r>
                          <w:r>
                            <w:t>2</w:t>
                          </w:r>
                          <w:r>
                            <w:fldChar w:fldCharType="end"/>
                          </w:r>
                          <w: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">
              <v:fill on="f" focussize="0,0"/>
              <v:stroke on="f"/>
              <v:imagedata o:title=""/>
              <o:lock v:ext="edit" aspectratio="f"/>
              <v:textbox inset="0mm,0mm,0mm,0mm" style="mso-fit-shape-to-text:t;">
                <w:txbxContent>
                  <w:p>
                    <w:pPr>
                      <w:pStyle w:val="8"/>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">
              <v:fill on="f" focussize="0,0"/>
              <v:stroke on="f"/>
              <v:imagedata o:title=""/>
              <o:lock v:ext="edit" aspectratio="f"/>
              <v:textbox inset="0mm,0mm,0mm,0mm" style="mso-fit-shape-to-text:t;">
                <w:txbxContent>
                  <w:p>
                    <w:pPr>
                      <w:pStyle w:val="8"/>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">
              <v:fill on="f" focussize="0,0"/>
              <v:stroke on="f"/>
              <v:imagedata o:title=""/>
              <o:lock v:ext="edit" aspectratio="f"/>
              <v:textbox inset="0mm,0mm,0mm,0mm" style="mso-fit-shape-to-text:t;">
                <w:txbxContent>
                  <w:p>
                    <w:pPr>
                      <w:pStyle w:val="8"/>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p>
    <w:pPr>
      <w:pStyle w:val="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">
              <v:fill on="f" focussize="0,0"/>
              <v:stroke on="f"/>
              <v:imagedata o:title=""/>
              <o:lock v:ext="edit" aspectratio="f"/>
              <v:textbox inset="0mm,0mm,0mm,0mm" style="mso-fit-shape-to-text:t;">
                <w:txbxContent>
                  <w:p>
                    <w:pPr>
                      <w:pStyle w:val="8"/>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b w:val="0"/>
        <w:lang w:val="en-US"/>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43F975E3"/>
    <w:multiLevelType w:val="multilevel"/>
    <w:tmpl w:val="43F975E3"/>
    <w:lvl w:ilvl="0" w:tentative="0">
      <w:start w:val="1"/>
      <w:numFmt w:val="japaneseCounting"/>
      <w:lvlText w:val="%1、"/>
      <w:lvlJc w:val="left"/>
      <w:pPr>
        <w:ind w:left="1380" w:hanging="720"/>
      </w:pPr>
      <w:rPr>
        <w:rFonts w:hint="default" w:hAnsi="黑体"/>
      </w:rPr>
    </w:lvl>
    <w:lvl w:ilvl="1" w:tentative="0">
      <w:start w:val="1"/>
      <w:numFmt w:val="lowerLetter"/>
      <w:lvlText w:val="%2)"/>
      <w:lvlJc w:val="left"/>
      <w:pPr>
        <w:ind w:left="1500" w:hanging="420"/>
      </w:pPr>
    </w:lvl>
    <w:lvl w:ilvl="2" w:tentative="0">
      <w:start w:val="1"/>
      <w:numFmt w:val="lowerRoman"/>
      <w:lvlText w:val="%3."/>
      <w:lvlJc w:val="right"/>
      <w:pPr>
        <w:ind w:left="1920" w:hanging="420"/>
      </w:pPr>
    </w:lvl>
    <w:lvl w:ilvl="3" w:tentative="0">
      <w:start w:val="1"/>
      <w:numFmt w:val="decimal"/>
      <w:lvlText w:val="%4."/>
      <w:lvlJc w:val="left"/>
      <w:pPr>
        <w:ind w:left="2340" w:hanging="420"/>
      </w:pPr>
    </w:lvl>
    <w:lvl w:ilvl="4" w:tentative="0">
      <w:start w:val="1"/>
      <w:numFmt w:val="lowerLetter"/>
      <w:lvlText w:val="%5)"/>
      <w:lvlJc w:val="left"/>
      <w:pPr>
        <w:ind w:left="2760" w:hanging="420"/>
      </w:pPr>
    </w:lvl>
    <w:lvl w:ilvl="5" w:tentative="0">
      <w:start w:val="1"/>
      <w:numFmt w:val="lowerRoman"/>
      <w:lvlText w:val="%6."/>
      <w:lvlJc w:val="right"/>
      <w:pPr>
        <w:ind w:left="3180" w:hanging="420"/>
      </w:pPr>
    </w:lvl>
    <w:lvl w:ilvl="6" w:tentative="0">
      <w:start w:val="1"/>
      <w:numFmt w:val="decimal"/>
      <w:lvlText w:val="%7."/>
      <w:lvlJc w:val="left"/>
      <w:pPr>
        <w:ind w:left="3600" w:hanging="420"/>
      </w:pPr>
    </w:lvl>
    <w:lvl w:ilvl="7" w:tentative="0">
      <w:start w:val="1"/>
      <w:numFmt w:val="lowerLetter"/>
      <w:lvlText w:val="%8)"/>
      <w:lvlJc w:val="left"/>
      <w:pPr>
        <w:ind w:left="4020" w:hanging="420"/>
      </w:pPr>
    </w:lvl>
    <w:lvl w:ilvl="8" w:tentative="0">
      <w:start w:val="1"/>
      <w:numFmt w:val="lowerRoman"/>
      <w:lvlText w:val="%9."/>
      <w:lvlJc w:val="right"/>
      <w:pPr>
        <w:ind w:left="444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3FC"/>
    <w:rsid w:val="000052C4"/>
    <w:rsid w:val="00021D86"/>
    <w:rsid w:val="000360BF"/>
    <w:rsid w:val="00036644"/>
    <w:rsid w:val="000C7F3C"/>
    <w:rsid w:val="001903D5"/>
    <w:rsid w:val="001C4A1B"/>
    <w:rsid w:val="001E0EB6"/>
    <w:rsid w:val="001E2163"/>
    <w:rsid w:val="001E451B"/>
    <w:rsid w:val="00237F05"/>
    <w:rsid w:val="002A7B1D"/>
    <w:rsid w:val="00333E25"/>
    <w:rsid w:val="003B01EB"/>
    <w:rsid w:val="003F1ABB"/>
    <w:rsid w:val="00411F73"/>
    <w:rsid w:val="00426FCB"/>
    <w:rsid w:val="00487A89"/>
    <w:rsid w:val="004B0311"/>
    <w:rsid w:val="004B704A"/>
    <w:rsid w:val="004F6450"/>
    <w:rsid w:val="00500701"/>
    <w:rsid w:val="0050324E"/>
    <w:rsid w:val="005458AE"/>
    <w:rsid w:val="005618BF"/>
    <w:rsid w:val="005623FC"/>
    <w:rsid w:val="00567A61"/>
    <w:rsid w:val="00577B57"/>
    <w:rsid w:val="005F7751"/>
    <w:rsid w:val="006372E8"/>
    <w:rsid w:val="00650E2D"/>
    <w:rsid w:val="006B10FB"/>
    <w:rsid w:val="007C2A93"/>
    <w:rsid w:val="007C6A53"/>
    <w:rsid w:val="007D1EE0"/>
    <w:rsid w:val="008C73E4"/>
    <w:rsid w:val="00900590"/>
    <w:rsid w:val="00900F00"/>
    <w:rsid w:val="009130AC"/>
    <w:rsid w:val="00925C3F"/>
    <w:rsid w:val="009A403C"/>
    <w:rsid w:val="00B62312"/>
    <w:rsid w:val="00BE1248"/>
    <w:rsid w:val="00C079DF"/>
    <w:rsid w:val="00C32F55"/>
    <w:rsid w:val="00C339FD"/>
    <w:rsid w:val="00C67120"/>
    <w:rsid w:val="00CB0AFC"/>
    <w:rsid w:val="00D21B00"/>
    <w:rsid w:val="00D66CE4"/>
    <w:rsid w:val="00D7761E"/>
    <w:rsid w:val="00D94FEE"/>
    <w:rsid w:val="00E03F7D"/>
    <w:rsid w:val="00EC3B9B"/>
    <w:rsid w:val="00EF2FA4"/>
    <w:rsid w:val="00F2696C"/>
    <w:rsid w:val="00F41C4A"/>
    <w:rsid w:val="00F43EE1"/>
    <w:rsid w:val="00F7351B"/>
    <w:rsid w:val="00FE234C"/>
    <w:rsid w:val="09187442"/>
    <w:rsid w:val="092A351E"/>
    <w:rsid w:val="25911190"/>
    <w:rsid w:val="34A72C45"/>
    <w:rsid w:val="57075E55"/>
    <w:rsid w:val="6D0E20F8"/>
    <w:rsid w:val="7D7F7278"/>
    <w:rsid w:val="DBFFE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1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5">
    <w:name w:val="Body Text"/>
    <w:basedOn w:val="1"/>
    <w:link w:val="19"/>
    <w:qFormat/>
    <w:uiPriority w:val="99"/>
    <w:pPr>
      <w:spacing w:beforeLines="30"/>
    </w:pPr>
    <w:rPr>
      <w:rFonts w:ascii="仿宋_GB2312" w:eastAsia="仿宋_GB2312"/>
      <w:kern w:val="0"/>
      <w:sz w:val="30"/>
    </w:rPr>
  </w:style>
  <w:style w:type="paragraph" w:styleId="6">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7">
    <w:name w:val="Balloon Text"/>
    <w:basedOn w:val="1"/>
    <w:link w:val="23"/>
    <w:semiHidden/>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next w:val="1"/>
    <w:qFormat/>
    <w:uiPriority w:val="0"/>
    <w:rPr>
      <w:rFonts w:ascii="宋体" w:hAnsi="Times New Roman" w:eastAsia="宋体" w:cs="Times New Roman"/>
      <w:kern w:val="0"/>
      <w:sz w:val="24"/>
      <w:szCs w:val="20"/>
      <w:lang w:val="en-US" w:eastAsia="zh-CN" w:bidi="ar-SA"/>
    </w:rPr>
  </w:style>
  <w:style w:type="character" w:styleId="15">
    <w:name w:val="Strong"/>
    <w:basedOn w:val="14"/>
    <w:qFormat/>
    <w:uiPriority w:val="0"/>
    <w:rPr>
      <w:b/>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customStyle="1" w:styleId="17">
    <w:name w:val="标题 1 Char"/>
    <w:basedOn w:val="14"/>
    <w:link w:val="3"/>
    <w:qFormat/>
    <w:uiPriority w:val="9"/>
    <w:rPr>
      <w:rFonts w:ascii="Times New Roman" w:hAnsi="Times New Roman" w:eastAsia="宋体" w:cs="Times New Roman"/>
      <w:b/>
      <w:bCs/>
      <w:kern w:val="44"/>
      <w:sz w:val="44"/>
      <w:szCs w:val="44"/>
    </w:rPr>
  </w:style>
  <w:style w:type="character" w:customStyle="1" w:styleId="18">
    <w:name w:val="标题 2 Char"/>
    <w:basedOn w:val="14"/>
    <w:link w:val="4"/>
    <w:qFormat/>
    <w:uiPriority w:val="9"/>
    <w:rPr>
      <w:rFonts w:asciiTheme="majorHAnsi" w:hAnsiTheme="majorHAnsi" w:eastAsiaTheme="majorEastAsia" w:cstheme="majorBidi"/>
      <w:b/>
      <w:bCs/>
      <w:sz w:val="32"/>
      <w:szCs w:val="32"/>
    </w:rPr>
  </w:style>
  <w:style w:type="character" w:customStyle="1" w:styleId="19">
    <w:name w:val="正文文本 Char"/>
    <w:basedOn w:val="14"/>
    <w:link w:val="5"/>
    <w:qFormat/>
    <w:uiPriority w:val="99"/>
    <w:rPr>
      <w:rFonts w:ascii="仿宋_GB2312" w:hAnsi="Times New Roman" w:eastAsia="仿宋_GB2312" w:cs="Times New Roman"/>
      <w:kern w:val="0"/>
      <w:sz w:val="30"/>
      <w:szCs w:val="24"/>
    </w:rPr>
  </w:style>
  <w:style w:type="character" w:customStyle="1" w:styleId="20">
    <w:name w:val="页脚 Char"/>
    <w:basedOn w:val="14"/>
    <w:link w:val="8"/>
    <w:qFormat/>
    <w:uiPriority w:val="99"/>
    <w:rPr>
      <w:rFonts w:ascii="Calibri" w:hAnsi="Calibri" w:eastAsia="宋体" w:cs="Times New Roman"/>
      <w:kern w:val="0"/>
      <w:sz w:val="18"/>
      <w:szCs w:val="18"/>
    </w:rPr>
  </w:style>
  <w:style w:type="character" w:customStyle="1" w:styleId="21">
    <w:name w:val="页眉 Char"/>
    <w:basedOn w:val="14"/>
    <w:link w:val="9"/>
    <w:semiHidden/>
    <w:qFormat/>
    <w:uiPriority w:val="99"/>
    <w:rPr>
      <w:rFonts w:ascii="Calibri" w:hAnsi="Calibri" w:eastAsia="宋体" w:cs="Times New Roman"/>
      <w:kern w:val="0"/>
      <w:sz w:val="18"/>
      <w:szCs w:val="18"/>
    </w:rPr>
  </w:style>
  <w:style w:type="paragraph" w:styleId="22">
    <w:name w:val="List Paragraph"/>
    <w:basedOn w:val="1"/>
    <w:qFormat/>
    <w:uiPriority w:val="34"/>
    <w:pPr>
      <w:ind w:firstLine="420" w:firstLineChars="200"/>
    </w:pPr>
  </w:style>
  <w:style w:type="character" w:customStyle="1" w:styleId="23">
    <w:name w:val="批注框文本 Char"/>
    <w:basedOn w:val="14"/>
    <w:link w:val="7"/>
    <w:semiHidden/>
    <w:qFormat/>
    <w:uiPriority w:val="99"/>
    <w:rPr>
      <w:rFonts w:ascii="Times New Roman" w:hAnsi="Times New Roman" w:eastAsia="宋体" w:cs="Times New Roman"/>
      <w:sz w:val="18"/>
      <w:szCs w:val="18"/>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customStyle="1" w:styleId="25">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6.xml"/><Relationship Id="rId15" Type="http://schemas.openxmlformats.org/officeDocument/2006/relationships/image" Target="media/image1.png"/><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D:\Users\Desktop\2023&#24180;&#24180;&#24230;&#37096;&#38376;&#20915;&#31639;\&#20316;&#21442;&#32771;&#65306;&#39292;&#29366;&#65288;&#30452;&#26041;&#65289;&#22270;&#32472;&#21046;&#26041;&#2786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Users\Desktop\2023&#24180;&#24180;&#24230;&#37096;&#38376;&#20915;&#31639;\&#20316;&#21442;&#32771;&#65306;&#39292;&#29366;&#65288;&#30452;&#26041;&#65289;&#22270;&#32472;&#21046;&#26041;&#27861;.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Users\Desktop\2023&#24180;&#20915;&#31639;&#20844;&#24320;\&#38468;&#20214;2.2023&#24180;&#37096;&#38376;(&#21333;&#20301;)&#20915;&#31639;&#20844;&#24320;&#32534;&#21046;&#36164;&#26009;\&#38468;&#20214;2.5-&#20316;&#21442;&#32771;&#65306;&#39292;&#29366;&#65288;&#30452;&#26041;&#65289;&#22270;&#32472;&#21046;&#26041;&#2786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Users\Desktop\2023&#24180;&#24180;&#24230;&#37096;&#38376;&#20915;&#31639;\&#20316;&#21442;&#32771;&#65306;&#39292;&#29366;&#65288;&#30452;&#26041;&#65289;&#22270;&#32472;&#21046;&#26041;&#27861;.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Users\Desktop\2023&#24180;&#20915;&#31639;&#20844;&#24320;\&#38468;&#20214;2.2023&#24180;&#37096;&#38376;(&#21333;&#20301;)&#20915;&#31639;&#20844;&#24320;&#32534;&#21046;&#36164;&#26009;\&#38468;&#20214;2.5-&#20316;&#21442;&#32771;&#65306;&#39292;&#29366;&#65288;&#30452;&#26041;&#65289;&#22270;&#32472;&#21046;&#26041;&#27861;.xls"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Users\Desktop\2023&#24180;&#20915;&#31639;&#20844;&#24320;\&#38468;&#20214;2.2023&#24180;&#37096;&#38376;(&#21333;&#20301;)&#20915;&#31639;&#20844;&#24320;&#32534;&#21046;&#36164;&#26009;\&#38468;&#20214;2.5-&#20316;&#21442;&#32771;&#65306;&#39292;&#29366;&#65288;&#30452;&#26041;&#65289;&#22270;&#32472;&#21046;&#26041;&#2786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100" b="1"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en-US"/>
              <a:t>沐川县信访局收、支决算总计变动情况</a:t>
            </a:r>
            <a:endParaRPr lang="zh-CN" altLang="en-US"/>
          </a:p>
        </c:rich>
      </c:tx>
      <c:layout/>
      <c:overlay val="0"/>
      <c:spPr>
        <a:noFill/>
        <a:ln w="3175">
          <a:noFill/>
        </a:ln>
      </c:spPr>
    </c:title>
    <c:autoTitleDeleted val="0"/>
    <c:plotArea>
      <c:layout>
        <c:manualLayout>
          <c:layoutTarget val="inner"/>
          <c:xMode val="edge"/>
          <c:yMode val="edge"/>
          <c:x val="0.182178393968899"/>
          <c:y val="0.296667632381616"/>
          <c:w val="0.786139373974488"/>
          <c:h val="0.493334939241339"/>
        </c:manualLayout>
      </c:layout>
      <c:barChart>
        <c:barDir val="col"/>
        <c:grouping val="clustered"/>
        <c:varyColors val="0"/>
        <c:ser>
          <c:idx val="0"/>
          <c:order val="0"/>
          <c:tx>
            <c:strRef>
              <c:f>'财政拨款收入支出决算总计变动情况-图 (3)'!$A$4</c:f>
              <c:strCache>
                <c:ptCount val="1"/>
                <c:pt idx="0">
                  <c:v>沐川县信访局财政拨款收入、支出预算执行总计变动情况</c:v>
                </c:pt>
              </c:strCache>
            </c:strRef>
          </c:tx>
          <c:spPr>
            <a:solidFill>
              <a:srgbClr val="9999FF">
                <a:alpha val="100000"/>
              </a:srgbClr>
            </a:solidFill>
            <a:ln w="12700">
              <a:solidFill>
                <a:srgbClr val="000000">
                  <a:alpha val="100000"/>
                </a:srgbClr>
              </a:solidFill>
              <a:prstDash val="solid"/>
            </a:ln>
          </c:spPr>
          <c:invertIfNegative val="0"/>
          <c:dLbls>
            <c:dLbl>
              <c:idx val="0"/>
              <c:layout>
                <c:manualLayout>
                  <c:x val="0.00836194485590301"/>
                  <c:y val="0.0107779527559055"/>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945463995218423"/>
                  <c:y val="0.0229686789151356"/>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
                  <c:y val="0.013333333333333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w="25400">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'财政拨款收入支出决算总计变动情况-图 (3)'!$A$1:$D$1</c:f>
              <c:strCache>
                <c:ptCount val="4"/>
                <c:pt idx="0">
                  <c:v>2022年收入</c:v>
                </c:pt>
                <c:pt idx="1">
                  <c:v>2023年收入</c:v>
                </c:pt>
                <c:pt idx="2">
                  <c:v>2022年支出</c:v>
                </c:pt>
                <c:pt idx="3">
                  <c:v>2023年支出</c:v>
                </c:pt>
              </c:strCache>
            </c:strRef>
          </c:cat>
          <c:val>
            <c:numRef>
              <c:f>'财政拨款收入支出决算总计变动情况-图 (3)'!$A$2:$D$2</c:f>
              <c:numCache>
                <c:formatCode>General</c:formatCode>
                <c:ptCount val="4"/>
                <c:pt idx="0">
                  <c:v>289.76</c:v>
                </c:pt>
                <c:pt idx="1">
                  <c:v>297.74</c:v>
                </c:pt>
                <c:pt idx="2">
                  <c:v>289.76</c:v>
                </c:pt>
                <c:pt idx="3">
                  <c:v>297.74</c:v>
                </c:pt>
              </c:numCache>
            </c:numRef>
          </c:val>
        </c:ser>
        <c:dLbls>
          <c:showLegendKey val="0"/>
          <c:showVal val="1"/>
          <c:showCatName val="0"/>
          <c:showSerName val="0"/>
          <c:showPercent val="0"/>
          <c:showBubbleSize val="0"/>
        </c:dLbls>
        <c:gapWidth val="150"/>
        <c:axId val="80141312"/>
        <c:axId val="94278016"/>
      </c:barChart>
      <c:catAx>
        <c:axId val="80141312"/>
        <c:scaling>
          <c:orientation val="minMax"/>
        </c:scaling>
        <c:delete val="0"/>
        <c:axPos val="b"/>
        <c:numFmt formatCode="General" sourceLinked="1"/>
        <c:majorTickMark val="in"/>
        <c:minorTickMark val="none"/>
        <c:tickLblPos val="nextTo"/>
        <c:spPr>
          <a:ln w="3175" cap="flat" cmpd="sng" algn="ctr">
            <a:solidFill>
              <a:srgbClr val="000000">
                <a:alpha val="100000"/>
              </a:srgbClr>
            </a:solidFill>
            <a:prstDash val="solid"/>
            <a:round/>
          </a:ln>
        </c:spPr>
        <c:txPr>
          <a:bodyPr rot="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94278016"/>
        <c:crosses val="autoZero"/>
        <c:auto val="1"/>
        <c:lblAlgn val="ctr"/>
        <c:lblOffset val="100"/>
        <c:noMultiLvlLbl val="0"/>
      </c:catAx>
      <c:valAx>
        <c:axId val="94278016"/>
        <c:scaling>
          <c:orientation val="minMax"/>
        </c:scaling>
        <c:delete val="0"/>
        <c:axPos val="l"/>
        <c:majorGridlines>
          <c:spPr>
            <a:ln w="3175" cap="flat" cmpd="sng" algn="ctr">
              <a:solidFill>
                <a:srgbClr val="000000">
                  <a:alpha val="100000"/>
                </a:srgbClr>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80141312"/>
        <c:crosses val="autoZero"/>
        <c:crossBetween val="between"/>
      </c:valAx>
      <c:spPr>
        <a:solidFill>
          <a:srgbClr val="C0C0C0">
            <a:alpha val="100000"/>
          </a:srgbClr>
        </a:solidFill>
        <a:ln w="12700">
          <a:solidFill>
            <a:srgbClr val="808080">
              <a:alpha val="100000"/>
            </a:srgbClr>
          </a:solidFill>
          <a:prstDash val="solid"/>
        </a:ln>
      </c:spPr>
    </c:plotArea>
    <c:plotVisOnly val="1"/>
    <c:dispBlanksAs val="gap"/>
    <c:showDLblsOverMax val="0"/>
  </c:chart>
  <c:spPr>
    <a:solidFill>
      <a:srgbClr val="FFFFFF">
        <a:alpha val="100000"/>
      </a:srgbClr>
    </a:solidFill>
    <a:ln w="3175" cap="flat" cmpd="sng" algn="ctr">
      <a:solidFill>
        <a:srgbClr val="000000">
          <a:alpha val="100000"/>
        </a:srgbClr>
      </a:solidFill>
      <a:prstDash val="solid"/>
      <a:round/>
    </a:ln>
  </c:spPr>
  <c:txPr>
    <a:bodyPr/>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w="25400">
          <a:noFill/>
        </a:ln>
      </c:spPr>
      <c:txPr>
        <a:bodyPr rot="0" spcFirstLastPara="0" vertOverflow="ellipsis" vert="horz" wrap="square" anchor="ctr" anchorCtr="1"/>
        <a:lstStyle/>
        <a:p>
          <a:pPr>
            <a:defRPr lang="zh-CN" sz="1125" b="1"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title>
    <c:autoTitleDeleted val="0"/>
    <c:plotArea>
      <c:layout>
        <c:manualLayout>
          <c:layoutTarget val="inner"/>
          <c:xMode val="edge"/>
          <c:yMode val="edge"/>
          <c:x val="0.20359321122055"/>
          <c:y val="0.373770491803281"/>
          <c:w val="0.28143767433429"/>
          <c:h val="0.462295081967213"/>
        </c:manualLayout>
      </c:layout>
      <c:pieChart>
        <c:varyColors val="1"/>
        <c:ser>
          <c:idx val="0"/>
          <c:order val="0"/>
          <c:tx>
            <c:strRef>
              <c:f>'收入决算结构-图2-1'!$A$5</c:f>
              <c:strCache>
                <c:ptCount val="1"/>
                <c:pt idx="0">
                  <c:v>沐川县信访局2023年收入决算结构图</c:v>
                </c:pt>
              </c:strCache>
            </c:strRef>
          </c:tx>
          <c:spPr>
            <a:solidFill>
              <a:srgbClr val="9999FF"/>
            </a:solidFill>
            <a:ln w="12700">
              <a:solidFill>
                <a:srgbClr val="000000"/>
              </a:solidFill>
              <a:prstDash val="solid"/>
            </a:ln>
          </c:spPr>
          <c:explosion val="0"/>
          <c:dPt>
            <c:idx val="0"/>
            <c:bubble3D val="0"/>
            <c:spPr>
              <a:solidFill>
                <a:srgbClr val="9999FF"/>
              </a:solidFill>
              <a:ln w="3175">
                <a:solidFill>
                  <a:srgbClr val="000000"/>
                </a:solidFill>
                <a:prstDash val="solid"/>
              </a:ln>
            </c:spPr>
          </c:dPt>
          <c:dPt>
            <c:idx val="1"/>
            <c:bubble3D val="0"/>
            <c:spPr>
              <a:solidFill>
                <a:srgbClr val="993366"/>
              </a:solidFill>
              <a:ln w="12700">
                <a:solidFill>
                  <a:srgbClr val="000000"/>
                </a:solidFill>
                <a:prstDash val="solid"/>
              </a:ln>
            </c:spPr>
          </c:dPt>
          <c:dLbls>
            <c:numFmt formatCode="0%" sourceLinked="0"/>
            <c:spPr>
              <a:noFill/>
              <a:ln w="25400">
                <a:noFill/>
              </a:ln>
              <a:effectLst/>
            </c:spPr>
            <c:txPr>
              <a:bodyPr rot="0" spcFirstLastPara="0" vertOverflow="ellipsis" vert="horz" wrap="square" lIns="38100" tIns="19050" rIns="38100" bIns="19050" anchor="ctr" anchorCtr="1"/>
              <a:lstStyle/>
              <a:p>
                <a:pPr>
                  <a:defRPr lang="zh-CN" sz="92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3175" cap="flat" cmpd="sng" algn="ctr">
                      <a:solidFill>
                        <a:srgbClr val="000000"/>
                      </a:solidFill>
                      <a:prstDash val="solid"/>
                      <a:round/>
                    </a:ln>
                  </c:spPr>
                </c15:leaderLines>
              </c:ext>
            </c:extLst>
          </c:dLbls>
          <c:cat>
            <c:strRef>
              <c:f>'收入决算结构-图2-1'!$A$1:$B$1</c:f>
              <c:strCache>
                <c:ptCount val="2"/>
                <c:pt idx="0">
                  <c:v>一般公共预算财政拨款收入</c:v>
                </c:pt>
                <c:pt idx="1">
                  <c:v>其他各项收入</c:v>
                </c:pt>
              </c:strCache>
            </c:strRef>
          </c:cat>
          <c:val>
            <c:numRef>
              <c:f>'收入决算结构-图2-1'!$A$2:$B$2</c:f>
              <c:numCache>
                <c:formatCode>General</c:formatCode>
                <c:ptCount val="2"/>
                <c:pt idx="0">
                  <c:v>297.74</c:v>
                </c:pt>
                <c:pt idx="1">
                  <c:v>0</c:v>
                </c:pt>
              </c:numCache>
            </c:numRef>
          </c:val>
        </c:ser>
        <c:dLbls>
          <c:showLegendKey val="0"/>
          <c:showVal val="0"/>
          <c:showCatName val="0"/>
          <c:showSerName val="0"/>
          <c:showPercent val="1"/>
          <c:showBubbleSize val="0"/>
          <c:showLeaderLines val="1"/>
        </c:dLbls>
        <c:firstSliceAng val="0"/>
      </c:pieChart>
      <c:spPr>
        <a:noFill/>
        <a:ln w="25400">
          <a:noFill/>
        </a:ln>
      </c:spPr>
    </c:plotArea>
    <c:legend>
      <c:legendPos val="r"/>
      <c:layout>
        <c:manualLayout>
          <c:xMode val="edge"/>
          <c:yMode val="edge"/>
          <c:x val="0.574999921417009"/>
          <c:y val="0.440249903188331"/>
          <c:w val="0.414249925346158"/>
          <c:h val="0.243749924702036"/>
        </c:manualLayout>
      </c:layout>
      <c:overlay val="0"/>
      <c:spPr>
        <a:solidFill>
          <a:srgbClr val="FFFFFF"/>
        </a:solidFill>
        <a:ln w="25400">
          <a:noFill/>
        </a:ln>
      </c:spPr>
      <c:txPr>
        <a:bodyPr rot="0" spcFirstLastPara="0" vertOverflow="ellipsis" vert="horz" wrap="square" anchor="ctr" anchorCtr="1"/>
        <a:lstStyle/>
        <a:p>
          <a:pPr>
            <a:defRPr lang="zh-CN" sz="101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solidFill>
      <a:srgbClr val="FFFFFF"/>
    </a:solidFill>
    <a:ln w="3175" cap="flat" cmpd="sng" algn="ctr">
      <a:solidFill>
        <a:srgbClr val="000000"/>
      </a:solidFill>
      <a:prstDash val="solid"/>
      <a:round/>
    </a:ln>
  </c:spPr>
  <c:txPr>
    <a:bodyPr/>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w="25400">
          <a:noFill/>
        </a:ln>
      </c:spPr>
      <c:txPr>
        <a:bodyPr rot="0" spcFirstLastPara="0" vertOverflow="ellipsis" vert="horz" wrap="square" anchor="ctr" anchorCtr="1"/>
        <a:lstStyle/>
        <a:p>
          <a:pPr>
            <a:defRPr lang="zh-CN" sz="1200" b="1"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title>
    <c:autoTitleDeleted val="0"/>
    <c:plotArea>
      <c:layout>
        <c:manualLayout>
          <c:layoutTarget val="inner"/>
          <c:xMode val="edge"/>
          <c:yMode val="edge"/>
          <c:x val="0.28823584603984"/>
          <c:y val="0.37704918032787"/>
          <c:w val="0.276471117630051"/>
          <c:h val="0.462295081967213"/>
        </c:manualLayout>
      </c:layout>
      <c:pieChart>
        <c:varyColors val="1"/>
        <c:ser>
          <c:idx val="0"/>
          <c:order val="0"/>
          <c:tx>
            <c:strRef>
              <c:f>'支出决算结构-图3'!$A$9</c:f>
              <c:strCache>
                <c:ptCount val="1"/>
                <c:pt idx="0">
                  <c:v>沐川县信访局2023年支出决算结构图</c:v>
                </c:pt>
              </c:strCache>
            </c:strRef>
          </c:tx>
          <c:spPr>
            <a:solidFill>
              <a:srgbClr val="9999FF"/>
            </a:solidFill>
            <a:ln w="12700">
              <a:solidFill>
                <a:srgbClr val="000000"/>
              </a:solidFill>
              <a:prstDash val="solid"/>
            </a:ln>
          </c:spPr>
          <c:explosion val="25"/>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Lbls>
            <c:dLbl>
              <c:idx val="0"/>
              <c:layout/>
              <c:tx>
                <c:rich>
                  <a:bodyPr rot="0" spcFirstLastPara="0" vertOverflow="ellipsis" vert="horz" wrap="square" lIns="38100" tIns="19050" rIns="38100" bIns="19050" anchor="ctr" anchorCtr="1"/>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en-US" altLang="zh-CN"/>
                      <a:t>67.48%</a:t>
                    </a:r>
                    <a:endParaRPr lang="en-US" altLang="zh-CN"/>
                  </a:p>
                </c:rich>
              </c:tx>
              <c:numFmt formatCode="0.00%" sourceLinked="0"/>
              <c:spPr>
                <a:noFill/>
                <a:ln w="25400">
                  <a:noFill/>
                </a:ln>
                <a:effectLst/>
              </c:spPr>
              <c:txPr>
                <a:bodyPr rot="0" spcFirstLastPara="0" vertOverflow="ellipsis" vert="horz" wrap="square" lIns="38100" tIns="19050" rIns="38100" bIns="19050" anchor="ctr" anchorCtr="1"/>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extLst>
                <c:ext xmlns:c15="http://schemas.microsoft.com/office/drawing/2012/chart" uri="{CE6537A1-D6FC-4f65-9D91-7224C49458BB}"/>
              </c:extLst>
            </c:dLbl>
            <c:numFmt formatCode="0.00%" sourceLinked="0"/>
            <c:spPr>
              <a:noFill/>
              <a:ln w="25400">
                <a:noFill/>
              </a:ln>
              <a:effectLst/>
            </c:spPr>
            <c:txPr>
              <a:bodyPr rot="0" spcFirstLastPara="0" vertOverflow="ellipsis" vert="horz" wrap="square" lIns="38100" tIns="19050" rIns="38100" bIns="19050" anchor="ctr" anchorCtr="1"/>
              <a:lstStyle/>
              <a:p>
                <a:pPr>
                  <a:defRPr lang="zh-CN" sz="11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3175" cap="flat" cmpd="sng" algn="ctr">
                      <a:solidFill>
                        <a:srgbClr val="000000"/>
                      </a:solidFill>
                      <a:prstDash val="solid"/>
                      <a:round/>
                    </a:ln>
                  </c:spPr>
                </c15:leaderLines>
              </c:ext>
            </c:extLst>
          </c:dLbls>
          <c:cat>
            <c:strRef>
              <c:f>'支出决算结构-图3'!$A$1:$B$1</c:f>
              <c:strCache>
                <c:ptCount val="2"/>
                <c:pt idx="0">
                  <c:v>基本支出</c:v>
                </c:pt>
                <c:pt idx="1">
                  <c:v>项目支出</c:v>
                </c:pt>
              </c:strCache>
            </c:strRef>
          </c:cat>
          <c:val>
            <c:numRef>
              <c:f>'支出决算结构-图3'!$A$4:$B$4</c:f>
              <c:numCache>
                <c:formatCode>0.00%</c:formatCode>
                <c:ptCount val="2"/>
                <c:pt idx="0">
                  <c:v>0.674816954389737</c:v>
                </c:pt>
                <c:pt idx="1">
                  <c:v>0.3252</c:v>
                </c:pt>
              </c:numCache>
            </c:numRef>
          </c:val>
        </c:ser>
        <c:dLbls>
          <c:showLegendKey val="0"/>
          <c:showVal val="0"/>
          <c:showCatName val="0"/>
          <c:showSerName val="0"/>
          <c:showPercent val="1"/>
          <c:showBubbleSize val="0"/>
          <c:showLeaderLines val="1"/>
        </c:dLbls>
        <c:firstSliceAng val="0"/>
      </c:pieChart>
      <c:spPr>
        <a:noFill/>
        <a:ln w="25400">
          <a:noFill/>
        </a:ln>
      </c:spPr>
    </c:plotArea>
    <c:legend>
      <c:legendPos val="r"/>
      <c:layout>
        <c:manualLayout>
          <c:xMode val="edge"/>
          <c:yMode val="edge"/>
          <c:x val="0.7905"/>
          <c:y val="0.456"/>
          <c:w val="0.16575"/>
          <c:h val="0.13525"/>
        </c:manualLayout>
      </c:layout>
      <c:overlay val="0"/>
      <c:spPr>
        <a:solidFill>
          <a:srgbClr val="FFFFFF"/>
        </a:solidFill>
        <a:ln w="25400">
          <a:noFill/>
        </a:ln>
      </c:spPr>
      <c:txPr>
        <a:bodyPr rot="0" spcFirstLastPara="0" vertOverflow="ellipsis" vert="horz" wrap="square" anchor="ctr" anchorCtr="1"/>
        <a:lstStyle/>
        <a:p>
          <a:pPr>
            <a:defRPr lang="zh-CN" sz="101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solidFill>
      <a:srgbClr val="FFFFFF"/>
    </a:solidFill>
    <a:ln w="3175" cap="flat" cmpd="sng" algn="ctr">
      <a:solidFill>
        <a:srgbClr val="000000"/>
      </a:solidFill>
      <a:prstDash val="solid"/>
      <a:round/>
    </a:ln>
  </c:spPr>
  <c:txPr>
    <a:bodyPr/>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100" b="1"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en-US"/>
              <a:t>沐川县信访局财政拨款收入、支出决算总计情况</a:t>
            </a:r>
            <a:endParaRPr lang="zh-CN" altLang="en-US"/>
          </a:p>
        </c:rich>
      </c:tx>
      <c:layout/>
      <c:overlay val="0"/>
      <c:spPr>
        <a:noFill/>
        <a:ln w="3175">
          <a:noFill/>
        </a:ln>
      </c:spPr>
    </c:title>
    <c:autoTitleDeleted val="0"/>
    <c:plotArea>
      <c:layout>
        <c:manualLayout>
          <c:layoutTarget val="inner"/>
          <c:xMode val="edge"/>
          <c:yMode val="edge"/>
          <c:x val="0.182178393968899"/>
          <c:y val="0.296667632381616"/>
          <c:w val="0.786139373974488"/>
          <c:h val="0.493334939241339"/>
        </c:manualLayout>
      </c:layout>
      <c:barChart>
        <c:barDir val="col"/>
        <c:grouping val="clustered"/>
        <c:varyColors val="0"/>
        <c:ser>
          <c:idx val="0"/>
          <c:order val="0"/>
          <c:tx>
            <c:strRef>
              <c:f>'财政拨款收入支出决算总计变动情况-图 (3)'!$A$4</c:f>
              <c:strCache>
                <c:ptCount val="1"/>
                <c:pt idx="0">
                  <c:v>沐川县信访局财政拨款收入、支出预算执行总计变动情况</c:v>
                </c:pt>
              </c:strCache>
            </c:strRef>
          </c:tx>
          <c:spPr>
            <a:solidFill>
              <a:srgbClr val="9999FF">
                <a:alpha val="100000"/>
              </a:srgbClr>
            </a:solidFill>
            <a:ln w="12700">
              <a:solidFill>
                <a:srgbClr val="000000">
                  <a:alpha val="100000"/>
                </a:srgbClr>
              </a:solidFill>
              <a:prstDash val="solid"/>
            </a:ln>
          </c:spPr>
          <c:invertIfNegative val="0"/>
          <c:dLbls>
            <c:dLbl>
              <c:idx val="0"/>
              <c:layout>
                <c:manualLayout>
                  <c:x val="0.00836194485590301"/>
                  <c:y val="0.0107779527559055"/>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945463995218423"/>
                  <c:y val="0.0229686789151356"/>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
                  <c:y val="0.013333333333333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w="25400">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'财政拨款收入支出决算总计变动情况-图 (3)'!$A$1:$D$1</c:f>
              <c:strCache>
                <c:ptCount val="4"/>
                <c:pt idx="0">
                  <c:v>2022年收入</c:v>
                </c:pt>
                <c:pt idx="1">
                  <c:v>2023年收入</c:v>
                </c:pt>
                <c:pt idx="2">
                  <c:v>2022年支出</c:v>
                </c:pt>
                <c:pt idx="3">
                  <c:v>2023年支出</c:v>
                </c:pt>
              </c:strCache>
            </c:strRef>
          </c:cat>
          <c:val>
            <c:numRef>
              <c:f>'财政拨款收入支出决算总计变动情况-图 (3)'!$A$2:$D$2</c:f>
              <c:numCache>
                <c:formatCode>General</c:formatCode>
                <c:ptCount val="4"/>
                <c:pt idx="0">
                  <c:v>289.76</c:v>
                </c:pt>
                <c:pt idx="1">
                  <c:v>297.74</c:v>
                </c:pt>
                <c:pt idx="2">
                  <c:v>289.76</c:v>
                </c:pt>
                <c:pt idx="3">
                  <c:v>297.74</c:v>
                </c:pt>
              </c:numCache>
            </c:numRef>
          </c:val>
        </c:ser>
        <c:dLbls>
          <c:showLegendKey val="0"/>
          <c:showVal val="1"/>
          <c:showCatName val="0"/>
          <c:showSerName val="0"/>
          <c:showPercent val="0"/>
          <c:showBubbleSize val="0"/>
        </c:dLbls>
        <c:gapWidth val="150"/>
        <c:axId val="126067456"/>
        <c:axId val="126069760"/>
      </c:barChart>
      <c:catAx>
        <c:axId val="126067456"/>
        <c:scaling>
          <c:orientation val="minMax"/>
        </c:scaling>
        <c:delete val="0"/>
        <c:axPos val="b"/>
        <c:numFmt formatCode="General" sourceLinked="1"/>
        <c:majorTickMark val="in"/>
        <c:minorTickMark val="none"/>
        <c:tickLblPos val="nextTo"/>
        <c:spPr>
          <a:ln w="3175" cap="flat" cmpd="sng" algn="ctr">
            <a:solidFill>
              <a:srgbClr val="000000">
                <a:alpha val="100000"/>
              </a:srgbClr>
            </a:solidFill>
            <a:prstDash val="solid"/>
            <a:round/>
          </a:ln>
        </c:spPr>
        <c:txPr>
          <a:bodyPr rot="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26069760"/>
        <c:crosses val="autoZero"/>
        <c:auto val="1"/>
        <c:lblAlgn val="ctr"/>
        <c:lblOffset val="100"/>
        <c:noMultiLvlLbl val="0"/>
      </c:catAx>
      <c:valAx>
        <c:axId val="126069760"/>
        <c:scaling>
          <c:orientation val="minMax"/>
        </c:scaling>
        <c:delete val="0"/>
        <c:axPos val="l"/>
        <c:majorGridlines>
          <c:spPr>
            <a:ln w="3175" cap="flat" cmpd="sng" algn="ctr">
              <a:solidFill>
                <a:srgbClr val="000000">
                  <a:alpha val="100000"/>
                </a:srgbClr>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126067456"/>
        <c:crosses val="autoZero"/>
        <c:crossBetween val="between"/>
      </c:valAx>
      <c:spPr>
        <a:solidFill>
          <a:srgbClr val="C0C0C0">
            <a:alpha val="100000"/>
          </a:srgbClr>
        </a:solidFill>
        <a:ln w="12700">
          <a:solidFill>
            <a:srgbClr val="808080">
              <a:alpha val="100000"/>
            </a:srgbClr>
          </a:solidFill>
          <a:prstDash val="solid"/>
        </a:ln>
      </c:spPr>
    </c:plotArea>
    <c:plotVisOnly val="1"/>
    <c:dispBlanksAs val="gap"/>
    <c:showDLblsOverMax val="0"/>
  </c:chart>
  <c:spPr>
    <a:solidFill>
      <a:srgbClr val="FFFFFF">
        <a:alpha val="100000"/>
      </a:srgbClr>
    </a:solidFill>
    <a:ln w="3175" cap="flat" cmpd="sng" algn="ctr">
      <a:solidFill>
        <a:srgbClr val="000000">
          <a:alpha val="100000"/>
        </a:srgbClr>
      </a:solidFill>
      <a:prstDash val="solid"/>
      <a:round/>
    </a:ln>
  </c:spPr>
  <c:txPr>
    <a:bodyPr/>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100" b="1" i="0" u="none" strike="noStrike" kern="1200" baseline="0">
                <a:solidFill>
                  <a:srgbClr val="000000"/>
                </a:solidFill>
                <a:latin typeface="宋体" panose="02010600030101010101" charset="-122"/>
                <a:ea typeface="宋体" panose="02010600030101010101" charset="-122"/>
                <a:cs typeface="宋体" panose="02010600030101010101" charset="-122"/>
              </a:defRPr>
            </a:pPr>
            <a:r>
              <a:rPr lang="zh-CN" altLang="en-US"/>
              <a:t>沐川县信访局一般公共预算财政拨款支出决算变动情况</a:t>
            </a:r>
            <a:endParaRPr lang="zh-CN" altLang="en-US"/>
          </a:p>
        </c:rich>
      </c:tx>
      <c:layout/>
      <c:overlay val="0"/>
      <c:spPr>
        <a:noFill/>
        <a:ln w="25400">
          <a:noFill/>
        </a:ln>
      </c:spPr>
    </c:title>
    <c:autoTitleDeleted val="0"/>
    <c:plotArea>
      <c:layout>
        <c:manualLayout>
          <c:layoutTarget val="inner"/>
          <c:xMode val="edge"/>
          <c:yMode val="edge"/>
          <c:x val="0.163636508910253"/>
          <c:y val="0.352517985611511"/>
          <c:w val="0.747273390690156"/>
          <c:h val="0.435251798561151"/>
        </c:manualLayout>
      </c:layout>
      <c:barChart>
        <c:barDir val="col"/>
        <c:grouping val="clustered"/>
        <c:varyColors val="0"/>
        <c:ser>
          <c:idx val="0"/>
          <c:order val="0"/>
          <c:spPr>
            <a:solidFill>
              <a:srgbClr val="9999FF"/>
            </a:solidFill>
            <a:ln w="12700">
              <a:solidFill>
                <a:srgbClr val="000000"/>
              </a:solidFill>
              <a:prstDash val="solid"/>
            </a:ln>
          </c:spPr>
          <c:invertIfNegative val="0"/>
          <c:dLbls>
            <c:dLbl>
              <c:idx val="0"/>
              <c:layout>
                <c:manualLayout>
                  <c:x val="0.00484848484848485"/>
                  <c:y val="0.138550954511981"/>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7488"/>
                  <c:y val="0.3476925"/>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w="25400">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'一般公共预算财政拨款支出决算变动情况-图5'!$A$1:$B$1</c:f>
              <c:strCache>
                <c:ptCount val="2"/>
                <c:pt idx="0">
                  <c:v>2022年一般公共预算财政拨款支出</c:v>
                </c:pt>
                <c:pt idx="1">
                  <c:v>2023年一般公共预算财政拨款支出</c:v>
                </c:pt>
              </c:strCache>
            </c:strRef>
          </c:cat>
          <c:val>
            <c:numRef>
              <c:f>'一般公共预算财政拨款支出决算变动情况-图5'!$A$2:$B$2</c:f>
              <c:numCache>
                <c:formatCode>General</c:formatCode>
                <c:ptCount val="2"/>
                <c:pt idx="0">
                  <c:v>289.76</c:v>
                </c:pt>
                <c:pt idx="1">
                  <c:v>297.74</c:v>
                </c:pt>
              </c:numCache>
            </c:numRef>
          </c:val>
        </c:ser>
        <c:dLbls>
          <c:showLegendKey val="0"/>
          <c:showVal val="1"/>
          <c:showCatName val="0"/>
          <c:showSerName val="0"/>
          <c:showPercent val="0"/>
          <c:showBubbleSize val="0"/>
        </c:dLbls>
        <c:gapWidth val="150"/>
        <c:axId val="80060416"/>
        <c:axId val="80061952"/>
      </c:barChart>
      <c:catAx>
        <c:axId val="80060416"/>
        <c:scaling>
          <c:orientation val="minMax"/>
        </c:scaling>
        <c:delete val="0"/>
        <c:axPos val="b"/>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80061952"/>
        <c:crosses val="autoZero"/>
        <c:auto val="1"/>
        <c:lblAlgn val="ctr"/>
        <c:lblOffset val="100"/>
        <c:noMultiLvlLbl val="0"/>
      </c:catAx>
      <c:valAx>
        <c:axId val="80061952"/>
        <c:scaling>
          <c:orientation val="minMax"/>
        </c:scaling>
        <c:delete val="0"/>
        <c:axPos val="l"/>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80060416"/>
        <c:crosses val="autoZero"/>
        <c:crossBetween val="between"/>
      </c:valAx>
      <c:spPr>
        <a:noFill/>
        <a:ln w="25400">
          <a:noFill/>
        </a:ln>
      </c:spPr>
    </c:plotArea>
    <c:plotVisOnly val="1"/>
    <c:dispBlanksAs val="gap"/>
    <c:showDLblsOverMax val="0"/>
  </c:chart>
  <c:spPr>
    <a:solidFill>
      <a:schemeClr val="bg1"/>
    </a:solidFill>
    <a:ln w="3175" cap="flat" cmpd="sng" algn="ctr">
      <a:solidFill>
        <a:srgbClr val="000000"/>
      </a:solidFill>
      <a:prstDash val="solid"/>
      <a:round/>
    </a:ln>
  </c:spPr>
  <c:txPr>
    <a:bodyPr/>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w="25400">
          <a:noFill/>
        </a:ln>
      </c:spPr>
      <c:txPr>
        <a:bodyPr rot="0" spcFirstLastPara="0" vertOverflow="ellipsis" vert="horz" wrap="square" anchor="ctr" anchorCtr="1"/>
        <a:lstStyle/>
        <a:p>
          <a:pPr>
            <a:defRPr lang="zh-CN" sz="1200" b="1"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title>
    <c:autoTitleDeleted val="0"/>
    <c:plotArea>
      <c:layout>
        <c:manualLayout>
          <c:layoutTarget val="inner"/>
          <c:xMode val="edge"/>
          <c:yMode val="edge"/>
          <c:x val="0.226843309571522"/>
          <c:y val="0.408921933085503"/>
          <c:w val="0.209830061353657"/>
          <c:h val="0.412639405204462"/>
        </c:manualLayout>
      </c:layout>
      <c:pieChart>
        <c:varyColors val="1"/>
        <c:ser>
          <c:idx val="0"/>
          <c:order val="0"/>
          <c:tx>
            <c:strRef>
              <c:f>'三公经费财政拨款支出结构-图7'!$B$8</c:f>
              <c:strCache>
                <c:ptCount val="1"/>
                <c:pt idx="0">
                  <c:v>沐川县信访局2023年“三公”经费财政拨款支出结构图</c:v>
                </c:pt>
              </c:strCache>
            </c:strRef>
          </c:tx>
          <c:spPr>
            <a:solidFill>
              <a:srgbClr val="9999FF"/>
            </a:solidFill>
            <a:ln w="12700">
              <a:solidFill>
                <a:srgbClr val="000000"/>
              </a:solidFill>
              <a:prstDash val="solid"/>
            </a:ln>
          </c:spPr>
          <c:explosion val="25"/>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Lbls>
            <c:numFmt formatCode="0.00%" sourceLinked="0"/>
            <c:spPr>
              <a:noFill/>
              <a:ln w="25400">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3175" cap="flat" cmpd="sng" algn="ctr">
                      <a:solidFill>
                        <a:srgbClr val="000000"/>
                      </a:solidFill>
                      <a:prstDash val="solid"/>
                      <a:round/>
                    </a:ln>
                  </c:spPr>
                </c15:leaderLines>
              </c:ext>
            </c:extLst>
          </c:dLbls>
          <c:cat>
            <c:strRef>
              <c:f>'三公经费财政拨款支出结构-图7'!$A$1:$C$1</c:f>
              <c:strCache>
                <c:ptCount val="3"/>
                <c:pt idx="0">
                  <c:v>因公出国（境）费支出</c:v>
                </c:pt>
                <c:pt idx="1">
                  <c:v>公务用车购置及运行维护费支出</c:v>
                </c:pt>
                <c:pt idx="2">
                  <c:v>公务接待费支出</c:v>
                </c:pt>
              </c:strCache>
            </c:strRef>
          </c:cat>
          <c:val>
            <c:numRef>
              <c:f>'三公经费财政拨款支出结构-图7'!$A$2:$C$2</c:f>
              <c:numCache>
                <c:formatCode>General</c:formatCode>
                <c:ptCount val="3"/>
                <c:pt idx="0">
                  <c:v>0</c:v>
                </c:pt>
                <c:pt idx="1">
                  <c:v>0</c:v>
                </c:pt>
                <c:pt idx="2">
                  <c:v>0.07</c:v>
                </c:pt>
              </c:numCache>
            </c:numRef>
          </c:val>
        </c:ser>
        <c:dLbls>
          <c:showLegendKey val="0"/>
          <c:showVal val="0"/>
          <c:showCatName val="0"/>
          <c:showSerName val="0"/>
          <c:showPercent val="1"/>
          <c:showBubbleSize val="0"/>
          <c:showLeaderLines val="1"/>
        </c:dLbls>
        <c:firstSliceAng val="0"/>
      </c:pieChart>
      <c:spPr>
        <a:noFill/>
        <a:ln w="25400">
          <a:noFill/>
        </a:ln>
      </c:spPr>
    </c:plotArea>
    <c:legend>
      <c:legendPos val="r"/>
      <c:layout>
        <c:manualLayout>
          <c:xMode val="edge"/>
          <c:yMode val="edge"/>
          <c:x val="0.573000000000001"/>
          <c:y val="0.384500000000001"/>
          <c:w val="0.338500000000001"/>
          <c:h val="0.38075"/>
        </c:manualLayout>
      </c:layout>
      <c:overlay val="0"/>
      <c:spPr>
        <a:solidFill>
          <a:srgbClr val="FFFFFF"/>
        </a:solidFill>
        <a:ln w="25400">
          <a:noFill/>
        </a:ln>
      </c:spPr>
      <c:txPr>
        <a:bodyPr rot="0" spcFirstLastPara="0" vertOverflow="ellipsis" vert="horz" wrap="square" anchor="ctr" anchorCtr="1"/>
        <a:lstStyle/>
        <a:p>
          <a:pPr>
            <a:defRPr lang="zh-CN" sz="92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zero"/>
    <c:showDLblsOverMax val="0"/>
  </c:chart>
  <c:spPr>
    <a:solidFill>
      <a:srgbClr val="FFFFFF"/>
    </a:solidFill>
    <a:ln w="3175" cap="flat" cmpd="sng" algn="ctr">
      <a:solidFill>
        <a:srgbClr val="000000"/>
      </a:solidFill>
      <a:prstDash val="solid"/>
      <a:round/>
    </a:ln>
  </c:spPr>
  <c:txPr>
    <a:bodyPr/>
    <a:lstStyle/>
    <a:p>
      <a:pPr>
        <a:defRPr lang="zh-CN" sz="825"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cdr:x>
      <cdr:y>0</cdr:y>
    </cdr:from>
    <cdr:to>
      <cdr:x>0.18147</cdr:x>
      <cdr:y>0.35688</cdr:y>
    </cdr:to>
    <cdr:sp>
      <cdr:nvSpPr>
        <cdr:cNvPr id="2" name="矩形 1"/>
        <cdr:cNvSpPr/>
      </cdr:nvSpPr>
      <cdr:spPr xmlns:a="http://schemas.openxmlformats.org/drawingml/2006/main">
        <a:xfrm xmlns:a="http://schemas.openxmlformats.org/drawingml/2006/main">
          <a:off x="0" y="0"/>
          <a:ext cx="914400" cy="914400"/>
        </a:xfrm>
        <a:prstGeom xmlns:a="http://schemas.openxmlformats.org/drawingml/2006/main" prst="rect">
          <a:avLst/>
        </a:prstGeom>
      </cdr:spPr>
      <cdr:txBody xmlns:a="http://schemas.openxmlformats.org/drawingml/2006/main">
        <a:bodyPr vert="horz" wrap="none" lIns="45720" tIns="45720" rIns="45720" bIns="45720" rtlCol="0" anchor="t" anchorCtr="0">
          <a:normAutofit/>
        </a:bodyPr>
        <a:lstStyle/>
        <a:p>
          <a:endParaRPr lang="zh-CN" altLang="en-US" sz="1100"/>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1233</Words>
  <Characters>7031</Characters>
  <Lines>58</Lines>
  <Paragraphs>16</Paragraphs>
  <TotalTime>1</TotalTime>
  <ScaleCrop>false</ScaleCrop>
  <LinksUpToDate>false</LinksUpToDate>
  <CharactersWithSpaces>8248</CharactersWithSpaces>
  <Application>WPS Office_11.1.0.11719_F1E327BC-269C-435d-A152-05C5408002CA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2024-09-18T01:23:00Z</dcterms:created>
  <dc:creator>Windows 用户</dc:creator>
  <cp:lastModifiedBy>央.</cp:lastModifiedBy>
  <cp:lastPrinted>2024-09-18T01:45:00Z</cp:lastPrinted>
  <dcterms:modified xsi:type="dcterms:W3CDTF">2026-07-29T17:06:11Z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2052-11.1.0.11719</vt:lpwstr>
  </property>
  <property fmtid="{D5CDD505-2E9C-101B-9397-08002B2CF9AE}" pid="3" name="ICV">
    <vt:lpwstr>16D55898B1844F74BBE20F59895C4049</vt:lpwstr>
  </property>
</Properties>
</file>