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64" w:firstLineChars="739"/>
        <w:rPr>
          <w:rFonts w:ascii="方正小标宋简体" w:hAnsi="宋体" w:eastAsia="方正小标宋简体"/>
          <w:b/>
          <w:sz w:val="44"/>
          <w:szCs w:val="44"/>
        </w:rPr>
      </w:pPr>
    </w:p>
    <w:p>
      <w:pPr>
        <w:spacing w:line="560" w:lineRule="exact"/>
        <w:ind w:firstLine="3264" w:firstLineChars="739"/>
        <w:rPr>
          <w:rFonts w:ascii="方正小标宋简体" w:hAnsi="宋体" w:eastAsia="方正小标宋简体"/>
          <w:b/>
          <w:sz w:val="44"/>
          <w:szCs w:val="44"/>
        </w:rPr>
      </w:pPr>
    </w:p>
    <w:p>
      <w:pPr>
        <w:spacing w:line="560" w:lineRule="exact"/>
        <w:ind w:firstLine="3264" w:firstLineChars="739"/>
        <w:rPr>
          <w:rFonts w:ascii="方正小标宋简体" w:hAnsi="宋体" w:eastAsia="方正小标宋简体"/>
          <w:b/>
          <w:sz w:val="44"/>
          <w:szCs w:val="44"/>
        </w:rPr>
      </w:pPr>
    </w:p>
    <w:p>
      <w:pPr>
        <w:spacing w:line="560" w:lineRule="exact"/>
        <w:ind w:firstLine="3264" w:firstLineChars="739"/>
        <w:rPr>
          <w:rFonts w:ascii="方正小标宋简体" w:hAnsi="宋体" w:eastAsia="方正小标宋简体"/>
          <w:b/>
          <w:sz w:val="44"/>
          <w:szCs w:val="44"/>
        </w:rPr>
      </w:pPr>
    </w:p>
    <w:p>
      <w:pPr>
        <w:spacing w:line="560" w:lineRule="exact"/>
        <w:ind w:firstLine="3264" w:firstLineChars="739"/>
        <w:rPr>
          <w:rFonts w:ascii="方正小标宋简体" w:hAnsi="宋体" w:eastAsia="方正小标宋简体"/>
          <w:b/>
          <w:sz w:val="44"/>
          <w:szCs w:val="44"/>
        </w:rPr>
      </w:pPr>
    </w:p>
    <w:p>
      <w:pPr>
        <w:spacing w:line="560" w:lineRule="exact"/>
        <w:ind w:firstLine="3264" w:firstLineChars="739"/>
        <w:rPr>
          <w:rFonts w:ascii="方正小标宋简体" w:hAnsi="宋体" w:eastAsia="方正小标宋简体"/>
          <w:b/>
          <w:sz w:val="44"/>
          <w:szCs w:val="44"/>
        </w:rPr>
      </w:pPr>
    </w:p>
    <w:p>
      <w:pPr>
        <w:spacing w:line="560" w:lineRule="exact"/>
        <w:ind w:firstLine="3264" w:firstLineChars="739"/>
        <w:rPr>
          <w:rFonts w:ascii="方正小标宋简体" w:hAnsi="宋体" w:eastAsia="方正小标宋简体"/>
          <w:b/>
          <w:sz w:val="44"/>
          <w:szCs w:val="44"/>
        </w:rPr>
      </w:pPr>
    </w:p>
    <w:p>
      <w:pPr>
        <w:spacing w:line="560" w:lineRule="exact"/>
        <w:ind w:firstLine="3264" w:firstLineChars="739"/>
        <w:jc w:val="left"/>
        <w:rPr>
          <w:rFonts w:ascii="方正小标宋简体" w:hAnsi="宋体" w:eastAsia="方正小标宋简体"/>
          <w:b/>
          <w:sz w:val="44"/>
          <w:szCs w:val="44"/>
        </w:rPr>
      </w:pPr>
      <w:r>
        <w:rPr>
          <w:rFonts w:ascii="方正小标宋简体" w:hAnsi="宋体" w:eastAsia="方正小标宋简体"/>
          <w:b/>
          <w:sz w:val="44"/>
          <w:szCs w:val="44"/>
        </w:rPr>
        <w:t>202</w:t>
      </w:r>
      <w:r>
        <w:rPr>
          <w:rFonts w:hint="eastAsia" w:ascii="方正小标宋简体" w:hAnsi="宋体" w:eastAsia="方正小标宋简体"/>
          <w:b/>
          <w:sz w:val="44"/>
          <w:szCs w:val="44"/>
        </w:rPr>
        <w:t>3年度</w:t>
      </w:r>
    </w:p>
    <w:p>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中国共产党沐川县委员会组织部</w:t>
      </w:r>
    </w:p>
    <w:p>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部 门 决 算</w:t>
      </w: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p>
    <w:p>
      <w:pPr>
        <w:jc w:val="center"/>
        <w:rPr>
          <w:rFonts w:ascii="黑体" w:eastAsia="黑体" w:cs="黑体"/>
          <w:sz w:val="48"/>
          <w:szCs w:val="48"/>
          <w:lang w:val="zh-CN"/>
        </w:rPr>
      </w:pPr>
      <w:r>
        <w:rPr>
          <w:rFonts w:hint="eastAsia" w:ascii="黑体" w:eastAsia="黑体" w:cs="黑体"/>
          <w:sz w:val="48"/>
          <w:szCs w:val="48"/>
          <w:lang w:val="zh-CN"/>
        </w:rPr>
        <w:t>目录</w:t>
      </w:r>
    </w:p>
    <w:p>
      <w:pPr>
        <w:jc w:val="center"/>
        <w:rPr>
          <w:rFonts w:ascii="黑体" w:eastAsia="黑体" w:cs="黑体"/>
          <w:sz w:val="28"/>
          <w:szCs w:val="28"/>
          <w:lang w:val="zh-CN"/>
        </w:rPr>
      </w:pPr>
    </w:p>
    <w:p>
      <w:pPr>
        <w:tabs>
          <w:tab w:val="right" w:leader="dot" w:pos="8296"/>
        </w:tabs>
        <w:spacing w:before="93"/>
        <w:jc w:val="center"/>
        <w:rPr>
          <w:rFonts w:ascii="仿宋" w:eastAsia="仿宋" w:cs="仿宋"/>
          <w:sz w:val="28"/>
          <w:szCs w:val="28"/>
          <w:lang w:val="zh-CN"/>
        </w:rPr>
      </w:pPr>
      <w:r>
        <w:rPr>
          <w:rFonts w:hint="eastAsia" w:ascii="仿宋" w:eastAsia="仿宋" w:cs="仿宋"/>
          <w:sz w:val="28"/>
          <w:szCs w:val="28"/>
          <w:lang w:val="zh-CN"/>
        </w:rPr>
        <w:t>公开时间：</w:t>
      </w:r>
      <w:r>
        <w:rPr>
          <w:rFonts w:ascii="仿宋" w:eastAsia="仿宋" w:cs="仿宋"/>
          <w:sz w:val="28"/>
          <w:szCs w:val="28"/>
          <w:lang w:val="zh-CN"/>
        </w:rPr>
        <w:t>202</w:t>
      </w:r>
      <w:r>
        <w:rPr>
          <w:rFonts w:hint="eastAsia" w:ascii="仿宋" w:eastAsia="仿宋" w:cs="仿宋"/>
          <w:sz w:val="28"/>
          <w:szCs w:val="28"/>
          <w:lang w:val="zh-CN"/>
        </w:rPr>
        <w:t>4年9月14日</w:t>
      </w:r>
    </w:p>
    <w:p>
      <w:pPr>
        <w:rPr>
          <w:rFonts w:ascii="Times New Roman" w:hAnsi="Times New Roman" w:eastAsia="仿宋"/>
          <w:szCs w:val="21"/>
          <w:lang w:val="zh-CN"/>
        </w:rPr>
      </w:pPr>
    </w:p>
    <w:p>
      <w:pPr>
        <w:tabs>
          <w:tab w:val="right" w:leader="dot" w:pos="8296"/>
        </w:tabs>
        <w:spacing w:line="52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第一部分 部门概况</w:t>
      </w:r>
      <w:r>
        <w:rPr>
          <w:rFonts w:ascii="仿宋_GB2312" w:hAnsi="Times New Roman" w:eastAsia="仿宋_GB2312" w:cs="仿宋"/>
          <w:sz w:val="32"/>
          <w:szCs w:val="32"/>
          <w:lang w:val="zh-CN"/>
        </w:rPr>
        <w:t>………………………………………</w:t>
      </w:r>
      <w:r>
        <w:rPr>
          <w:rFonts w:hint="eastAsia" w:ascii="仿宋_GB2312" w:hAnsi="Times New Roman" w:eastAsia="仿宋_GB2312" w:cs="仿宋"/>
          <w:sz w:val="32"/>
          <w:szCs w:val="32"/>
          <w:lang w:val="zh-CN"/>
        </w:rPr>
        <w:t>4</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一、部门职责</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.4</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二、机构设置</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.4</w:t>
      </w:r>
    </w:p>
    <w:p>
      <w:pPr>
        <w:tabs>
          <w:tab w:val="right" w:leader="dot" w:pos="8296"/>
        </w:tabs>
        <w:spacing w:line="52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第二部分 2022年度部门决算情况说明</w:t>
      </w:r>
      <w:r>
        <w:rPr>
          <w:rFonts w:ascii="仿宋_GB2312" w:hAnsi="Times New Roman" w:eastAsia="仿宋_GB2312" w:cs="仿宋"/>
          <w:sz w:val="32"/>
          <w:szCs w:val="32"/>
          <w:lang w:val="zh-CN"/>
        </w:rPr>
        <w:t>………………</w:t>
      </w:r>
      <w:r>
        <w:rPr>
          <w:rFonts w:hint="eastAsia" w:ascii="仿宋_GB2312" w:hAnsi="Times New Roman" w:eastAsia="仿宋_GB2312" w:cs="仿宋"/>
          <w:sz w:val="32"/>
          <w:szCs w:val="32"/>
          <w:lang w:val="zh-CN"/>
        </w:rPr>
        <w:t>..5</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一、收入支出决算总体情况说明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.5</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二、收入决算情况说明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.5</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三、支出决算情况说明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.6</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四、财政拨款收入支出决算总体情况说明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.7</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五、一般公共预算财政拨款支出决算情况说明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.8</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六、一般公共预算财政拨款基本支出决算情况说明..11</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七、财政拨款“三公”经费支出决算情况说明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.11</w:t>
      </w:r>
    </w:p>
    <w:p>
      <w:pPr>
        <w:tabs>
          <w:tab w:val="right" w:leader="dot" w:pos="8296"/>
        </w:tabs>
        <w:spacing w:line="52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八、政府性基金预算支出决算情况说明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.13</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九、国有资本经营预算支出决算情况说明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.13</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十、其他重要事项的情况说明</w:t>
      </w:r>
      <w:r>
        <w:rPr>
          <w:rFonts w:ascii="仿宋_GB2312" w:hAnsi="Times New Roman" w:eastAsia="仿宋_GB2312" w:cs="宋体"/>
          <w:sz w:val="32"/>
          <w:szCs w:val="32"/>
          <w:lang w:val="zh-CN"/>
        </w:rPr>
        <w:t>………………………</w:t>
      </w:r>
      <w:r>
        <w:rPr>
          <w:rFonts w:hint="eastAsia" w:ascii="仿宋_GB2312" w:hAnsi="Times New Roman" w:eastAsia="仿宋_GB2312" w:cs="宋体"/>
          <w:sz w:val="32"/>
          <w:szCs w:val="32"/>
          <w:lang w:val="zh-CN"/>
        </w:rPr>
        <w:t>.13</w:t>
      </w:r>
    </w:p>
    <w:p>
      <w:pPr>
        <w:tabs>
          <w:tab w:val="right" w:leader="dot" w:pos="8296"/>
        </w:tabs>
        <w:spacing w:line="52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第三部分 名词解释</w:t>
      </w:r>
      <w:r>
        <w:rPr>
          <w:rFonts w:ascii="仿宋_GB2312" w:hAnsi="Times New Roman" w:eastAsia="仿宋_GB2312" w:cs="仿宋"/>
          <w:sz w:val="32"/>
          <w:szCs w:val="32"/>
          <w:lang w:val="zh-CN"/>
        </w:rPr>
        <w:t>………………………………………</w:t>
      </w:r>
      <w:r>
        <w:rPr>
          <w:rFonts w:hint="eastAsia" w:ascii="仿宋_GB2312" w:hAnsi="Times New Roman" w:eastAsia="仿宋_GB2312" w:cs="仿宋"/>
          <w:sz w:val="32"/>
          <w:szCs w:val="32"/>
          <w:lang w:val="zh-CN"/>
        </w:rPr>
        <w:t>.16</w:t>
      </w:r>
    </w:p>
    <w:p>
      <w:pPr>
        <w:tabs>
          <w:tab w:val="right" w:leader="dot" w:pos="8296"/>
        </w:tabs>
        <w:spacing w:line="52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第四部分 附件</w:t>
      </w:r>
      <w:r>
        <w:rPr>
          <w:rFonts w:ascii="仿宋_GB2312" w:hAnsi="Times New Roman" w:eastAsia="仿宋_GB2312" w:cs="仿宋"/>
          <w:sz w:val="32"/>
          <w:szCs w:val="32"/>
          <w:lang w:val="zh-CN"/>
        </w:rPr>
        <w:t>……………………………………………</w:t>
      </w:r>
      <w:r>
        <w:rPr>
          <w:rFonts w:hint="eastAsia" w:ascii="仿宋_GB2312" w:hAnsi="Times New Roman" w:eastAsia="仿宋_GB2312" w:cs="仿宋"/>
          <w:sz w:val="32"/>
          <w:szCs w:val="32"/>
          <w:lang w:val="zh-CN"/>
        </w:rPr>
        <w:t>.20</w:t>
      </w:r>
    </w:p>
    <w:p>
      <w:pPr>
        <w:tabs>
          <w:tab w:val="right" w:leader="dot" w:pos="8296"/>
        </w:tabs>
        <w:spacing w:line="52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第五部分 附表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一、收入支出决算总表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二、收入决算表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三、支出决算表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四、财政拨款收入支出决算总表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五、财政拨款支出决算明细表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六、一般公共预算财政拨款支出决算表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七、一般公共预算财政拨款支出决算明细表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八、一般公共预算财政拨款基本支出决算明细表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九、一般公共预算财政拨款项目支出决算表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十、政府性基金预算财政拨款收入支出决算表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十一、国有资本经营预算财政拨款收入支出决算表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十二、国有资本经营预算财政拨款支出决算表</w:t>
      </w:r>
    </w:p>
    <w:p>
      <w:pPr>
        <w:tabs>
          <w:tab w:val="right" w:leader="dot" w:pos="8296"/>
        </w:tabs>
        <w:spacing w:line="52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十三、财政拨款“三公”经费支出决算表</w:t>
      </w:r>
    </w:p>
    <w:p>
      <w:pPr>
        <w:ind w:firstLine="2400" w:firstLineChars="750"/>
        <w:rPr>
          <w:rFonts w:ascii="黑体" w:eastAsia="黑体"/>
          <w:sz w:val="32"/>
          <w:szCs w:val="32"/>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p>
    <w:p>
      <w:pPr>
        <w:ind w:firstLine="1966" w:firstLineChars="445"/>
        <w:rPr>
          <w:rFonts w:ascii="黑体" w:eastAsia="黑体"/>
          <w:b/>
          <w:sz w:val="44"/>
          <w:szCs w:val="44"/>
        </w:rPr>
      </w:pPr>
      <w:r>
        <w:rPr>
          <w:rFonts w:hint="eastAsia" w:ascii="黑体" w:eastAsia="黑体"/>
          <w:b/>
          <w:sz w:val="44"/>
          <w:szCs w:val="44"/>
        </w:rPr>
        <w:t>第一部分  部门概况</w:t>
      </w:r>
    </w:p>
    <w:p>
      <w:pPr>
        <w:rPr>
          <w:rFonts w:ascii="仿宋_GB2312" w:eastAsia="仿宋_GB2312"/>
          <w:b/>
          <w:sz w:val="32"/>
          <w:szCs w:val="32"/>
        </w:rPr>
      </w:pPr>
      <w:r>
        <w:rPr>
          <w:rFonts w:ascii="黑体" w:eastAsia="黑体"/>
          <w:sz w:val="32"/>
          <w:szCs w:val="32"/>
        </w:rPr>
        <w:t xml:space="preserve">    </w:t>
      </w:r>
      <w:r>
        <w:rPr>
          <w:rFonts w:hint="eastAsia" w:ascii="黑体" w:eastAsia="黑体"/>
          <w:sz w:val="32"/>
          <w:szCs w:val="32"/>
        </w:rPr>
        <w:t>一、部门职责</w:t>
      </w:r>
    </w:p>
    <w:p>
      <w:pPr>
        <w:widowControl/>
        <w:adjustRightInd w:val="0"/>
        <w:snapToGrid w:val="0"/>
        <w:spacing w:line="600" w:lineRule="exact"/>
        <w:ind w:firstLine="720"/>
        <w:jc w:val="left"/>
        <w:rPr>
          <w:rFonts w:ascii="仿宋" w:hAnsi="仿宋" w:eastAsia="仿宋" w:cs="宋体"/>
          <w:color w:val="000000"/>
          <w:kern w:val="0"/>
          <w:sz w:val="32"/>
          <w:szCs w:val="32"/>
          <w:lang w:val="zh-CN"/>
        </w:rPr>
      </w:pPr>
      <w:r>
        <w:rPr>
          <w:rFonts w:ascii="仿宋" w:hAnsi="仿宋" w:eastAsia="仿宋"/>
          <w:bCs/>
          <w:snapToGrid w:val="0"/>
          <w:kern w:val="0"/>
          <w:sz w:val="32"/>
          <w:szCs w:val="32"/>
        </w:rPr>
        <w:t>负责全县党的组织体系、组织制度建设</w:t>
      </w:r>
      <w:r>
        <w:rPr>
          <w:rFonts w:hint="eastAsia" w:ascii="仿宋" w:hAnsi="仿宋" w:eastAsia="仿宋"/>
          <w:bCs/>
          <w:snapToGrid w:val="0"/>
          <w:kern w:val="0"/>
          <w:sz w:val="32"/>
          <w:szCs w:val="32"/>
        </w:rPr>
        <w:t>、</w:t>
      </w:r>
      <w:r>
        <w:rPr>
          <w:rFonts w:ascii="仿宋" w:hAnsi="仿宋" w:eastAsia="仿宋"/>
          <w:bCs/>
          <w:snapToGrid w:val="0"/>
          <w:kern w:val="0"/>
          <w:sz w:val="32"/>
          <w:szCs w:val="32"/>
        </w:rPr>
        <w:t>党员教育工作。负责全县领导班子和干部队伍建设的总体规划和宏观管理。负责县委管理领导班子和领导干部的考察考核、日常管理，提出调整配备建议，审核办理任免、工资、退休、兼职、待遇等有关事项</w:t>
      </w:r>
      <w:r>
        <w:rPr>
          <w:rFonts w:hint="eastAsia" w:ascii="仿宋" w:hAnsi="仿宋" w:eastAsia="仿宋"/>
          <w:bCs/>
          <w:snapToGrid w:val="0"/>
          <w:kern w:val="0"/>
          <w:sz w:val="32"/>
          <w:szCs w:val="32"/>
        </w:rPr>
        <w:t>，</w:t>
      </w:r>
      <w:r>
        <w:rPr>
          <w:rFonts w:ascii="仿宋" w:hAnsi="仿宋" w:eastAsia="仿宋"/>
          <w:bCs/>
          <w:snapToGrid w:val="0"/>
          <w:kern w:val="0"/>
          <w:sz w:val="32"/>
          <w:szCs w:val="32"/>
        </w:rPr>
        <w:t>承担公务员录用、调配、考核、奖惩、培训、监督、工资福利等工作，指导公务员绩效管理工作。负责全县人才工作的宏观指导、组织协调和督促检查</w:t>
      </w:r>
      <w:r>
        <w:rPr>
          <w:rFonts w:hint="eastAsia" w:ascii="仿宋" w:hAnsi="仿宋" w:eastAsia="仿宋"/>
          <w:bCs/>
          <w:snapToGrid w:val="0"/>
          <w:kern w:val="0"/>
          <w:sz w:val="32"/>
          <w:szCs w:val="32"/>
        </w:rPr>
        <w:t>。</w:t>
      </w:r>
      <w:r>
        <w:rPr>
          <w:rFonts w:ascii="仿宋" w:hAnsi="仿宋" w:eastAsia="仿宋"/>
          <w:bCs/>
          <w:snapToGrid w:val="0"/>
          <w:color w:val="000000"/>
          <w:kern w:val="0"/>
          <w:sz w:val="32"/>
          <w:szCs w:val="32"/>
        </w:rPr>
        <w:t>贯彻落实党的老干部工作方针政策，组织老干部开展政治思想理论学习，落实老干部政治、生活待遇</w:t>
      </w:r>
      <w:r>
        <w:rPr>
          <w:rFonts w:hint="eastAsia" w:ascii="仿宋" w:hAnsi="仿宋" w:eastAsia="仿宋"/>
          <w:bCs/>
          <w:snapToGrid w:val="0"/>
          <w:color w:val="000000"/>
          <w:kern w:val="0"/>
          <w:sz w:val="32"/>
          <w:szCs w:val="32"/>
        </w:rPr>
        <w:t>。</w:t>
      </w:r>
    </w:p>
    <w:p>
      <w:pPr>
        <w:ind w:firstLine="643" w:firstLineChars="200"/>
        <w:rPr>
          <w:rFonts w:ascii="仿宋_GB2312" w:eastAsia="仿宋_GB2312"/>
          <w:b/>
          <w:sz w:val="32"/>
          <w:szCs w:val="32"/>
        </w:rPr>
      </w:pPr>
      <w:r>
        <w:rPr>
          <w:rFonts w:hint="eastAsia" w:ascii="仿宋_GB2312" w:eastAsia="仿宋_GB2312"/>
          <w:b/>
          <w:sz w:val="32"/>
          <w:szCs w:val="32"/>
        </w:rPr>
        <w:t>二、机构设置</w:t>
      </w:r>
    </w:p>
    <w:p>
      <w:pPr>
        <w:ind w:firstLine="640" w:firstLineChars="200"/>
        <w:rPr>
          <w:rFonts w:ascii="仿宋_GB2312" w:eastAsia="仿宋_GB2312"/>
          <w:b/>
          <w:sz w:val="32"/>
          <w:szCs w:val="32"/>
        </w:rPr>
      </w:pPr>
      <w:r>
        <w:rPr>
          <w:rFonts w:hint="eastAsia" w:ascii="仿宋" w:hAnsi="仿宋" w:eastAsia="仿宋"/>
          <w:kern w:val="0"/>
          <w:sz w:val="32"/>
          <w:szCs w:val="32"/>
        </w:rPr>
        <w:t>中共沐川县委组织部为一级预算单位,下属参公事业单位：县委组织部党员教育中心，事业单位：沐川县老干部活动中心、沐川县干部人事档案服务中心，县委直属参公事业单位：县委党史地志室。</w:t>
      </w:r>
    </w:p>
    <w:p>
      <w:pPr>
        <w:ind w:firstLine="643" w:firstLineChars="200"/>
        <w:rPr>
          <w:rFonts w:ascii="仿宋_GB2312" w:eastAsia="仿宋_GB2312"/>
          <w:b/>
          <w:sz w:val="32"/>
          <w:szCs w:val="32"/>
        </w:rPr>
      </w:pPr>
      <w:r>
        <w:rPr>
          <w:rFonts w:hint="eastAsia" w:ascii="仿宋_GB2312" w:eastAsia="仿宋_GB2312"/>
          <w:b/>
          <w:sz w:val="32"/>
          <w:szCs w:val="32"/>
        </w:rPr>
        <w:t>三、人员情况</w:t>
      </w:r>
    </w:p>
    <w:p>
      <w:pPr>
        <w:spacing w:line="560" w:lineRule="exact"/>
        <w:ind w:firstLine="640" w:firstLineChars="200"/>
        <w:rPr>
          <w:rFonts w:ascii="仿宋_GB2312" w:eastAsia="仿宋_GB2312"/>
          <w:sz w:val="32"/>
          <w:szCs w:val="32"/>
        </w:rPr>
      </w:pPr>
      <w:r>
        <w:rPr>
          <w:rFonts w:hint="eastAsia" w:ascii="仿宋" w:hAnsi="仿宋" w:eastAsia="仿宋"/>
          <w:kern w:val="0"/>
          <w:sz w:val="32"/>
          <w:szCs w:val="32"/>
        </w:rPr>
        <w:t>组织部总编制36个，其中：行政编制19个、工勤编制1个、参公编制7个、事业编制9个。在职人员总数32人，其中：行政16人、工勤1人、参公6人、事业6人。</w:t>
      </w:r>
      <w:r>
        <w:rPr>
          <w:rFonts w:hint="eastAsia" w:ascii="仿宋_GB2312" w:eastAsia="仿宋_GB2312"/>
          <w:sz w:val="32"/>
          <w:szCs w:val="32"/>
        </w:rPr>
        <w:t>另长骋人员1人，临聘人员1人，遗属1人。</w:t>
      </w:r>
    </w:p>
    <w:p>
      <w:pPr>
        <w:spacing w:line="560" w:lineRule="exact"/>
        <w:ind w:firstLine="640" w:firstLineChars="200"/>
        <w:rPr>
          <w:rFonts w:ascii="仿宋_GB2312" w:eastAsia="仿宋_GB2312"/>
          <w:sz w:val="32"/>
          <w:szCs w:val="32"/>
        </w:rPr>
      </w:pPr>
    </w:p>
    <w:p>
      <w:pPr>
        <w:spacing w:line="560" w:lineRule="exact"/>
        <w:ind w:firstLine="880" w:firstLineChars="200"/>
        <w:rPr>
          <w:rFonts w:ascii="仿宋_GB2312" w:eastAsia="仿宋_GB2312"/>
          <w:sz w:val="32"/>
          <w:szCs w:val="32"/>
        </w:rPr>
      </w:pPr>
      <w:r>
        <w:rPr>
          <w:rFonts w:hint="eastAsia" w:ascii="黑体" w:hAnsi="Cambria" w:eastAsia="黑体" w:cs="黑体"/>
          <w:color w:val="000000"/>
          <w:kern w:val="44"/>
          <w:sz w:val="44"/>
          <w:szCs w:val="44"/>
          <w:lang w:val="zh-CN"/>
        </w:rPr>
        <w:t>第二部分</w:t>
      </w:r>
      <w:r>
        <w:rPr>
          <w:rFonts w:ascii="黑体" w:hAnsi="Cambria" w:eastAsia="黑体" w:cs="黑体"/>
          <w:b/>
          <w:bCs/>
          <w:color w:val="000000"/>
          <w:kern w:val="44"/>
          <w:sz w:val="44"/>
          <w:szCs w:val="44"/>
          <w:lang w:val="zh-CN"/>
        </w:rPr>
        <w:t xml:space="preserve"> </w:t>
      </w:r>
      <w:r>
        <w:rPr>
          <w:rFonts w:ascii="黑体" w:hAnsi="Cambria" w:eastAsia="黑体" w:cs="黑体"/>
          <w:kern w:val="44"/>
          <w:sz w:val="44"/>
          <w:szCs w:val="44"/>
          <w:lang w:val="zh-CN"/>
        </w:rPr>
        <w:t>202</w:t>
      </w:r>
      <w:r>
        <w:rPr>
          <w:rFonts w:hint="eastAsia" w:ascii="黑体" w:hAnsi="Cambria" w:eastAsia="黑体" w:cs="黑体"/>
          <w:kern w:val="44"/>
          <w:sz w:val="44"/>
          <w:szCs w:val="44"/>
          <w:lang w:val="zh-CN"/>
        </w:rPr>
        <w:t>3年度部门决算情况说明</w:t>
      </w:r>
    </w:p>
    <w:p>
      <w:pPr>
        <w:spacing w:line="560" w:lineRule="exact"/>
        <w:ind w:firstLine="640" w:firstLineChars="200"/>
        <w:rPr>
          <w:rFonts w:ascii="仿宋_GB2312" w:eastAsia="仿宋_GB2312"/>
          <w:sz w:val="32"/>
          <w:szCs w:val="32"/>
        </w:rPr>
      </w:pPr>
    </w:p>
    <w:p>
      <w:pPr>
        <w:ind w:firstLine="640" w:firstLineChars="200"/>
        <w:rPr>
          <w:rFonts w:ascii="黑体" w:eastAsia="黑体"/>
          <w:sz w:val="32"/>
          <w:szCs w:val="32"/>
        </w:rPr>
      </w:pPr>
      <w:r>
        <w:rPr>
          <w:rFonts w:hint="eastAsia" w:ascii="黑体" w:eastAsia="黑体"/>
          <w:sz w:val="32"/>
          <w:szCs w:val="32"/>
        </w:rPr>
        <w:t>一、</w:t>
      </w:r>
      <w:r>
        <w:rPr>
          <w:rFonts w:hint="eastAsia" w:ascii="黑体" w:hAnsi="Times New Roman" w:eastAsia="黑体" w:cs="黑体"/>
          <w:color w:val="000000"/>
          <w:sz w:val="32"/>
          <w:szCs w:val="32"/>
          <w:lang w:val="zh-CN"/>
        </w:rPr>
        <w:t>收</w:t>
      </w:r>
      <w:r>
        <w:rPr>
          <w:rFonts w:hint="eastAsia" w:ascii="黑体" w:hAnsi="Times New Roman" w:eastAsia="黑体" w:cs="黑体"/>
          <w:sz w:val="32"/>
          <w:szCs w:val="32"/>
          <w:lang w:val="zh-CN"/>
        </w:rPr>
        <w:t>入支出决算总体情况说明</w:t>
      </w:r>
    </w:p>
    <w:p>
      <w:pPr>
        <w:ind w:firstLine="640" w:firstLineChars="200"/>
        <w:rPr>
          <w:rFonts w:ascii="仿宋_GB2312" w:eastAsia="仿宋_GB2312"/>
          <w:sz w:val="32"/>
          <w:szCs w:val="32"/>
        </w:rPr>
      </w:pPr>
      <w:r>
        <w:rPr>
          <w:rFonts w:hint="eastAsia" w:ascii="仿宋_GB2312" w:eastAsia="仿宋_GB2312"/>
          <w:sz w:val="32"/>
          <w:szCs w:val="32"/>
        </w:rPr>
        <w:t>2022年组织部收、支总计1130.48万元。与2022年相比收、支增加176.32万元，增长18.48%，主要原因是增加东西部协作项目支出。</w:t>
      </w:r>
    </w:p>
    <w:p>
      <w:pPr>
        <w:ind w:firstLine="640" w:firstLineChars="200"/>
        <w:rPr>
          <w:rFonts w:ascii="仿宋_GB2312" w:eastAsia="仿宋_GB2312"/>
          <w:sz w:val="32"/>
          <w:szCs w:val="32"/>
        </w:rPr>
      </w:pPr>
      <w:r>
        <w:rPr>
          <w:rFonts w:hint="eastAsia" w:ascii="仿宋_GB2312" w:eastAsia="仿宋_GB2312"/>
          <w:sz w:val="32"/>
          <w:szCs w:val="32"/>
        </w:rPr>
        <w:t xml:space="preserve">        2023年</w:t>
      </w:r>
      <w:r>
        <w:rPr>
          <w:rFonts w:hint="eastAsia" w:ascii="仿宋" w:hAnsi="Times New Roman" w:eastAsia="仿宋" w:cs="仿宋"/>
          <w:sz w:val="32"/>
          <w:szCs w:val="32"/>
        </w:rPr>
        <w:t>收、支决算总计变动情况图</w:t>
      </w:r>
    </w:p>
    <w:p>
      <w:pPr>
        <w:ind w:firstLine="420" w:firstLineChars="200"/>
        <w:rPr>
          <w:rFonts w:ascii="仿宋_GB2312" w:eastAsia="仿宋_GB2312"/>
          <w:sz w:val="32"/>
          <w:szCs w:val="32"/>
        </w:rPr>
      </w:pPr>
      <w:r>
        <w:drawing>
          <wp:inline distT="0" distB="0" distL="0" distR="0">
            <wp:extent cx="4572000" cy="2743200"/>
            <wp:effectExtent l="0" t="0" r="19050" b="190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640" w:firstLineChars="200"/>
        <w:rPr>
          <w:rFonts w:ascii="仿宋_GB2312" w:eastAsia="仿宋_GB2312"/>
          <w:sz w:val="32"/>
          <w:szCs w:val="32"/>
        </w:rPr>
      </w:pPr>
      <w:r>
        <w:rPr>
          <w:rFonts w:hint="eastAsia" w:ascii="黑体" w:hAnsi="Times New Roman" w:eastAsia="黑体" w:cs="黑体"/>
          <w:color w:val="000000"/>
          <w:sz w:val="32"/>
          <w:szCs w:val="32"/>
          <w:lang w:val="zh-CN"/>
        </w:rPr>
        <w:t>二、收</w:t>
      </w:r>
      <w:r>
        <w:rPr>
          <w:rFonts w:hint="eastAsia" w:ascii="黑体" w:hAnsi="Times New Roman" w:eastAsia="黑体" w:cs="黑体"/>
          <w:sz w:val="32"/>
          <w:szCs w:val="32"/>
          <w:lang w:val="zh-CN"/>
        </w:rPr>
        <w:t>入决算情况说明</w:t>
      </w:r>
    </w:p>
    <w:p>
      <w:pPr>
        <w:ind w:firstLine="640" w:firstLineChars="20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w:t>
      </w:r>
      <w:r>
        <w:rPr>
          <w:rFonts w:hint="eastAsia" w:ascii="仿宋_GB2312" w:hAnsi="Times New Roman" w:eastAsia="仿宋_GB2312" w:cs="仿宋_GB2312"/>
          <w:color w:val="000000"/>
          <w:sz w:val="32"/>
          <w:szCs w:val="32"/>
          <w:lang w:val="zh-CN"/>
        </w:rPr>
        <w:t>3年本年收入合计1130.48万元，其中：一般公共预算财政拨款收入1130.48万元，占100</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。其中一般公共服务支出651.18万元，社会保障和就业支出118.94万元，卫生健康支出18.07万元，农林水支出302.1万元，住房保障支出40.19万元。政府性基金预算财政拨款收入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；国有资本经营预算财政拨款收入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；上级补助收入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；事业收入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；经营收入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；附属单位上缴收入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；其他收入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w:t>
      </w:r>
    </w:p>
    <w:p>
      <w:pPr>
        <w:ind w:firstLine="2891" w:firstLineChars="900"/>
        <w:rPr>
          <w:rFonts w:ascii="仿宋_GB2312" w:hAnsi="Times New Roman" w:eastAsia="仿宋_GB2312" w:cs="仿宋_GB2312"/>
          <w:b/>
          <w:color w:val="000000"/>
          <w:sz w:val="32"/>
          <w:szCs w:val="32"/>
          <w:lang w:val="zh-CN"/>
        </w:rPr>
      </w:pPr>
      <w:r>
        <w:rPr>
          <w:rFonts w:hint="eastAsia" w:ascii="仿宋" w:hAnsi="Times New Roman" w:eastAsia="仿宋" w:cs="仿宋"/>
          <w:b/>
          <w:sz w:val="32"/>
          <w:szCs w:val="32"/>
        </w:rPr>
        <w:t>2023年收入决算结构图</w:t>
      </w:r>
    </w:p>
    <w:p>
      <w:pPr>
        <w:ind w:firstLine="420" w:firstLineChars="200"/>
      </w:pPr>
    </w:p>
    <w:p>
      <w:pPr>
        <w:ind w:firstLine="420" w:firstLineChars="200"/>
        <w:rPr>
          <w:rFonts w:ascii="黑体" w:hAnsi="Times New Roman" w:eastAsia="黑体" w:cs="黑体"/>
          <w:color w:val="000000"/>
          <w:sz w:val="32"/>
          <w:szCs w:val="32"/>
          <w:lang w:val="zh-CN"/>
        </w:rPr>
      </w:pPr>
      <w:r>
        <w:drawing>
          <wp:inline distT="0" distB="0" distL="0" distR="0">
            <wp:extent cx="4572000" cy="2743200"/>
            <wp:effectExtent l="0" t="0" r="19050" b="190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ind w:firstLine="640" w:firstLineChars="200"/>
        <w:rPr>
          <w:rFonts w:ascii="楷体_GB2312" w:hAnsi="仿宋" w:eastAsia="楷体_GB2312"/>
          <w:b/>
          <w:sz w:val="32"/>
          <w:szCs w:val="32"/>
        </w:rPr>
      </w:pPr>
      <w:r>
        <w:rPr>
          <w:rFonts w:hint="eastAsia" w:ascii="黑体" w:hAnsi="Times New Roman" w:eastAsia="黑体" w:cs="黑体"/>
          <w:color w:val="000000"/>
          <w:sz w:val="32"/>
          <w:szCs w:val="32"/>
          <w:lang w:val="zh-CN"/>
        </w:rPr>
        <w:t>三、支</w:t>
      </w:r>
      <w:r>
        <w:rPr>
          <w:rFonts w:hint="eastAsia" w:ascii="黑体" w:hAnsi="Times New Roman" w:eastAsia="黑体" w:cs="黑体"/>
          <w:sz w:val="32"/>
          <w:szCs w:val="32"/>
          <w:lang w:val="zh-CN"/>
        </w:rPr>
        <w:t>出决算情况说明</w:t>
      </w:r>
    </w:p>
    <w:p>
      <w:pPr>
        <w:ind w:firstLine="640" w:firstLineChars="20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w:t>
      </w:r>
      <w:r>
        <w:rPr>
          <w:rFonts w:hint="eastAsia" w:ascii="仿宋_GB2312" w:hAnsi="Times New Roman" w:eastAsia="仿宋_GB2312" w:cs="仿宋_GB2312"/>
          <w:color w:val="000000"/>
          <w:sz w:val="32"/>
          <w:szCs w:val="32"/>
          <w:lang w:val="zh-CN"/>
        </w:rPr>
        <w:t>3年本年支出合计1130.48万元，其中：基本支出606.08万元，占53.6</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；项目支出524.4万元，占46.4</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；上缴上级支出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；经营支出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；对附属单位补助支出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w:t>
      </w:r>
    </w:p>
    <w:p>
      <w:pPr>
        <w:ind w:firstLine="640" w:firstLineChars="200"/>
        <w:rPr>
          <w:rFonts w:ascii="仿宋_GB2312" w:hAnsi="Times New Roman" w:eastAsia="仿宋_GB2312" w:cs="仿宋_GB2312"/>
          <w:b/>
          <w:color w:val="000000"/>
          <w:sz w:val="32"/>
          <w:szCs w:val="32"/>
          <w:lang w:val="zh-CN"/>
        </w:rPr>
      </w:pPr>
      <w:r>
        <w:rPr>
          <w:rFonts w:hint="eastAsia" w:ascii="仿宋_GB2312" w:hAnsi="Times New Roman" w:eastAsia="仿宋_GB2312" w:cs="仿宋_GB2312"/>
          <w:color w:val="000000"/>
          <w:sz w:val="32"/>
          <w:szCs w:val="32"/>
          <w:lang w:val="zh-CN"/>
        </w:rPr>
        <w:t xml:space="preserve">             </w:t>
      </w:r>
      <w:r>
        <w:rPr>
          <w:rFonts w:hint="eastAsia" w:ascii="仿宋" w:hAnsi="Times New Roman" w:eastAsia="仿宋" w:cs="仿宋"/>
          <w:b/>
          <w:sz w:val="32"/>
          <w:szCs w:val="32"/>
        </w:rPr>
        <w:t>2023年总体支出结构图</w:t>
      </w:r>
    </w:p>
    <w:p>
      <w:pPr>
        <w:ind w:firstLine="420" w:firstLineChars="200"/>
      </w:pPr>
      <w:r>
        <w:drawing>
          <wp:inline distT="0" distB="0" distL="0" distR="0">
            <wp:extent cx="4572000" cy="2743200"/>
            <wp:effectExtent l="0" t="0" r="19050"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firstLine="420" w:firstLineChars="200"/>
      </w:pPr>
    </w:p>
    <w:p>
      <w:pPr>
        <w:ind w:firstLine="640" w:firstLineChars="200"/>
        <w:rPr>
          <w:rFonts w:ascii="楷体_GB2312" w:hAnsi="仿宋" w:eastAsia="楷体_GB2312"/>
          <w:b/>
          <w:sz w:val="32"/>
          <w:szCs w:val="32"/>
        </w:rPr>
      </w:pPr>
      <w:r>
        <w:rPr>
          <w:rFonts w:hint="eastAsia" w:ascii="黑体" w:hAnsi="Times New Roman" w:eastAsia="黑体" w:cs="黑体"/>
          <w:color w:val="000000"/>
          <w:sz w:val="32"/>
          <w:szCs w:val="32"/>
          <w:lang w:val="zh-CN"/>
        </w:rPr>
        <w:t>四、财</w:t>
      </w:r>
      <w:r>
        <w:rPr>
          <w:rFonts w:hint="eastAsia" w:ascii="黑体" w:hAnsi="Times New Roman" w:eastAsia="黑体" w:cs="黑体"/>
          <w:sz w:val="32"/>
          <w:szCs w:val="32"/>
          <w:lang w:val="zh-CN"/>
        </w:rPr>
        <w:t>政拨款收入支出决算总体情况说明</w:t>
      </w:r>
    </w:p>
    <w:p>
      <w:pPr>
        <w:spacing w:line="576" w:lineRule="exact"/>
        <w:ind w:firstLine="64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w:t>
      </w:r>
      <w:r>
        <w:rPr>
          <w:rFonts w:hint="eastAsia" w:ascii="仿宋_GB2312" w:hAnsi="Times New Roman" w:eastAsia="仿宋_GB2312" w:cs="仿宋_GB2312"/>
          <w:color w:val="000000"/>
          <w:sz w:val="32"/>
          <w:szCs w:val="32"/>
          <w:lang w:val="zh-CN"/>
        </w:rPr>
        <w:t>3年财政拨款收、支总计1130.48万元。与</w:t>
      </w:r>
      <w:r>
        <w:rPr>
          <w:rFonts w:ascii="仿宋_GB2312" w:hAnsi="Times New Roman" w:eastAsia="仿宋_GB2312" w:cs="仿宋_GB2312"/>
          <w:color w:val="000000"/>
          <w:sz w:val="32"/>
          <w:szCs w:val="32"/>
          <w:lang w:val="zh-CN"/>
        </w:rPr>
        <w:t>202</w:t>
      </w:r>
      <w:r>
        <w:rPr>
          <w:rFonts w:hint="eastAsia" w:ascii="仿宋_GB2312" w:hAnsi="Times New Roman" w:eastAsia="仿宋_GB2312" w:cs="仿宋_GB2312"/>
          <w:color w:val="000000"/>
          <w:sz w:val="32"/>
          <w:szCs w:val="32"/>
          <w:lang w:val="zh-CN"/>
        </w:rPr>
        <w:t>2年相比，财政拨款收、支总计增加176.32万元，增加18.48</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。主要变动原因是增加东西部协作项目支出。</w:t>
      </w:r>
    </w:p>
    <w:p>
      <w:pPr>
        <w:spacing w:line="576" w:lineRule="exact"/>
        <w:ind w:firstLine="640"/>
        <w:rPr>
          <w:rFonts w:ascii="仿宋" w:hAnsi="Times New Roman" w:eastAsia="仿宋" w:cs="仿宋"/>
          <w:sz w:val="32"/>
          <w:szCs w:val="32"/>
        </w:rPr>
      </w:pPr>
      <w:r>
        <w:rPr>
          <w:rFonts w:hint="eastAsia" w:ascii="仿宋" w:hAnsi="Times New Roman" w:eastAsia="仿宋" w:cs="仿宋"/>
          <w:sz w:val="32"/>
          <w:szCs w:val="32"/>
        </w:rPr>
        <w:t>（图</w:t>
      </w:r>
      <w:r>
        <w:rPr>
          <w:rFonts w:ascii="仿宋" w:hAnsi="Times New Roman" w:eastAsia="仿宋" w:cs="仿宋"/>
          <w:sz w:val="32"/>
          <w:szCs w:val="32"/>
        </w:rPr>
        <w:t>4</w:t>
      </w:r>
      <w:r>
        <w:rPr>
          <w:rFonts w:hint="eastAsia" w:ascii="仿宋" w:hAnsi="Times New Roman" w:eastAsia="仿宋" w:cs="仿宋"/>
          <w:sz w:val="32"/>
          <w:szCs w:val="32"/>
        </w:rPr>
        <w:t>：财政拨款收、支决算总计变动情况）（柱状图）</w:t>
      </w:r>
    </w:p>
    <w:p>
      <w:pPr>
        <w:spacing w:line="576" w:lineRule="exact"/>
        <w:ind w:firstLine="640"/>
        <w:rPr>
          <w:rFonts w:ascii="黑体" w:hAnsi="Times New Roman" w:eastAsia="黑体" w:cs="黑体"/>
          <w:color w:val="000000"/>
          <w:sz w:val="32"/>
          <w:szCs w:val="32"/>
        </w:rPr>
      </w:pPr>
    </w:p>
    <w:p>
      <w:pPr>
        <w:spacing w:line="576" w:lineRule="exact"/>
        <w:ind w:firstLine="640"/>
        <w:rPr>
          <w:rFonts w:ascii="黑体" w:hAnsi="Times New Roman" w:eastAsia="黑体" w:cs="黑体"/>
          <w:color w:val="000000"/>
          <w:sz w:val="32"/>
          <w:szCs w:val="32"/>
        </w:rPr>
      </w:pPr>
      <w:r>
        <w:drawing>
          <wp:anchor distT="0" distB="0" distL="114300" distR="114300" simplePos="0" relativeHeight="251660288" behindDoc="0" locked="0" layoutInCell="1" allowOverlap="1">
            <wp:simplePos x="0" y="0"/>
            <wp:positionH relativeFrom="column">
              <wp:posOffset>533400</wp:posOffset>
            </wp:positionH>
            <wp:positionV relativeFrom="paragraph">
              <wp:posOffset>132715</wp:posOffset>
            </wp:positionV>
            <wp:extent cx="4572000" cy="2743200"/>
            <wp:effectExtent l="0" t="0" r="19050" b="19050"/>
            <wp:wrapSquare wrapText="bothSides"/>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76" w:lineRule="exact"/>
        <w:ind w:firstLine="640"/>
        <w:rPr>
          <w:rFonts w:ascii="黑体" w:hAnsi="Times New Roman" w:eastAsia="黑体" w:cs="黑体"/>
          <w:color w:val="000000"/>
          <w:sz w:val="32"/>
          <w:szCs w:val="32"/>
        </w:rPr>
      </w:pPr>
    </w:p>
    <w:p>
      <w:pPr>
        <w:spacing w:line="576" w:lineRule="exact"/>
        <w:ind w:firstLine="640"/>
        <w:rPr>
          <w:rFonts w:ascii="黑体" w:hAnsi="Times New Roman" w:eastAsia="黑体" w:cs="黑体"/>
          <w:color w:val="000000"/>
          <w:sz w:val="32"/>
          <w:szCs w:val="32"/>
        </w:rPr>
      </w:pPr>
    </w:p>
    <w:p>
      <w:pPr>
        <w:spacing w:line="576" w:lineRule="exact"/>
        <w:ind w:firstLine="640"/>
        <w:rPr>
          <w:rFonts w:ascii="黑体" w:hAnsi="Times New Roman" w:eastAsia="黑体" w:cs="黑体"/>
          <w:color w:val="000000"/>
          <w:sz w:val="32"/>
          <w:szCs w:val="32"/>
        </w:rPr>
      </w:pPr>
    </w:p>
    <w:p>
      <w:pPr>
        <w:spacing w:line="576" w:lineRule="exact"/>
        <w:ind w:firstLine="640"/>
        <w:rPr>
          <w:rFonts w:ascii="黑体" w:hAnsi="Times New Roman" w:eastAsia="黑体" w:cs="黑体"/>
          <w:color w:val="000000"/>
          <w:sz w:val="32"/>
          <w:szCs w:val="32"/>
        </w:rPr>
      </w:pPr>
    </w:p>
    <w:p>
      <w:pPr>
        <w:spacing w:line="576" w:lineRule="exact"/>
        <w:ind w:firstLine="640"/>
        <w:rPr>
          <w:rFonts w:ascii="黑体" w:hAnsi="Times New Roman" w:eastAsia="黑体" w:cs="黑体"/>
          <w:color w:val="000000"/>
          <w:sz w:val="32"/>
          <w:szCs w:val="32"/>
        </w:rPr>
      </w:pPr>
    </w:p>
    <w:p>
      <w:pPr>
        <w:spacing w:line="576" w:lineRule="exact"/>
        <w:ind w:firstLine="640"/>
        <w:rPr>
          <w:rFonts w:ascii="黑体" w:hAnsi="Times New Roman" w:eastAsia="黑体" w:cs="黑体"/>
          <w:color w:val="000000"/>
          <w:sz w:val="32"/>
          <w:szCs w:val="32"/>
        </w:rPr>
      </w:pPr>
    </w:p>
    <w:p>
      <w:pPr>
        <w:spacing w:line="576" w:lineRule="exact"/>
        <w:ind w:firstLine="640"/>
        <w:rPr>
          <w:rFonts w:ascii="黑体" w:hAnsi="Times New Roman" w:eastAsia="黑体" w:cs="黑体"/>
          <w:color w:val="000000"/>
          <w:sz w:val="32"/>
          <w:szCs w:val="32"/>
        </w:rPr>
      </w:pPr>
    </w:p>
    <w:p>
      <w:pPr>
        <w:spacing w:line="576" w:lineRule="exact"/>
        <w:ind w:firstLine="640"/>
        <w:rPr>
          <w:rFonts w:ascii="仿宋_GB2312" w:hAnsi="Times New Roman" w:eastAsia="仿宋_GB2312" w:cs="仿宋_GB2312"/>
          <w:color w:val="000000"/>
          <w:sz w:val="32"/>
          <w:szCs w:val="32"/>
          <w:lang w:val="zh-CN"/>
        </w:rPr>
      </w:pPr>
      <w:r>
        <w:rPr>
          <w:rFonts w:hint="eastAsia" w:ascii="黑体" w:hAnsi="Times New Roman" w:eastAsia="黑体" w:cs="黑体"/>
          <w:color w:val="000000"/>
          <w:sz w:val="32"/>
          <w:szCs w:val="32"/>
          <w:lang w:val="zh-CN"/>
        </w:rPr>
        <w:t>五、</w:t>
      </w:r>
      <w:r>
        <w:rPr>
          <w:rFonts w:hint="eastAsia" w:ascii="黑体" w:hAnsi="Times New Roman" w:eastAsia="黑体" w:cs="黑体"/>
          <w:b/>
          <w:bCs/>
          <w:color w:val="000000"/>
          <w:sz w:val="32"/>
          <w:szCs w:val="32"/>
          <w:lang w:val="zh-CN"/>
        </w:rPr>
        <w:t>一</w:t>
      </w:r>
      <w:r>
        <w:rPr>
          <w:rFonts w:hint="eastAsia" w:ascii="黑体" w:hAnsi="Times New Roman" w:eastAsia="黑体" w:cs="黑体"/>
          <w:sz w:val="32"/>
          <w:szCs w:val="32"/>
          <w:lang w:val="zh-CN"/>
        </w:rPr>
        <w:t>般公共预算财政拨款支出决算情况说明</w:t>
      </w:r>
    </w:p>
    <w:p>
      <w:pPr>
        <w:spacing w:line="576" w:lineRule="exact"/>
        <w:ind w:firstLine="640"/>
        <w:rPr>
          <w:rFonts w:ascii="仿宋_GB2312" w:hAnsi="Times New Roman" w:eastAsia="仿宋_GB2312" w:cs="仿宋_GB2312"/>
          <w:color w:val="000000"/>
          <w:sz w:val="32"/>
          <w:szCs w:val="32"/>
          <w:lang w:val="zh-CN"/>
        </w:rPr>
      </w:pPr>
      <w:r>
        <w:rPr>
          <w:rFonts w:hint="eastAsia" w:ascii="仿宋_GB2312" w:hAnsi="Times New Roman" w:eastAsia="仿宋_GB2312" w:cs="仿宋_GB2312"/>
          <w:b/>
          <w:bCs/>
          <w:color w:val="000000"/>
          <w:sz w:val="32"/>
          <w:szCs w:val="32"/>
          <w:lang w:val="zh-CN"/>
        </w:rPr>
        <w:t>（一）一般公共预算财政拨款支出决算总体情况。</w:t>
      </w:r>
    </w:p>
    <w:p>
      <w:pPr>
        <w:spacing w:line="576" w:lineRule="exact"/>
        <w:ind w:firstLine="64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w:t>
      </w:r>
      <w:r>
        <w:rPr>
          <w:rFonts w:hint="eastAsia" w:ascii="仿宋_GB2312" w:hAnsi="Times New Roman" w:eastAsia="仿宋_GB2312" w:cs="仿宋_GB2312"/>
          <w:color w:val="000000"/>
          <w:sz w:val="32"/>
          <w:szCs w:val="32"/>
          <w:lang w:val="zh-CN"/>
        </w:rPr>
        <w:t>3年一般公共预算财政拨款支出1130.48万元，占本年支出合计的</w:t>
      </w:r>
      <w:r>
        <w:rPr>
          <w:rFonts w:ascii="仿宋_GB2312" w:hAnsi="Times New Roman" w:eastAsia="仿宋_GB2312" w:cs="仿宋_GB2312"/>
          <w:color w:val="000000"/>
          <w:sz w:val="32"/>
          <w:szCs w:val="32"/>
          <w:lang w:val="zh-CN"/>
        </w:rPr>
        <w:t>100%</w:t>
      </w:r>
      <w:r>
        <w:rPr>
          <w:rFonts w:hint="eastAsia" w:ascii="仿宋_GB2312" w:hAnsi="Times New Roman" w:eastAsia="仿宋_GB2312" w:cs="仿宋_GB2312"/>
          <w:color w:val="000000"/>
          <w:sz w:val="32"/>
          <w:szCs w:val="32"/>
          <w:lang w:val="zh-CN"/>
        </w:rPr>
        <w:t>。与</w:t>
      </w:r>
      <w:r>
        <w:rPr>
          <w:rFonts w:ascii="仿宋_GB2312" w:hAnsi="Times New Roman" w:eastAsia="仿宋_GB2312" w:cs="仿宋_GB2312"/>
          <w:color w:val="000000"/>
          <w:sz w:val="32"/>
          <w:szCs w:val="32"/>
          <w:lang w:val="zh-CN"/>
        </w:rPr>
        <w:t>202</w:t>
      </w:r>
      <w:r>
        <w:rPr>
          <w:rFonts w:hint="eastAsia" w:ascii="仿宋_GB2312" w:hAnsi="Times New Roman" w:eastAsia="仿宋_GB2312" w:cs="仿宋_GB2312"/>
          <w:color w:val="000000"/>
          <w:sz w:val="32"/>
          <w:szCs w:val="32"/>
          <w:lang w:val="zh-CN"/>
        </w:rPr>
        <w:t>2年相比，一般公共预算财政拨款支出增加176.32万元，增加18.48</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。主要变动原因是增加东西部协作项目支出。</w:t>
      </w:r>
    </w:p>
    <w:p>
      <w:pPr>
        <w:ind w:firstLine="643" w:firstLineChars="200"/>
        <w:rPr>
          <w:rFonts w:ascii="仿宋" w:hAnsi="Times New Roman" w:eastAsia="仿宋" w:cs="仿宋"/>
          <w:b/>
          <w:sz w:val="32"/>
          <w:szCs w:val="32"/>
        </w:rPr>
      </w:pPr>
      <w:r>
        <w:rPr>
          <w:rFonts w:hint="eastAsia" w:ascii="楷体_GB2312" w:hAnsi="仿宋" w:eastAsia="楷体_GB2312"/>
          <w:b/>
          <w:sz w:val="32"/>
          <w:szCs w:val="32"/>
        </w:rPr>
        <w:t xml:space="preserve">      </w:t>
      </w:r>
      <w:r>
        <w:rPr>
          <w:rFonts w:hint="eastAsia" w:ascii="仿宋" w:hAnsi="Times New Roman" w:eastAsia="仿宋" w:cs="仿宋"/>
          <w:b/>
          <w:sz w:val="32"/>
          <w:szCs w:val="32"/>
        </w:rPr>
        <w:t>一般公共预算财政拨款支出决算变动情况</w:t>
      </w:r>
    </w:p>
    <w:p>
      <w:pPr>
        <w:ind w:firstLine="420" w:firstLineChars="200"/>
        <w:rPr>
          <w:rFonts w:ascii="楷体_GB2312" w:hAnsi="仿宋" w:eastAsia="楷体_GB2312"/>
          <w:b/>
          <w:sz w:val="32"/>
          <w:szCs w:val="32"/>
        </w:rPr>
      </w:pPr>
      <w:r>
        <w:drawing>
          <wp:inline distT="0" distB="0" distL="0" distR="0">
            <wp:extent cx="4572000" cy="2743200"/>
            <wp:effectExtent l="0" t="0" r="19050" b="1905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firstLine="643" w:firstLineChars="200"/>
        <w:rPr>
          <w:rFonts w:ascii="仿宋_GB2312" w:hAnsi="Times New Roman" w:eastAsia="仿宋_GB2312" w:cs="仿宋_GB2312"/>
          <w:b/>
          <w:bCs/>
          <w:color w:val="000000"/>
          <w:sz w:val="32"/>
          <w:szCs w:val="32"/>
          <w:lang w:val="zh-CN"/>
        </w:rPr>
      </w:pPr>
      <w:r>
        <w:rPr>
          <w:rFonts w:hint="eastAsia" w:ascii="仿宋_GB2312" w:hAnsi="Times New Roman" w:eastAsia="仿宋_GB2312" w:cs="仿宋_GB2312"/>
          <w:b/>
          <w:bCs/>
          <w:color w:val="000000"/>
          <w:sz w:val="32"/>
          <w:szCs w:val="32"/>
          <w:lang w:val="zh-CN"/>
        </w:rPr>
        <w:t>（二）一般公共预算财政拨款支出决算结构情况。</w:t>
      </w:r>
    </w:p>
    <w:p>
      <w:pPr>
        <w:ind w:firstLine="640" w:firstLineChars="20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w:t>
      </w:r>
      <w:r>
        <w:rPr>
          <w:rFonts w:hint="eastAsia" w:ascii="仿宋_GB2312" w:hAnsi="Times New Roman" w:eastAsia="仿宋_GB2312" w:cs="仿宋_GB2312"/>
          <w:color w:val="000000"/>
          <w:sz w:val="32"/>
          <w:szCs w:val="32"/>
          <w:lang w:val="zh-CN"/>
        </w:rPr>
        <w:t>3年一般公共预算财政拨款支出1130.48万元，主要用于以下方面</w:t>
      </w:r>
      <w:r>
        <w:rPr>
          <w:rFonts w:ascii="仿宋_GB2312" w:hAnsi="Times New Roman" w:eastAsia="仿宋_GB2312" w:cs="仿宋_GB2312"/>
          <w:color w:val="000000"/>
          <w:sz w:val="32"/>
          <w:szCs w:val="32"/>
          <w:lang w:val="zh-CN"/>
        </w:rPr>
        <w:t xml:space="preserve">: </w:t>
      </w:r>
      <w:r>
        <w:rPr>
          <w:rFonts w:hint="eastAsia" w:ascii="仿宋_GB2312" w:hAnsi="Times New Roman" w:eastAsia="仿宋_GB2312" w:cs="仿宋_GB2312"/>
          <w:color w:val="000000"/>
          <w:sz w:val="32"/>
          <w:szCs w:val="32"/>
          <w:lang w:val="zh-CN"/>
        </w:rPr>
        <w:t>一般公共服务支出651.18万元，占57.6</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；外交支出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；国防支出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；公共安全支出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；教育支出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；科学技术支出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；文化体育与传媒支出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；社会保障和就业支出118.94万元，占</w:t>
      </w:r>
      <w:r>
        <w:rPr>
          <w:rFonts w:ascii="仿宋_GB2312" w:hAnsi="Times New Roman" w:eastAsia="仿宋_GB2312" w:cs="仿宋_GB2312"/>
          <w:color w:val="000000"/>
          <w:sz w:val="32"/>
          <w:szCs w:val="32"/>
          <w:lang w:val="zh-CN"/>
        </w:rPr>
        <w:t>10.</w:t>
      </w:r>
      <w:r>
        <w:rPr>
          <w:rFonts w:hint="eastAsia" w:ascii="仿宋_GB2312" w:hAnsi="Times New Roman" w:eastAsia="仿宋_GB2312" w:cs="仿宋_GB2312"/>
          <w:color w:val="000000"/>
          <w:sz w:val="32"/>
          <w:szCs w:val="32"/>
          <w:lang w:val="zh-CN"/>
        </w:rPr>
        <w:t>5</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；卫生健康支出18.07万元，占</w:t>
      </w:r>
      <w:r>
        <w:rPr>
          <w:rFonts w:ascii="仿宋_GB2312" w:hAnsi="Times New Roman" w:eastAsia="仿宋_GB2312" w:cs="仿宋_GB2312"/>
          <w:color w:val="000000"/>
          <w:sz w:val="32"/>
          <w:szCs w:val="32"/>
          <w:lang w:val="zh-CN"/>
        </w:rPr>
        <w:t>1.6%</w:t>
      </w:r>
      <w:r>
        <w:rPr>
          <w:rFonts w:hint="eastAsia" w:ascii="仿宋_GB2312" w:hAnsi="Times New Roman" w:eastAsia="仿宋_GB2312" w:cs="仿宋_GB2312"/>
          <w:color w:val="000000"/>
          <w:sz w:val="32"/>
          <w:szCs w:val="32"/>
          <w:lang w:val="zh-CN"/>
        </w:rPr>
        <w:t>；节能环保支出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；城乡社区支出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；农林水支出302.1万元，占26.7</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；交通运输支出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；资源勘探工业信息等支出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；商业服务业等支出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；金融支出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；援助其他地区支出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；自然资源海洋气象等支出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；住房保障支出</w:t>
      </w:r>
      <w:r>
        <w:rPr>
          <w:rFonts w:ascii="仿宋_GB2312" w:hAnsi="Times New Roman" w:eastAsia="仿宋_GB2312" w:cs="仿宋_GB2312"/>
          <w:color w:val="000000"/>
          <w:sz w:val="32"/>
          <w:szCs w:val="32"/>
          <w:lang w:val="zh-CN"/>
        </w:rPr>
        <w:t>40.</w:t>
      </w:r>
      <w:r>
        <w:rPr>
          <w:rFonts w:hint="eastAsia" w:ascii="仿宋_GB2312" w:hAnsi="Times New Roman" w:eastAsia="仿宋_GB2312" w:cs="仿宋_GB2312"/>
          <w:color w:val="000000"/>
          <w:sz w:val="32"/>
          <w:szCs w:val="32"/>
          <w:lang w:val="zh-CN"/>
        </w:rPr>
        <w:t>19万元，占3.6</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；粮油物资储备支出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；国有资本经营预算支出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；灾害防治及应急管理支出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；其他支出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；债务还本支出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；债务付息支出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；抗疫特别国债安排的支出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w:t>
      </w:r>
    </w:p>
    <w:p>
      <w:pPr>
        <w:ind w:firstLine="640" w:firstLineChars="200"/>
        <w:rPr>
          <w:rFonts w:ascii="仿宋" w:hAnsi="Times New Roman" w:eastAsia="仿宋" w:cs="仿宋"/>
          <w:sz w:val="32"/>
          <w:szCs w:val="32"/>
        </w:rPr>
      </w:pPr>
      <w:r>
        <w:rPr>
          <w:rFonts w:hint="eastAsia" w:ascii="仿宋" w:hAnsi="Times New Roman" w:eastAsia="仿宋" w:cs="仿宋"/>
          <w:sz w:val="32"/>
          <w:szCs w:val="32"/>
        </w:rPr>
        <w:t>（图</w:t>
      </w:r>
      <w:r>
        <w:rPr>
          <w:rFonts w:ascii="仿宋" w:hAnsi="Times New Roman" w:eastAsia="仿宋" w:cs="仿宋"/>
          <w:sz w:val="32"/>
          <w:szCs w:val="32"/>
        </w:rPr>
        <w:t>6</w:t>
      </w:r>
      <w:r>
        <w:rPr>
          <w:rFonts w:hint="eastAsia" w:ascii="仿宋" w:hAnsi="Times New Roman" w:eastAsia="仿宋" w:cs="仿宋"/>
          <w:sz w:val="32"/>
          <w:szCs w:val="32"/>
        </w:rPr>
        <w:t>：一般公共预算财政拨款支出决算结构）（饼状图）</w:t>
      </w:r>
    </w:p>
    <w:p>
      <w:pPr>
        <w:spacing w:line="600" w:lineRule="exact"/>
        <w:ind w:left="479" w:leftChars="228" w:firstLine="105" w:firstLineChars="50"/>
        <w:rPr>
          <w:rFonts w:ascii="仿宋_GB2312" w:hAnsi="Times New Roman" w:eastAsia="仿宋_GB2312" w:cs="仿宋_GB2312"/>
          <w:b/>
          <w:bCs/>
          <w:color w:val="000000"/>
          <w:sz w:val="32"/>
          <w:szCs w:val="32"/>
          <w:lang w:val="zh-CN"/>
        </w:rPr>
      </w:pPr>
      <w:r>
        <w:drawing>
          <wp:anchor distT="0" distB="0" distL="114300" distR="114300" simplePos="0" relativeHeight="251659264" behindDoc="0" locked="0" layoutInCell="1" allowOverlap="1">
            <wp:simplePos x="0" y="0"/>
            <wp:positionH relativeFrom="column">
              <wp:posOffset>751840</wp:posOffset>
            </wp:positionH>
            <wp:positionV relativeFrom="paragraph">
              <wp:posOffset>228600</wp:posOffset>
            </wp:positionV>
            <wp:extent cx="4572000" cy="2743200"/>
            <wp:effectExtent l="0" t="0" r="19050" b="19050"/>
            <wp:wrapSquare wrapText="bothSides"/>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r>
        <w:rPr>
          <w:rFonts w:ascii="仿宋_GB2312" w:hAnsi="Times New Roman" w:eastAsia="仿宋_GB2312" w:cs="仿宋_GB2312"/>
          <w:b/>
          <w:bCs/>
          <w:color w:val="000000"/>
          <w:sz w:val="32"/>
          <w:szCs w:val="32"/>
          <w:lang w:val="zh-CN"/>
        </w:rPr>
        <w:br w:type="textWrapping" w:clear="all"/>
      </w:r>
      <w:r>
        <w:rPr>
          <w:rFonts w:hint="eastAsia" w:ascii="仿宋_GB2312" w:hAnsi="Times New Roman" w:eastAsia="仿宋_GB2312" w:cs="仿宋_GB2312"/>
          <w:b/>
          <w:bCs/>
          <w:color w:val="000000"/>
          <w:sz w:val="32"/>
          <w:szCs w:val="32"/>
          <w:lang w:val="zh-CN"/>
        </w:rPr>
        <w:t>（三）一般公共预算财政拨款支出决算具体情况。</w:t>
      </w:r>
    </w:p>
    <w:p>
      <w:pPr>
        <w:spacing w:line="600" w:lineRule="exact"/>
        <w:ind w:firstLine="640"/>
        <w:rPr>
          <w:rFonts w:ascii="仿宋_GB2312" w:hAnsi="Times New Roman" w:eastAsia="仿宋_GB2312" w:cs="仿宋_GB2312"/>
          <w:b/>
          <w:bCs/>
          <w:color w:val="000000"/>
          <w:sz w:val="32"/>
          <w:szCs w:val="32"/>
          <w:lang w:val="zh-CN"/>
        </w:rPr>
      </w:pPr>
      <w:r>
        <w:rPr>
          <w:rFonts w:ascii="仿宋_GB2312" w:hAnsi="Times New Roman" w:eastAsia="仿宋_GB2312" w:cs="仿宋_GB2312"/>
          <w:b/>
          <w:bCs/>
          <w:color w:val="000000"/>
          <w:sz w:val="32"/>
          <w:szCs w:val="32"/>
          <w:lang w:val="zh-CN"/>
        </w:rPr>
        <w:t>202</w:t>
      </w:r>
      <w:r>
        <w:rPr>
          <w:rFonts w:hint="eastAsia" w:ascii="仿宋_GB2312" w:hAnsi="Times New Roman" w:eastAsia="仿宋_GB2312" w:cs="仿宋_GB2312"/>
          <w:b/>
          <w:bCs/>
          <w:color w:val="000000"/>
          <w:sz w:val="32"/>
          <w:szCs w:val="32"/>
          <w:lang w:val="zh-CN"/>
        </w:rPr>
        <w:t>3年一般公共预算支出决算数为1130.48万元</w:t>
      </w:r>
      <w:r>
        <w:rPr>
          <w:rFonts w:hint="eastAsia" w:ascii="仿宋_GB2312" w:hAnsi="Times New Roman" w:eastAsia="仿宋_GB2312" w:cs="仿宋_GB2312"/>
          <w:color w:val="000000"/>
          <w:sz w:val="32"/>
          <w:szCs w:val="32"/>
          <w:lang w:val="zh-CN"/>
        </w:rPr>
        <w:t>，</w:t>
      </w:r>
      <w:r>
        <w:rPr>
          <w:rFonts w:hint="eastAsia" w:ascii="仿宋_GB2312" w:hAnsi="Times New Roman" w:eastAsia="仿宋_GB2312" w:cs="仿宋_GB2312"/>
          <w:b/>
          <w:bCs/>
          <w:color w:val="000000"/>
          <w:sz w:val="32"/>
          <w:szCs w:val="32"/>
          <w:lang w:val="zh-CN"/>
        </w:rPr>
        <w:t>完成预算104</w:t>
      </w:r>
      <w:r>
        <w:rPr>
          <w:rFonts w:ascii="仿宋_GB2312" w:hAnsi="Times New Roman" w:eastAsia="仿宋_GB2312" w:cs="仿宋_GB2312"/>
          <w:b/>
          <w:bCs/>
          <w:color w:val="000000"/>
          <w:sz w:val="32"/>
          <w:szCs w:val="32"/>
          <w:lang w:val="zh-CN"/>
        </w:rPr>
        <w:t>%</w:t>
      </w:r>
      <w:r>
        <w:rPr>
          <w:rFonts w:hint="eastAsia" w:ascii="仿宋_GB2312" w:hAnsi="Times New Roman" w:eastAsia="仿宋_GB2312" w:cs="仿宋_GB2312"/>
          <w:b/>
          <w:bCs/>
          <w:color w:val="000000"/>
          <w:sz w:val="32"/>
          <w:szCs w:val="32"/>
          <w:lang w:val="zh-CN"/>
        </w:rPr>
        <w:t>。其中：</w:t>
      </w:r>
    </w:p>
    <w:p>
      <w:pPr>
        <w:spacing w:line="600" w:lineRule="exact"/>
        <w:ind w:firstLine="643" w:firstLineChars="200"/>
        <w:rPr>
          <w:rStyle w:val="15"/>
          <w:rFonts w:ascii="仿宋" w:hAnsi="仿宋" w:eastAsia="仿宋"/>
          <w:b w:val="0"/>
          <w:bCs/>
          <w:color w:val="000000"/>
          <w:sz w:val="32"/>
          <w:szCs w:val="32"/>
        </w:rPr>
      </w:pPr>
      <w:r>
        <w:rPr>
          <w:rStyle w:val="15"/>
          <w:rFonts w:ascii="仿宋" w:hAnsi="仿宋" w:eastAsia="仿宋"/>
          <w:bCs/>
          <w:color w:val="000000"/>
          <w:sz w:val="32"/>
          <w:szCs w:val="32"/>
        </w:rPr>
        <w:t>1.</w:t>
      </w:r>
      <w:r>
        <w:rPr>
          <w:rFonts w:hint="eastAsia" w:ascii="仿宋" w:hAnsi="仿宋" w:eastAsia="仿宋"/>
          <w:bCs/>
          <w:color w:val="000000"/>
          <w:sz w:val="32"/>
          <w:szCs w:val="32"/>
        </w:rPr>
        <w:t xml:space="preserve"> </w:t>
      </w:r>
      <w:r>
        <w:rPr>
          <w:rStyle w:val="15"/>
          <w:rFonts w:hint="eastAsia" w:ascii="仿宋" w:hAnsi="仿宋" w:eastAsia="仿宋"/>
          <w:bCs/>
          <w:color w:val="000000"/>
          <w:sz w:val="32"/>
          <w:szCs w:val="32"/>
        </w:rPr>
        <w:t>一般公共服务（类）组织事务（款）行政运行（项）：</w:t>
      </w:r>
      <w:r>
        <w:rPr>
          <w:rStyle w:val="15"/>
          <w:rFonts w:hint="eastAsia" w:ascii="仿宋" w:hAnsi="仿宋" w:eastAsia="仿宋"/>
          <w:b w:val="0"/>
          <w:bCs/>
          <w:color w:val="000000"/>
          <w:sz w:val="32"/>
          <w:szCs w:val="32"/>
        </w:rPr>
        <w:t>支出决算数为357.56万元，完成预算104%</w:t>
      </w:r>
      <w:r>
        <w:rPr>
          <w:rStyle w:val="15"/>
          <w:rFonts w:hint="eastAsia" w:ascii="仿宋" w:hAnsi="仿宋" w:eastAsia="仿宋"/>
          <w:bCs/>
          <w:color w:val="000000"/>
          <w:sz w:val="32"/>
          <w:szCs w:val="32"/>
        </w:rPr>
        <w:t>。一般公共服务（类）组织事务（款）一般行政管理事务（项）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支出决算为111.07万元，完成预算100%。</w:t>
      </w:r>
      <w:r>
        <w:rPr>
          <w:rStyle w:val="15"/>
          <w:rFonts w:hint="eastAsia" w:ascii="仿宋" w:hAnsi="仿宋" w:eastAsia="仿宋"/>
          <w:bCs/>
          <w:color w:val="000000"/>
          <w:sz w:val="32"/>
          <w:szCs w:val="32"/>
        </w:rPr>
        <w:t>一般公共服务（类）组织事务（款）事业运行（项）：</w:t>
      </w:r>
      <w:r>
        <w:rPr>
          <w:rStyle w:val="15"/>
          <w:rFonts w:hint="eastAsia" w:ascii="仿宋" w:hAnsi="仿宋" w:eastAsia="仿宋"/>
          <w:b w:val="0"/>
          <w:bCs/>
          <w:color w:val="000000"/>
          <w:sz w:val="32"/>
          <w:szCs w:val="32"/>
        </w:rPr>
        <w:t>支出决算为71.32万元，完成预算数100%。</w:t>
      </w:r>
      <w:r>
        <w:rPr>
          <w:rStyle w:val="15"/>
          <w:rFonts w:hint="eastAsia" w:ascii="仿宋" w:hAnsi="仿宋" w:eastAsia="仿宋"/>
          <w:bCs/>
          <w:color w:val="000000"/>
          <w:sz w:val="32"/>
          <w:szCs w:val="32"/>
        </w:rPr>
        <w:t>一般公共服务（类）组织事务（款）其他组织事务（项）：</w:t>
      </w:r>
      <w:r>
        <w:rPr>
          <w:rStyle w:val="15"/>
          <w:rFonts w:hint="eastAsia" w:ascii="仿宋" w:hAnsi="仿宋" w:eastAsia="仿宋"/>
          <w:b w:val="0"/>
          <w:bCs/>
          <w:color w:val="000000"/>
          <w:sz w:val="32"/>
          <w:szCs w:val="32"/>
        </w:rPr>
        <w:t>支出决算数为111.24万元，完成预算100%。</w:t>
      </w:r>
    </w:p>
    <w:p>
      <w:pPr>
        <w:spacing w:line="600" w:lineRule="exact"/>
        <w:ind w:firstLine="643" w:firstLineChars="200"/>
        <w:jc w:val="left"/>
        <w:rPr>
          <w:rStyle w:val="15"/>
          <w:rFonts w:ascii="仿宋" w:hAnsi="仿宋" w:eastAsia="仿宋"/>
          <w:b w:val="0"/>
          <w:bCs/>
          <w:color w:val="000000"/>
          <w:sz w:val="32"/>
          <w:szCs w:val="32"/>
        </w:rPr>
      </w:pPr>
      <w:r>
        <w:rPr>
          <w:rStyle w:val="15"/>
          <w:rFonts w:hint="eastAsia" w:ascii="仿宋" w:hAnsi="仿宋" w:eastAsia="仿宋"/>
          <w:bCs/>
          <w:color w:val="000000"/>
          <w:sz w:val="32"/>
          <w:szCs w:val="32"/>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社会保障和就业（类）行政事业单位养老支出（款）机关事业单位养老保险缴费支出（项）</w:t>
      </w:r>
      <w:r>
        <w:rPr>
          <w:rStyle w:val="15"/>
          <w:rFonts w:hint="eastAsia" w:ascii="仿宋" w:hAnsi="仿宋" w:eastAsia="仿宋"/>
          <w:b w:val="0"/>
          <w:bCs/>
          <w:color w:val="000000"/>
          <w:sz w:val="32"/>
          <w:szCs w:val="32"/>
        </w:rPr>
        <w:t>47.3万元，完成预算100%。</w:t>
      </w:r>
      <w:r>
        <w:rPr>
          <w:rStyle w:val="15"/>
          <w:rFonts w:hint="eastAsia" w:ascii="仿宋" w:hAnsi="仿宋" w:eastAsia="仿宋"/>
          <w:bCs/>
          <w:color w:val="000000"/>
          <w:sz w:val="32"/>
          <w:szCs w:val="32"/>
        </w:rPr>
        <w:t>社会保障和就业（类）行政事业单位养老支出（款）机关事业单位职业年金缴费支出（项）：</w:t>
      </w:r>
      <w:r>
        <w:rPr>
          <w:rStyle w:val="15"/>
          <w:rFonts w:hint="eastAsia" w:ascii="仿宋" w:hAnsi="仿宋" w:eastAsia="仿宋"/>
          <w:b w:val="0"/>
          <w:bCs/>
          <w:color w:val="000000"/>
          <w:sz w:val="32"/>
          <w:szCs w:val="32"/>
        </w:rPr>
        <w:t>支出决算为3.99万元，完成预算100%。</w:t>
      </w:r>
      <w:r>
        <w:rPr>
          <w:rStyle w:val="15"/>
          <w:rFonts w:hint="eastAsia" w:ascii="仿宋" w:hAnsi="仿宋" w:eastAsia="仿宋"/>
          <w:bCs/>
          <w:color w:val="000000"/>
          <w:sz w:val="32"/>
          <w:szCs w:val="32"/>
        </w:rPr>
        <w:t>社会保障和就业（类）行政事业单位养老支出（款）其他行政事业单位养老支出（项）：</w:t>
      </w:r>
      <w:r>
        <w:rPr>
          <w:rStyle w:val="15"/>
          <w:rFonts w:hint="eastAsia" w:ascii="仿宋" w:hAnsi="仿宋" w:eastAsia="仿宋"/>
          <w:b w:val="0"/>
          <w:bCs/>
          <w:color w:val="000000"/>
          <w:sz w:val="32"/>
          <w:szCs w:val="32"/>
        </w:rPr>
        <w:t>支出决算为58.1万元，完成预算100%。</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卫生健康支出（类）行政事业单位医疗（款）行政单位医疗（项）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支出决算为15.56万元，完成预算79.62</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Cs/>
          <w:color w:val="000000"/>
          <w:sz w:val="32"/>
          <w:szCs w:val="32"/>
        </w:rPr>
        <w:t>卫生健康支出（类）行政事业单位医疗（款）事业单位医疗（项）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支出决算数为2.52万元，完成预算100%。</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4.农林水支出（类）巩固脱贫衔接乡村振兴（款）</w:t>
      </w:r>
      <w:r>
        <w:rPr>
          <w:rStyle w:val="15"/>
          <w:rFonts w:ascii="仿宋" w:hAnsi="仿宋" w:eastAsia="仿宋"/>
          <w:bCs/>
          <w:color w:val="000000"/>
          <w:sz w:val="32"/>
          <w:szCs w:val="32"/>
        </w:rPr>
        <w:t>其他巩固脱贫衔接乡村振兴支出</w:t>
      </w:r>
      <w:r>
        <w:rPr>
          <w:rStyle w:val="15"/>
          <w:rFonts w:hint="eastAsia" w:ascii="仿宋" w:hAnsi="仿宋" w:eastAsia="仿宋"/>
          <w:bCs/>
          <w:color w:val="000000"/>
          <w:sz w:val="32"/>
          <w:szCs w:val="32"/>
        </w:rPr>
        <w:t>（项）：</w:t>
      </w:r>
      <w:r>
        <w:rPr>
          <w:rStyle w:val="15"/>
          <w:rFonts w:hint="eastAsia" w:ascii="仿宋" w:hAnsi="仿宋" w:eastAsia="仿宋"/>
          <w:b w:val="0"/>
          <w:bCs/>
          <w:color w:val="000000"/>
          <w:sz w:val="32"/>
          <w:szCs w:val="32"/>
        </w:rPr>
        <w:t>支出决算数为75.9万元，完成预算100%。</w:t>
      </w:r>
      <w:r>
        <w:rPr>
          <w:rStyle w:val="15"/>
          <w:rFonts w:hint="eastAsia" w:ascii="仿宋" w:hAnsi="仿宋" w:eastAsia="仿宋"/>
          <w:bCs/>
          <w:color w:val="000000"/>
          <w:sz w:val="32"/>
          <w:szCs w:val="32"/>
        </w:rPr>
        <w:t>农林水支出（类）巩固脱贫衔接乡村振兴（款）社会发展（项）</w:t>
      </w:r>
      <w:r>
        <w:rPr>
          <w:rStyle w:val="15"/>
          <w:rFonts w:hint="eastAsia" w:ascii="仿宋" w:hAnsi="仿宋" w:eastAsia="仿宋"/>
          <w:b w:val="0"/>
          <w:bCs/>
          <w:color w:val="000000"/>
          <w:sz w:val="32"/>
          <w:szCs w:val="32"/>
        </w:rPr>
        <w:t>支出决算数为226.2万元，完成预算100%。</w:t>
      </w:r>
    </w:p>
    <w:p>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5.住房保障支出（类）住房改革支出（款）住房公积金（项）：</w:t>
      </w:r>
      <w:r>
        <w:rPr>
          <w:rFonts w:hint="eastAsia" w:ascii="仿宋" w:hAnsi="仿宋" w:eastAsia="仿宋"/>
          <w:color w:val="000000"/>
          <w:sz w:val="32"/>
          <w:szCs w:val="32"/>
        </w:rPr>
        <w:t>支出决算数为40.2万元，完成预算100%。</w:t>
      </w:r>
    </w:p>
    <w:p>
      <w:pPr>
        <w:spacing w:line="600" w:lineRule="exact"/>
        <w:ind w:firstLine="643"/>
        <w:rPr>
          <w:rFonts w:ascii="仿宋" w:hAnsi="Times New Roman" w:eastAsia="仿宋" w:cs="仿宋"/>
          <w:b/>
          <w:bCs/>
          <w:sz w:val="32"/>
          <w:szCs w:val="32"/>
        </w:rPr>
      </w:pPr>
      <w:r>
        <w:rPr>
          <w:rFonts w:hint="eastAsia" w:ascii="黑体" w:hAnsi="Times New Roman" w:eastAsia="黑体" w:cs="黑体"/>
          <w:color w:val="000000"/>
          <w:sz w:val="32"/>
          <w:szCs w:val="32"/>
          <w:lang w:val="zh-CN"/>
        </w:rPr>
        <w:t>六</w:t>
      </w:r>
      <w:r>
        <w:rPr>
          <w:rFonts w:hint="eastAsia" w:ascii="黑体" w:hAnsi="Times New Roman" w:eastAsia="黑体" w:cs="黑体"/>
          <w:b/>
          <w:bCs/>
          <w:color w:val="000000"/>
          <w:sz w:val="32"/>
          <w:szCs w:val="32"/>
          <w:lang w:val="zh-CN"/>
        </w:rPr>
        <w:t>、一</w:t>
      </w:r>
      <w:r>
        <w:rPr>
          <w:rFonts w:hint="eastAsia" w:ascii="黑体" w:hAnsi="Times New Roman" w:eastAsia="黑体" w:cs="黑体"/>
          <w:sz w:val="32"/>
          <w:szCs w:val="32"/>
          <w:lang w:val="zh-CN"/>
        </w:rPr>
        <w:t>般公共预算财政拨款基本支出决算情况说明</w:t>
      </w:r>
      <w:r>
        <w:rPr>
          <w:rFonts w:ascii="黑体" w:hAnsi="Times New Roman" w:eastAsia="黑体" w:cs="黑体"/>
          <w:sz w:val="32"/>
          <w:szCs w:val="32"/>
          <w:lang w:val="zh-CN"/>
        </w:rPr>
        <w:tab/>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3年一般公共预算财政拨款基本支出606.08万元，其中：</w:t>
      </w:r>
    </w:p>
    <w:p>
      <w:pPr>
        <w:spacing w:line="576"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人员经费</w:t>
      </w:r>
      <w:r>
        <w:rPr>
          <w:rFonts w:ascii="仿宋_GB2312" w:hAnsi="Cambria" w:eastAsia="仿宋_GB2312" w:cs="仿宋_GB2312"/>
          <w:color w:val="000000"/>
          <w:sz w:val="32"/>
          <w:szCs w:val="32"/>
          <w:lang w:val="zh-CN"/>
        </w:rPr>
        <w:t>5</w:t>
      </w:r>
      <w:r>
        <w:rPr>
          <w:rFonts w:hint="eastAsia" w:ascii="仿宋_GB2312" w:hAnsi="Cambria" w:eastAsia="仿宋_GB2312" w:cs="仿宋_GB2312"/>
          <w:color w:val="000000"/>
          <w:sz w:val="32"/>
          <w:szCs w:val="32"/>
          <w:lang w:val="zh-CN"/>
        </w:rPr>
        <w:t>40.87万元，主要包括：</w:t>
      </w:r>
      <w:r>
        <w:rPr>
          <w:rFonts w:hint="eastAsia" w:ascii="仿宋" w:hAnsi="Cambria" w:eastAsia="仿宋" w:cs="仿宋"/>
          <w:sz w:val="32"/>
          <w:szCs w:val="32"/>
        </w:rPr>
        <w:t>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Cambria" w:eastAsia="仿宋_GB2312" w:cs="仿宋_GB2312"/>
          <w:color w:val="000000"/>
          <w:sz w:val="32"/>
          <w:szCs w:val="32"/>
          <w:lang w:val="zh-CN"/>
        </w:rPr>
        <w:t>。</w:t>
      </w:r>
    </w:p>
    <w:p>
      <w:pPr>
        <w:spacing w:line="576"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公用经费</w:t>
      </w:r>
      <w:r>
        <w:rPr>
          <w:rFonts w:hint="eastAsia" w:ascii="仿宋_GB2312" w:hAnsi="Cambria" w:eastAsia="仿宋_GB2312" w:cs="仿宋_GB2312"/>
          <w:color w:val="000000"/>
          <w:sz w:val="32"/>
          <w:szCs w:val="32"/>
          <w:lang w:val="zh-CN"/>
        </w:rPr>
        <w:t>65.21万元，主要包括：</w:t>
      </w:r>
      <w:r>
        <w:rPr>
          <w:rFonts w:hint="eastAsia" w:ascii="仿宋" w:hAnsi="Cambria" w:eastAsia="仿宋" w:cs="仿宋"/>
          <w:sz w:val="32"/>
          <w:szCs w:val="32"/>
        </w:rPr>
        <w:t>办公费、印刷费、水费、电费、邮电费、物业管理费、差旅费、维修（护）费、租赁费、会议费、培训费、公务接待费、劳务费、委托业务费、工会经费、福利费、其他交通费、其他商品和服务支出、办公设备购置、其他资本性支出等</w:t>
      </w:r>
      <w:r>
        <w:rPr>
          <w:rFonts w:hint="eastAsia" w:ascii="仿宋_GB2312" w:hAnsi="Cambria" w:eastAsia="仿宋_GB2312" w:cs="仿宋_GB2312"/>
          <w:color w:val="000000"/>
          <w:sz w:val="32"/>
          <w:szCs w:val="32"/>
          <w:lang w:val="zh-CN"/>
        </w:rPr>
        <w:t>。</w:t>
      </w:r>
    </w:p>
    <w:p>
      <w:pPr>
        <w:spacing w:line="600" w:lineRule="exact"/>
        <w:ind w:firstLine="645"/>
        <w:rPr>
          <w:rFonts w:ascii="仿宋" w:hAnsi="Cambria" w:eastAsia="仿宋" w:cs="仿宋"/>
          <w:b/>
          <w:bCs/>
          <w:sz w:val="32"/>
          <w:szCs w:val="32"/>
        </w:rPr>
      </w:pPr>
      <w:r>
        <w:rPr>
          <w:rFonts w:hint="eastAsia" w:ascii="黑体" w:hAnsi="Cambria" w:eastAsia="黑体" w:cs="黑体"/>
          <w:color w:val="000000"/>
          <w:sz w:val="32"/>
          <w:szCs w:val="32"/>
          <w:lang w:val="zh-CN"/>
        </w:rPr>
        <w:t>七、</w:t>
      </w:r>
      <w:r>
        <w:rPr>
          <w:rFonts w:ascii="黑体" w:hAnsi="Cambria" w:eastAsia="黑体" w:cs="黑体"/>
          <w:b/>
          <w:bCs/>
          <w:sz w:val="32"/>
          <w:szCs w:val="32"/>
          <w:lang w:val="zh-CN"/>
        </w:rPr>
        <w:t>“</w:t>
      </w:r>
      <w:r>
        <w:rPr>
          <w:rFonts w:hint="eastAsia" w:ascii="黑体" w:hAnsi="Cambria" w:eastAsia="黑体" w:cs="黑体"/>
          <w:sz w:val="32"/>
          <w:szCs w:val="32"/>
          <w:lang w:val="zh-CN"/>
        </w:rPr>
        <w:t>三公</w:t>
      </w:r>
      <w:r>
        <w:rPr>
          <w:rFonts w:ascii="黑体" w:hAnsi="Cambria" w:eastAsia="黑体" w:cs="黑体"/>
          <w:sz w:val="32"/>
          <w:szCs w:val="32"/>
          <w:lang w:val="zh-CN"/>
        </w:rPr>
        <w:t>”</w:t>
      </w:r>
      <w:r>
        <w:rPr>
          <w:rFonts w:hint="eastAsia" w:ascii="黑体" w:hAnsi="Cambria" w:eastAsia="黑体" w:cs="黑体"/>
          <w:sz w:val="32"/>
          <w:szCs w:val="32"/>
          <w:lang w:val="zh-CN"/>
        </w:rPr>
        <w:t>经费财政拨款支出决算情况说明</w:t>
      </w:r>
    </w:p>
    <w:p>
      <w:pPr>
        <w:spacing w:line="600" w:lineRule="exact"/>
        <w:ind w:firstLine="645"/>
        <w:rPr>
          <w:rFonts w:ascii="仿宋" w:hAnsi="Cambria" w:eastAsia="仿宋" w:cs="仿宋"/>
          <w:b/>
          <w:bCs/>
          <w:sz w:val="32"/>
          <w:szCs w:val="32"/>
        </w:rPr>
      </w:pPr>
      <w:r>
        <w:rPr>
          <w:rFonts w:hint="eastAsia" w:ascii="仿宋_GB2312" w:hAnsi="Cambria" w:eastAsia="仿宋_GB2312" w:cs="仿宋_GB2312"/>
          <w:b/>
          <w:bCs/>
          <w:color w:val="000000"/>
          <w:sz w:val="32"/>
          <w:szCs w:val="32"/>
          <w:lang w:val="zh-CN"/>
        </w:rPr>
        <w:t>（一）</w:t>
      </w:r>
      <w:r>
        <w:rPr>
          <w:rFonts w:ascii="仿宋_GB2312" w:hAnsi="Cambria" w:eastAsia="仿宋_GB2312" w:cs="仿宋_GB2312"/>
          <w:b/>
          <w:bCs/>
          <w:color w:val="000000"/>
          <w:sz w:val="32"/>
          <w:szCs w:val="32"/>
          <w:lang w:val="zh-CN"/>
        </w:rPr>
        <w:t>“</w:t>
      </w:r>
      <w:r>
        <w:rPr>
          <w:rFonts w:hint="eastAsia" w:ascii="仿宋_GB2312" w:hAnsi="Cambria" w:eastAsia="仿宋_GB2312" w:cs="仿宋_GB2312"/>
          <w:b/>
          <w:bCs/>
          <w:color w:val="000000"/>
          <w:sz w:val="32"/>
          <w:szCs w:val="32"/>
          <w:lang w:val="zh-CN"/>
        </w:rPr>
        <w:t>三公</w:t>
      </w:r>
      <w:r>
        <w:rPr>
          <w:rFonts w:ascii="仿宋_GB2312" w:hAnsi="Cambria" w:eastAsia="仿宋_GB2312" w:cs="仿宋_GB2312"/>
          <w:b/>
          <w:bCs/>
          <w:color w:val="000000"/>
          <w:sz w:val="32"/>
          <w:szCs w:val="32"/>
          <w:lang w:val="zh-CN"/>
        </w:rPr>
        <w:t>”</w:t>
      </w:r>
      <w:r>
        <w:rPr>
          <w:rFonts w:hint="eastAsia" w:ascii="仿宋_GB2312" w:hAnsi="Cambria" w:eastAsia="仿宋_GB2312" w:cs="仿宋_GB2312"/>
          <w:b/>
          <w:bCs/>
          <w:color w:val="000000"/>
          <w:sz w:val="32"/>
          <w:szCs w:val="32"/>
          <w:lang w:val="zh-CN"/>
        </w:rPr>
        <w:t>经费财政拨款支出决算总体情况说明</w:t>
      </w:r>
    </w:p>
    <w:p>
      <w:pPr>
        <w:spacing w:line="600" w:lineRule="exact"/>
        <w:ind w:firstLine="645"/>
        <w:rPr>
          <w:rFonts w:ascii="仿宋" w:hAnsi="Cambria" w:eastAsia="仿宋" w:cs="仿宋"/>
          <w:b/>
          <w:bCs/>
          <w:sz w:val="32"/>
          <w:szCs w:val="32"/>
        </w:rPr>
      </w:pP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3年</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三公</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经费财政拨款支出决算为5.99万元，完成预算78.8</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；较上年增加3.42万元，增加42.9</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 xml:space="preserve">。决算数小于预算数的主要原因是厉行节约。 </w:t>
      </w:r>
    </w:p>
    <w:p>
      <w:pPr>
        <w:spacing w:line="600" w:lineRule="exact"/>
        <w:ind w:firstLine="640"/>
        <w:rPr>
          <w:rFonts w:ascii="仿宋" w:hAnsi="Cambria" w:eastAsia="仿宋" w:cs="仿宋"/>
          <w:b/>
          <w:bCs/>
          <w:sz w:val="32"/>
          <w:szCs w:val="32"/>
        </w:rPr>
      </w:pPr>
      <w:r>
        <w:rPr>
          <w:rFonts w:hint="eastAsia" w:ascii="仿宋_GB2312" w:hAnsi="Cambria" w:eastAsia="仿宋_GB2312" w:cs="仿宋_GB2312"/>
          <w:b/>
          <w:bCs/>
          <w:color w:val="000000"/>
          <w:sz w:val="32"/>
          <w:szCs w:val="32"/>
          <w:lang w:val="zh-CN"/>
        </w:rPr>
        <w:t>（二）</w:t>
      </w:r>
      <w:r>
        <w:rPr>
          <w:rFonts w:ascii="仿宋_GB2312" w:hAnsi="Cambria" w:eastAsia="仿宋_GB2312" w:cs="仿宋_GB2312"/>
          <w:b/>
          <w:bCs/>
          <w:color w:val="000000"/>
          <w:sz w:val="32"/>
          <w:szCs w:val="32"/>
          <w:lang w:val="zh-CN"/>
        </w:rPr>
        <w:t>“</w:t>
      </w:r>
      <w:r>
        <w:rPr>
          <w:rFonts w:hint="eastAsia" w:ascii="仿宋_GB2312" w:hAnsi="Cambria" w:eastAsia="仿宋_GB2312" w:cs="仿宋_GB2312"/>
          <w:b/>
          <w:bCs/>
          <w:color w:val="000000"/>
          <w:sz w:val="32"/>
          <w:szCs w:val="32"/>
          <w:lang w:val="zh-CN"/>
        </w:rPr>
        <w:t>三公</w:t>
      </w:r>
      <w:r>
        <w:rPr>
          <w:rFonts w:ascii="仿宋_GB2312" w:hAnsi="Cambria" w:eastAsia="仿宋_GB2312" w:cs="仿宋_GB2312"/>
          <w:b/>
          <w:bCs/>
          <w:color w:val="000000"/>
          <w:sz w:val="32"/>
          <w:szCs w:val="32"/>
          <w:lang w:val="zh-CN"/>
        </w:rPr>
        <w:t>”</w:t>
      </w:r>
      <w:r>
        <w:rPr>
          <w:rFonts w:hint="eastAsia" w:ascii="仿宋_GB2312" w:hAnsi="Cambria" w:eastAsia="仿宋_GB2312" w:cs="仿宋_GB2312"/>
          <w:b/>
          <w:bCs/>
          <w:color w:val="000000"/>
          <w:sz w:val="32"/>
          <w:szCs w:val="32"/>
          <w:lang w:val="zh-CN"/>
        </w:rPr>
        <w:t>经费财政拨款支出决算具体情况说明</w:t>
      </w:r>
    </w:p>
    <w:p>
      <w:pPr>
        <w:spacing w:line="600" w:lineRule="exact"/>
        <w:ind w:firstLine="640"/>
        <w:rPr>
          <w:rFonts w:ascii="仿宋" w:hAnsi="Cambria" w:eastAsia="仿宋" w:cs="仿宋"/>
          <w:b/>
          <w:bCs/>
          <w:sz w:val="32"/>
          <w:szCs w:val="32"/>
        </w:rPr>
      </w:pP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3年</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三公</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经费财政拨款支出决算中，因公出国（境）费支出决算</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万元，占</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；公务用车购置及运行维护费支出决算</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万元，占</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；公务接待费支出决算5.99万元，占</w:t>
      </w:r>
      <w:r>
        <w:rPr>
          <w:rFonts w:ascii="仿宋_GB2312" w:hAnsi="Cambria" w:eastAsia="仿宋_GB2312" w:cs="仿宋_GB2312"/>
          <w:color w:val="000000"/>
          <w:sz w:val="32"/>
          <w:szCs w:val="32"/>
          <w:lang w:val="zh-CN"/>
        </w:rPr>
        <w:t>100%</w:t>
      </w:r>
      <w:r>
        <w:rPr>
          <w:rFonts w:hint="eastAsia" w:ascii="仿宋_GB2312" w:hAnsi="Cambria" w:eastAsia="仿宋_GB2312" w:cs="仿宋_GB2312"/>
          <w:color w:val="000000"/>
          <w:sz w:val="32"/>
          <w:szCs w:val="32"/>
          <w:lang w:val="zh-CN"/>
        </w:rPr>
        <w:t>。具体情况如下：</w:t>
      </w:r>
    </w:p>
    <w:p>
      <w:pPr>
        <w:spacing w:line="600" w:lineRule="exact"/>
        <w:ind w:firstLine="640"/>
        <w:rPr>
          <w:rFonts w:ascii="仿宋" w:hAnsi="Cambria" w:eastAsia="仿宋" w:cs="仿宋"/>
          <w:sz w:val="32"/>
          <w:szCs w:val="32"/>
        </w:rPr>
      </w:pPr>
      <w:r>
        <w:rPr>
          <w:rFonts w:hint="eastAsia" w:ascii="仿宋" w:hAnsi="Cambria" w:eastAsia="仿宋" w:cs="仿宋"/>
          <w:sz w:val="32"/>
          <w:szCs w:val="32"/>
        </w:rPr>
        <w:t>（图</w:t>
      </w:r>
      <w:r>
        <w:rPr>
          <w:rFonts w:ascii="仿宋" w:hAnsi="Cambria" w:eastAsia="仿宋" w:cs="仿宋"/>
          <w:sz w:val="32"/>
          <w:szCs w:val="32"/>
        </w:rPr>
        <w:t>7</w:t>
      </w:r>
      <w:r>
        <w:rPr>
          <w:rFonts w:hint="eastAsia" w:ascii="仿宋" w:hAnsi="Cambria" w:eastAsia="仿宋" w:cs="仿宋"/>
          <w:sz w:val="32"/>
          <w:szCs w:val="32"/>
        </w:rPr>
        <w:t>：</w:t>
      </w:r>
      <w:r>
        <w:rPr>
          <w:rFonts w:ascii="仿宋" w:hAnsi="Cambria" w:eastAsia="仿宋" w:cs="仿宋"/>
          <w:sz w:val="32"/>
          <w:szCs w:val="32"/>
        </w:rPr>
        <w:t>“</w:t>
      </w:r>
      <w:r>
        <w:rPr>
          <w:rFonts w:hint="eastAsia" w:ascii="仿宋" w:hAnsi="Cambria" w:eastAsia="仿宋" w:cs="仿宋"/>
          <w:sz w:val="32"/>
          <w:szCs w:val="32"/>
        </w:rPr>
        <w:t>三公</w:t>
      </w:r>
      <w:r>
        <w:rPr>
          <w:rFonts w:ascii="仿宋" w:hAnsi="Cambria" w:eastAsia="仿宋" w:cs="仿宋"/>
          <w:sz w:val="32"/>
          <w:szCs w:val="32"/>
        </w:rPr>
        <w:t>”</w:t>
      </w:r>
      <w:r>
        <w:rPr>
          <w:rFonts w:hint="eastAsia" w:ascii="仿宋" w:hAnsi="Cambria" w:eastAsia="仿宋" w:cs="仿宋"/>
          <w:sz w:val="32"/>
          <w:szCs w:val="32"/>
        </w:rPr>
        <w:t>经费财政拨款支出结构）（饼状图）</w:t>
      </w:r>
    </w:p>
    <w:p>
      <w:pPr>
        <w:ind w:firstLine="641"/>
        <w:rPr>
          <w:rFonts w:ascii="仿宋" w:hAnsi="Cambria" w:eastAsia="仿宋" w:cs="仿宋"/>
          <w:sz w:val="32"/>
          <w:szCs w:val="32"/>
        </w:rPr>
      </w:pPr>
      <w:r>
        <w:drawing>
          <wp:inline distT="0" distB="0" distL="0" distR="0">
            <wp:extent cx="4905375" cy="2790825"/>
            <wp:effectExtent l="0" t="0" r="9525" b="9525"/>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Cambria" w:eastAsia="仿宋" w:cs="仿宋"/>
          <w:sz w:val="32"/>
          <w:szCs w:val="32"/>
        </w:rPr>
      </w:pPr>
    </w:p>
    <w:p>
      <w:pPr>
        <w:spacing w:line="600" w:lineRule="exact"/>
        <w:ind w:firstLine="643"/>
        <w:rPr>
          <w:rFonts w:ascii="仿宋_GB2312" w:hAnsi="Cambria" w:eastAsia="仿宋_GB2312" w:cs="仿宋_GB2312"/>
          <w:color w:val="000000"/>
          <w:sz w:val="32"/>
          <w:szCs w:val="32"/>
          <w:lang w:val="zh-CN"/>
        </w:rPr>
      </w:pPr>
      <w:r>
        <w:rPr>
          <w:rFonts w:ascii="仿宋_GB2312" w:hAnsi="Cambria" w:eastAsia="仿宋_GB2312" w:cs="仿宋_GB2312"/>
          <w:b/>
          <w:bCs/>
          <w:color w:val="000000"/>
          <w:sz w:val="32"/>
          <w:szCs w:val="32"/>
          <w:lang w:val="zh-CN"/>
        </w:rPr>
        <w:t>1.</w:t>
      </w:r>
      <w:r>
        <w:rPr>
          <w:rFonts w:hint="eastAsia" w:ascii="仿宋_GB2312" w:hAnsi="Cambria" w:eastAsia="仿宋_GB2312" w:cs="仿宋_GB2312"/>
          <w:b/>
          <w:bCs/>
          <w:color w:val="000000"/>
          <w:sz w:val="32"/>
          <w:szCs w:val="32"/>
          <w:lang w:val="zh-CN"/>
        </w:rPr>
        <w:t>因公出国（境）经费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。全年安排因公出国（境）团组</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个，出国（境）</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人。因公出国（境）支出决算与</w:t>
      </w:r>
      <w:r>
        <w:rPr>
          <w:rFonts w:ascii="仿宋_GB2312" w:hAnsi="Cambria" w:eastAsia="仿宋_GB2312" w:cs="仿宋_GB2312"/>
          <w:color w:val="000000"/>
          <w:sz w:val="32"/>
          <w:szCs w:val="32"/>
          <w:lang w:val="zh-CN"/>
        </w:rPr>
        <w:t>2021</w:t>
      </w:r>
      <w:r>
        <w:rPr>
          <w:rFonts w:hint="eastAsia" w:ascii="仿宋_GB2312" w:hAnsi="Cambria" w:eastAsia="仿宋_GB2312" w:cs="仿宋_GB2312"/>
          <w:color w:val="000000"/>
          <w:sz w:val="32"/>
          <w:szCs w:val="32"/>
          <w:lang w:val="zh-CN"/>
        </w:rPr>
        <w:t>年持平。</w:t>
      </w:r>
    </w:p>
    <w:p>
      <w:pPr>
        <w:spacing w:line="600" w:lineRule="exact"/>
        <w:ind w:firstLine="643"/>
        <w:rPr>
          <w:rFonts w:ascii="仿宋_GB2312" w:hAnsi="Cambria" w:eastAsia="仿宋_GB2312" w:cs="仿宋_GB2312"/>
          <w:color w:val="000000"/>
          <w:sz w:val="32"/>
          <w:szCs w:val="32"/>
          <w:lang w:val="zh-CN"/>
        </w:rPr>
      </w:pPr>
      <w:r>
        <w:rPr>
          <w:rFonts w:ascii="仿宋_GB2312" w:hAnsi="Cambria" w:eastAsia="仿宋_GB2312" w:cs="仿宋_GB2312"/>
          <w:b/>
          <w:bCs/>
          <w:color w:val="000000"/>
          <w:sz w:val="32"/>
          <w:szCs w:val="32"/>
          <w:lang w:val="zh-CN"/>
        </w:rPr>
        <w:t>2.</w:t>
      </w:r>
      <w:r>
        <w:rPr>
          <w:rFonts w:hint="eastAsia" w:ascii="仿宋_GB2312" w:hAnsi="Cambria" w:eastAsia="仿宋_GB2312" w:cs="仿宋_GB2312"/>
          <w:b/>
          <w:bCs/>
          <w:color w:val="000000"/>
          <w:sz w:val="32"/>
          <w:szCs w:val="32"/>
          <w:lang w:val="zh-CN"/>
        </w:rPr>
        <w:t>公务用车购置及运行维护费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。公务用车购置及运行维护费支出决算与</w:t>
      </w: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2年持平。</w:t>
      </w:r>
    </w:p>
    <w:p>
      <w:pPr>
        <w:spacing w:line="600"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color w:val="000000"/>
          <w:sz w:val="32"/>
          <w:szCs w:val="32"/>
          <w:lang w:val="zh-CN"/>
        </w:rPr>
        <w:t>其中：</w:t>
      </w:r>
      <w:r>
        <w:rPr>
          <w:rFonts w:hint="eastAsia" w:ascii="仿宋_GB2312" w:hAnsi="Cambria" w:eastAsia="仿宋_GB2312" w:cs="仿宋_GB2312"/>
          <w:b/>
          <w:bCs/>
          <w:color w:val="000000"/>
          <w:sz w:val="32"/>
          <w:szCs w:val="32"/>
          <w:lang w:val="zh-CN"/>
        </w:rPr>
        <w:t>公务用车购置费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万元。全年按规定更新购置公务用车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辆，其中：轿车0辆、金额0万元，越野车0辆、金额0万元，小型载客汽车0辆、金额0万元，大中型载客汽车0辆、金额0万元，其他车型0辆、金额0万元。截至</w:t>
      </w: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月底，本部门共有公务用车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辆，其中：轿车0辆、越野车0辆、小型载客汽车0辆、大中型载客汽车0辆、其他车型0辆。</w:t>
      </w:r>
    </w:p>
    <w:p>
      <w:pPr>
        <w:spacing w:line="600"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公务用车运行维护费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600" w:lineRule="exact"/>
        <w:ind w:firstLine="643"/>
        <w:rPr>
          <w:rFonts w:ascii="仿宋_GB2312" w:hAnsi="Cambria" w:eastAsia="仿宋_GB2312" w:cs="仿宋_GB2312"/>
          <w:color w:val="000000"/>
          <w:sz w:val="32"/>
          <w:szCs w:val="32"/>
          <w:lang w:val="zh-CN"/>
        </w:rPr>
      </w:pPr>
      <w:r>
        <w:rPr>
          <w:rFonts w:ascii="仿宋_GB2312" w:hAnsi="Cambria" w:eastAsia="仿宋_GB2312" w:cs="仿宋_GB2312"/>
          <w:b/>
          <w:bCs/>
          <w:color w:val="000000"/>
          <w:sz w:val="32"/>
          <w:szCs w:val="32"/>
          <w:lang w:val="zh-CN"/>
        </w:rPr>
        <w:t>3.</w:t>
      </w:r>
      <w:r>
        <w:rPr>
          <w:rFonts w:hint="eastAsia" w:ascii="仿宋_GB2312" w:hAnsi="Cambria" w:eastAsia="仿宋_GB2312" w:cs="仿宋_GB2312"/>
          <w:b/>
          <w:bCs/>
          <w:color w:val="000000"/>
          <w:sz w:val="32"/>
          <w:szCs w:val="32"/>
          <w:lang w:val="zh-CN"/>
        </w:rPr>
        <w:t>公务接待费</w:t>
      </w:r>
      <w:r>
        <w:rPr>
          <w:rFonts w:hint="eastAsia" w:ascii="仿宋_GB2312" w:hAnsi="Cambria" w:eastAsia="仿宋_GB2312" w:cs="仿宋_GB2312"/>
          <w:color w:val="000000"/>
          <w:sz w:val="32"/>
          <w:szCs w:val="32"/>
          <w:lang w:val="zh-CN"/>
        </w:rPr>
        <w:t>支出5.99万元，完成预算78.8</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。公务接待费支出决算比</w:t>
      </w: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2年增加3.42万元，增长42.9</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。主要原因是2022年底支出账号错号反清算到2023年。</w:t>
      </w:r>
    </w:p>
    <w:p>
      <w:pPr>
        <w:spacing w:line="600"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国内公务接待</w:t>
      </w:r>
      <w:r>
        <w:rPr>
          <w:rFonts w:hint="eastAsia" w:ascii="仿宋_GB2312" w:hAnsi="Cambria" w:eastAsia="仿宋_GB2312" w:cs="仿宋_GB2312"/>
          <w:color w:val="000000"/>
          <w:sz w:val="32"/>
          <w:szCs w:val="32"/>
          <w:lang w:val="zh-CN"/>
        </w:rPr>
        <w:t>支出5.99万元。主要用于</w:t>
      </w:r>
      <w:r>
        <w:rPr>
          <w:rFonts w:hint="eastAsia" w:ascii="仿宋_GB2312" w:hAnsi="Cambria" w:eastAsia="仿宋_GB2312" w:cs="仿宋_GB2312"/>
          <w:color w:val="000000"/>
          <w:sz w:val="32"/>
          <w:szCs w:val="32"/>
          <w:highlight w:val="white"/>
        </w:rPr>
        <w:t>执行公务、开展业务活动开支的交通费、住宿费、用餐费等。</w:t>
      </w:r>
      <w:r>
        <w:rPr>
          <w:rFonts w:hint="eastAsia" w:ascii="仿宋_GB2312" w:hAnsi="Cambria" w:eastAsia="仿宋_GB2312" w:cs="仿宋_GB2312"/>
          <w:color w:val="000000"/>
          <w:sz w:val="32"/>
          <w:szCs w:val="32"/>
          <w:lang w:val="zh-CN"/>
        </w:rPr>
        <w:t>国内公务接待78批次，590人次，共计支出5.99万元</w:t>
      </w:r>
      <w:r>
        <w:rPr>
          <w:rFonts w:hint="eastAsia" w:ascii="仿宋_GB2312" w:hAnsi="Cambria" w:eastAsia="仿宋_GB2312" w:cs="仿宋_GB2312"/>
          <w:color w:val="000000"/>
          <w:sz w:val="32"/>
          <w:szCs w:val="32"/>
          <w:highlight w:val="white"/>
        </w:rPr>
        <w:t>。</w:t>
      </w:r>
    </w:p>
    <w:p>
      <w:pPr>
        <w:spacing w:line="600"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外事接待</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万元，外事接待</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批次，</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人，共计支出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600" w:lineRule="exact"/>
        <w:ind w:firstLine="643"/>
        <w:rPr>
          <w:rFonts w:ascii="黑体" w:hAnsi="Cambria" w:eastAsia="黑体" w:cs="黑体"/>
          <w:b/>
          <w:bCs/>
          <w:sz w:val="32"/>
          <w:szCs w:val="32"/>
          <w:lang w:val="zh-CN"/>
        </w:rPr>
      </w:pPr>
      <w:r>
        <w:rPr>
          <w:rFonts w:hint="eastAsia" w:ascii="黑体" w:hAnsi="Cambria" w:eastAsia="黑体" w:cs="黑体"/>
          <w:color w:val="000000"/>
          <w:sz w:val="32"/>
          <w:szCs w:val="32"/>
          <w:lang w:val="zh-CN"/>
        </w:rPr>
        <w:t>八、</w:t>
      </w:r>
      <w:r>
        <w:rPr>
          <w:rFonts w:hint="eastAsia" w:ascii="黑体" w:hAnsi="Cambria" w:eastAsia="黑体" w:cs="黑体"/>
          <w:sz w:val="32"/>
          <w:szCs w:val="32"/>
          <w:lang w:val="zh-CN"/>
        </w:rPr>
        <w:t>政府性基金预算支出决算情况说明</w:t>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3年政府性基金预算拨款支出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576" w:lineRule="exact"/>
        <w:ind w:firstLine="640"/>
        <w:rPr>
          <w:rFonts w:ascii="仿宋_GB2312" w:hAnsi="Cambria" w:eastAsia="仿宋_GB2312" w:cs="仿宋_GB2312"/>
          <w:color w:val="000000"/>
          <w:sz w:val="32"/>
          <w:szCs w:val="32"/>
          <w:lang w:val="zh-CN"/>
        </w:rPr>
      </w:pPr>
      <w:r>
        <w:rPr>
          <w:rFonts w:hint="eastAsia" w:ascii="黑体" w:hAnsi="Cambria" w:eastAsia="黑体" w:cs="黑体"/>
          <w:sz w:val="32"/>
          <w:szCs w:val="32"/>
          <w:lang w:val="zh-CN"/>
        </w:rPr>
        <w:t>九、国有资本经营预算支出决算情况说明</w:t>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3年国有资本经营预算拨款支出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576" w:lineRule="exact"/>
        <w:ind w:firstLine="640"/>
        <w:rPr>
          <w:rFonts w:ascii="仿宋_GB2312" w:hAnsi="Cambria" w:eastAsia="仿宋_GB2312" w:cs="仿宋_GB2312"/>
          <w:color w:val="000000"/>
          <w:sz w:val="32"/>
          <w:szCs w:val="32"/>
          <w:lang w:val="zh-CN"/>
        </w:rPr>
      </w:pPr>
      <w:r>
        <w:rPr>
          <w:rFonts w:hint="eastAsia" w:ascii="黑体" w:hAnsi="Cambria" w:eastAsia="黑体" w:cs="黑体"/>
          <w:color w:val="000000"/>
          <w:sz w:val="32"/>
          <w:szCs w:val="32"/>
          <w:lang w:val="zh-CN"/>
        </w:rPr>
        <w:t>十</w:t>
      </w:r>
      <w:r>
        <w:rPr>
          <w:rFonts w:hint="eastAsia" w:ascii="黑体" w:hAnsi="Cambria" w:eastAsia="黑体" w:cs="黑体"/>
          <w:b/>
          <w:bCs/>
          <w:sz w:val="32"/>
          <w:szCs w:val="32"/>
          <w:lang w:val="zh-CN"/>
        </w:rPr>
        <w:t>、</w:t>
      </w:r>
      <w:r>
        <w:rPr>
          <w:rFonts w:hint="eastAsia" w:ascii="黑体" w:hAnsi="Cambria" w:eastAsia="黑体" w:cs="黑体"/>
          <w:sz w:val="32"/>
          <w:szCs w:val="32"/>
          <w:lang w:val="zh-CN"/>
        </w:rPr>
        <w:t>其他重要事项的情况说明</w:t>
      </w:r>
    </w:p>
    <w:p>
      <w:pPr>
        <w:spacing w:line="576" w:lineRule="exact"/>
        <w:ind w:firstLine="640"/>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（一）机关运行经费支出情况</w:t>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3年，中国共产党沐川县委员会组织部机关运行经费支出65.21万元，比</w:t>
      </w: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2年增加4.72万元，增长7.2</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。主要原因是人员变动 。</w:t>
      </w:r>
    </w:p>
    <w:p>
      <w:pPr>
        <w:spacing w:line="600" w:lineRule="exact"/>
        <w:ind w:firstLine="643"/>
        <w:rPr>
          <w:rFonts w:ascii="仿宋" w:hAnsi="Cambria" w:eastAsia="仿宋" w:cs="仿宋"/>
          <w:b/>
          <w:bCs/>
          <w:sz w:val="32"/>
          <w:szCs w:val="32"/>
        </w:rPr>
      </w:pPr>
      <w:r>
        <w:rPr>
          <w:rFonts w:hint="eastAsia" w:ascii="仿宋_GB2312" w:hAnsi="Cambria" w:eastAsia="仿宋_GB2312" w:cs="仿宋_GB2312"/>
          <w:b/>
          <w:bCs/>
          <w:color w:val="000000"/>
          <w:sz w:val="32"/>
          <w:szCs w:val="32"/>
          <w:lang w:val="zh-CN"/>
        </w:rPr>
        <w:t>（二）政府采购支出情况</w:t>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3年，中国共产党沐川县委员会组织部政府采购支出总额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万元，其中：政府采购货物支出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万元、政府采购工程支出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万元、政府采购服务支出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万元。授予中小企业合同金额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万元，占政府采购支出总额的</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，其中：授予小微企业合同金额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r>
        <w:rPr>
          <w:rFonts w:hint="eastAsia" w:ascii="仿宋_GB2312" w:hAnsi="Cambria" w:eastAsia="仿宋_GB2312" w:cs="仿宋_GB2312"/>
          <w:sz w:val="32"/>
          <w:szCs w:val="32"/>
        </w:rPr>
        <w:t>占政府采购支出总额的</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w:t>
      </w:r>
    </w:p>
    <w:p>
      <w:pPr>
        <w:spacing w:line="600" w:lineRule="exact"/>
        <w:ind w:firstLine="643"/>
        <w:rPr>
          <w:rFonts w:ascii="仿宋_GB2312" w:hAnsi="Cambria" w:eastAsia="仿宋_GB2312" w:cs="仿宋_GB2312"/>
          <w:b/>
          <w:bCs/>
          <w:color w:val="000000"/>
          <w:sz w:val="32"/>
          <w:szCs w:val="32"/>
          <w:lang w:val="zh-CN"/>
        </w:rPr>
      </w:pPr>
      <w:r>
        <w:rPr>
          <w:rFonts w:hint="eastAsia" w:ascii="仿宋_GB2312" w:hAnsi="Cambria" w:eastAsia="仿宋_GB2312" w:cs="仿宋_GB2312"/>
          <w:b/>
          <w:bCs/>
          <w:color w:val="000000"/>
          <w:sz w:val="32"/>
          <w:szCs w:val="32"/>
          <w:lang w:val="zh-CN"/>
        </w:rPr>
        <w:t>（三）国有资产占有使用情况</w:t>
      </w:r>
    </w:p>
    <w:p>
      <w:pPr>
        <w:spacing w:line="576" w:lineRule="exact"/>
        <w:ind w:firstLine="640"/>
        <w:rPr>
          <w:rFonts w:ascii="仿宋_GB2312" w:hAnsi="Cambria" w:eastAsia="仿宋_GB2312" w:cs="仿宋_GB2312"/>
          <w:color w:val="000000"/>
          <w:sz w:val="32"/>
          <w:szCs w:val="32"/>
          <w:lang w:val="zh-CN"/>
        </w:rPr>
      </w:pPr>
      <w:r>
        <w:rPr>
          <w:rFonts w:hint="eastAsia" w:ascii="仿宋_GB2312" w:hAnsi="Cambria" w:eastAsia="仿宋_GB2312" w:cs="仿宋_GB2312"/>
          <w:color w:val="000000"/>
          <w:sz w:val="32"/>
          <w:szCs w:val="32"/>
          <w:lang w:val="zh-CN"/>
        </w:rPr>
        <w:t>截至</w:t>
      </w:r>
      <w:r>
        <w:rPr>
          <w:rFonts w:ascii="仿宋_GB2312" w:hAnsi="Cambria" w:eastAsia="仿宋_GB2312" w:cs="仿宋_GB2312"/>
          <w:color w:val="000000"/>
          <w:sz w:val="32"/>
          <w:szCs w:val="32"/>
          <w:lang w:val="zh-CN"/>
        </w:rPr>
        <w:t>202</w:t>
      </w:r>
      <w:r>
        <w:rPr>
          <w:rFonts w:hint="eastAsia" w:ascii="仿宋_GB2312" w:hAnsi="Cambria" w:eastAsia="仿宋_GB2312" w:cs="仿宋_GB2312"/>
          <w:color w:val="000000"/>
          <w:sz w:val="32"/>
          <w:szCs w:val="32"/>
          <w:lang w:val="zh-CN"/>
        </w:rPr>
        <w:t>3年</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月</w:t>
      </w:r>
      <w:r>
        <w:rPr>
          <w:rFonts w:ascii="仿宋_GB2312" w:hAnsi="Cambria" w:eastAsia="仿宋_GB2312" w:cs="仿宋_GB2312"/>
          <w:color w:val="000000"/>
          <w:sz w:val="32"/>
          <w:szCs w:val="32"/>
          <w:lang w:val="zh-CN"/>
        </w:rPr>
        <w:t>31</w:t>
      </w:r>
      <w:r>
        <w:rPr>
          <w:rFonts w:hint="eastAsia" w:ascii="仿宋_GB2312" w:hAnsi="Cambria" w:eastAsia="仿宋_GB2312" w:cs="仿宋_GB2312"/>
          <w:color w:val="000000"/>
          <w:sz w:val="32"/>
          <w:szCs w:val="32"/>
          <w:lang w:val="zh-CN"/>
        </w:rPr>
        <w:t>日，中国共产党沐川县委员会组织部共有车辆</w:t>
      </w:r>
      <w:r>
        <w:rPr>
          <w:rFonts w:ascii="仿宋_GB2312" w:hAnsi="Cambria" w:eastAsia="仿宋_GB2312" w:cs="仿宋_GB2312"/>
          <w:color w:val="000000"/>
          <w:sz w:val="32"/>
          <w:szCs w:val="32"/>
          <w:lang w:val="zh-CN"/>
        </w:rPr>
        <w:t>1</w:t>
      </w:r>
      <w:r>
        <w:rPr>
          <w:rFonts w:hint="eastAsia" w:ascii="仿宋_GB2312" w:hAnsi="Cambria" w:eastAsia="仿宋_GB2312" w:cs="仿宋_GB2312"/>
          <w:color w:val="000000"/>
          <w:sz w:val="32"/>
          <w:szCs w:val="32"/>
          <w:lang w:val="zh-CN"/>
        </w:rPr>
        <w:t>辆，其中：副部（省）级及以上领导用车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辆、主要领导干部用车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辆、机要通信用车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辆、应急保障用车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辆、执法执勤用车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辆、特种专业技术用车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辆、离退休干部用车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辆、其他用车</w:t>
      </w:r>
      <w:r>
        <w:rPr>
          <w:rFonts w:ascii="仿宋_GB2312" w:hAnsi="Cambria" w:eastAsia="仿宋_GB2312" w:cs="仿宋_GB2312"/>
          <w:color w:val="000000"/>
          <w:sz w:val="32"/>
          <w:szCs w:val="32"/>
          <w:lang w:val="zh-CN"/>
        </w:rPr>
        <w:t>1</w:t>
      </w:r>
      <w:r>
        <w:rPr>
          <w:rFonts w:hint="eastAsia" w:ascii="仿宋_GB2312" w:hAnsi="Cambria" w:eastAsia="仿宋_GB2312" w:cs="仿宋_GB2312"/>
          <w:color w:val="000000"/>
          <w:sz w:val="32"/>
          <w:szCs w:val="32"/>
          <w:lang w:val="zh-CN"/>
        </w:rPr>
        <w:t>辆。其中：单价</w:t>
      </w:r>
      <w:r>
        <w:rPr>
          <w:rFonts w:ascii="仿宋_GB2312" w:hAnsi="Cambria" w:eastAsia="仿宋_GB2312" w:cs="仿宋_GB2312"/>
          <w:color w:val="000000"/>
          <w:sz w:val="32"/>
          <w:szCs w:val="32"/>
          <w:lang w:val="zh-CN"/>
        </w:rPr>
        <w:t>100</w:t>
      </w:r>
      <w:r>
        <w:rPr>
          <w:rFonts w:hint="eastAsia" w:ascii="仿宋_GB2312" w:hAnsi="Cambria" w:eastAsia="仿宋_GB2312" w:cs="仿宋_GB2312"/>
          <w:color w:val="000000"/>
          <w:sz w:val="32"/>
          <w:szCs w:val="32"/>
          <w:lang w:val="zh-CN"/>
        </w:rPr>
        <w:t>万元（含）以上设备</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台（套</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w:t>
      </w:r>
    </w:p>
    <w:p>
      <w:pPr>
        <w:spacing w:line="600" w:lineRule="exact"/>
        <w:ind w:firstLine="643"/>
        <w:rPr>
          <w:rFonts w:ascii="仿宋" w:hAnsi="Cambria" w:eastAsia="仿宋" w:cs="仿宋"/>
          <w:b/>
          <w:bCs/>
          <w:sz w:val="32"/>
          <w:szCs w:val="32"/>
        </w:rPr>
      </w:pPr>
      <w:r>
        <w:rPr>
          <w:rFonts w:hint="eastAsia" w:ascii="仿宋_GB2312" w:hAnsi="Cambria" w:eastAsia="仿宋_GB2312" w:cs="仿宋_GB2312"/>
          <w:b/>
          <w:bCs/>
          <w:color w:val="000000"/>
          <w:sz w:val="32"/>
          <w:szCs w:val="32"/>
          <w:lang w:val="zh-CN"/>
        </w:rPr>
        <w:t>（四）预算绩效管理情况。</w:t>
      </w:r>
    </w:p>
    <w:p>
      <w:pPr>
        <w:spacing w:line="576" w:lineRule="exact"/>
        <w:ind w:firstLine="640"/>
        <w:rPr>
          <w:rFonts w:ascii="仿宋_GB2312" w:hAnsi="Cambria" w:eastAsia="仿宋_GB2312" w:cs="仿宋_GB2312"/>
          <w:sz w:val="32"/>
          <w:szCs w:val="32"/>
        </w:rPr>
      </w:pPr>
      <w:r>
        <w:rPr>
          <w:rFonts w:hint="eastAsia" w:ascii="仿宋_GB2312" w:hAnsi="Cambria" w:eastAsia="仿宋_GB2312" w:cs="仿宋_GB2312"/>
          <w:sz w:val="32"/>
          <w:szCs w:val="32"/>
        </w:rPr>
        <w:t>根据预算绩效管理要求，本部门在</w:t>
      </w:r>
      <w:r>
        <w:rPr>
          <w:rFonts w:ascii="仿宋_GB2312" w:hAnsi="Cambria" w:eastAsia="仿宋_GB2312" w:cs="仿宋_GB2312"/>
          <w:sz w:val="32"/>
          <w:szCs w:val="32"/>
        </w:rPr>
        <w:t>202</w:t>
      </w:r>
      <w:r>
        <w:rPr>
          <w:rFonts w:hint="eastAsia" w:ascii="仿宋_GB2312" w:hAnsi="Cambria" w:eastAsia="仿宋_GB2312" w:cs="仿宋_GB2312"/>
          <w:sz w:val="32"/>
          <w:szCs w:val="32"/>
        </w:rPr>
        <w:t>3年度预算编制阶段，组织对老干部关爱慰问经费、县级领导干部体检费、党员教育培训经费等17个项目开展了预算事前绩效评估，对1个项目编制了绩效目标，预算执行过程中，选取1个项目开展绩效监控。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人才开发及关爱专项资金”项目绩效目标完成情况综述。项目全年预算数200万元，执行数为49.9万元，完成预算的25%。通过项目实施，加大了全县党政干部思想政治教育、提高党员干部人才理论综合素质。发现的主要问题：培训内容方式不够多元。下一步改进措施：丰富载体，保持干部教育管理工作的多样性。逐步改变过去那种机械的、灌输式、说教式的教育方式，采取灵活多样的、干部喜闻乐见的教育方式方法，开展各种学习教育活动，调动干部参与学习的积极性。</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lang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w:t>
            </w:r>
            <w:r>
              <w:rPr>
                <w:rFonts w:hint="eastAsia" w:ascii="宋体" w:hAnsi="宋体" w:cs="宋体"/>
                <w:color w:val="000000"/>
                <w:kern w:val="0"/>
                <w:sz w:val="36"/>
                <w:szCs w:val="36"/>
                <w:lang w:bidi="ar"/>
              </w:rPr>
              <w:t>3年度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人才开发及关爱专项资金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49.9万元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全县党员干部培训全覆盖和加大干部关心关爱</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举办形式多样的干部培训班</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完成党员干部培训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 xml:space="preserve">举办入党积极分子培训班、党组织书记培训班、优秀干部递进班 </w:t>
            </w:r>
          </w:p>
          <w:p>
            <w:pPr>
              <w:widowControl/>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干部理论水平、业务水平进一步提高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显著提高</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县委县政府、上级业务部门的满意度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bl>
    <w:p>
      <w:pPr>
        <w:spacing w:line="580" w:lineRule="exact"/>
        <w:ind w:firstLine="800" w:firstLineChars="250"/>
        <w:rPr>
          <w:rFonts w:ascii="楷体_GB2312" w:hAnsi="楷体_GB2312" w:eastAsia="楷体_GB2312" w:cs="楷体_GB2312"/>
          <w:sz w:val="32"/>
          <w:szCs w:val="32"/>
        </w:rPr>
      </w:pPr>
    </w:p>
    <w:p>
      <w:pPr>
        <w:spacing w:line="580" w:lineRule="exact"/>
        <w:ind w:firstLine="800" w:firstLineChars="25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3年部门整体支出绩效评价情况开展自评，《组织部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3年部门整体支出绩效评价报告》见附件（附件1）。</w:t>
      </w:r>
      <w:r>
        <w:rPr>
          <w:rFonts w:hint="eastAsia" w:ascii="仿宋_GB2312" w:hAnsi="Cambria" w:eastAsia="仿宋_GB2312" w:cs="仿宋_GB2312"/>
          <w:sz w:val="32"/>
          <w:szCs w:val="32"/>
        </w:rPr>
        <w:t>组织对</w:t>
      </w:r>
      <w:r>
        <w:rPr>
          <w:rFonts w:ascii="仿宋_GB2312" w:hAnsi="Cambria" w:eastAsia="仿宋_GB2312" w:cs="仿宋_GB2312"/>
          <w:sz w:val="32"/>
          <w:szCs w:val="32"/>
        </w:rPr>
        <w:t>202</w:t>
      </w:r>
      <w:r>
        <w:rPr>
          <w:rFonts w:hint="eastAsia" w:ascii="仿宋_GB2312" w:hAnsi="Cambria" w:eastAsia="仿宋_GB2312" w:cs="仿宋_GB2312"/>
          <w:sz w:val="32"/>
          <w:szCs w:val="32"/>
        </w:rPr>
        <w:t>3年度一般公共预算全面开展绩效自评，形成组织部绩效自评报告，其中，组织部部门整体绩效自评得分为98分，绩效自评综述：干部人才开发及关爱专项经费自评综合绩效良好，绩效自评报告详见附件。</w:t>
      </w:r>
    </w:p>
    <w:p>
      <w:pPr>
        <w:spacing w:line="600" w:lineRule="exact"/>
        <w:ind w:firstLine="643"/>
        <w:rPr>
          <w:rFonts w:ascii="仿宋" w:hAnsi="Times New Roman" w:eastAsia="仿宋" w:cs="仿宋"/>
          <w:b/>
          <w:bCs/>
          <w:sz w:val="32"/>
          <w:szCs w:val="32"/>
        </w:rPr>
      </w:pPr>
    </w:p>
    <w:p>
      <w:pPr>
        <w:spacing w:line="600" w:lineRule="exact"/>
        <w:ind w:firstLine="1285" w:firstLineChars="400"/>
        <w:rPr>
          <w:rFonts w:ascii="仿宋" w:hAnsi="Times New Roman" w:eastAsia="仿宋" w:cs="仿宋"/>
          <w:b/>
          <w:bCs/>
          <w:sz w:val="32"/>
          <w:szCs w:val="32"/>
        </w:rPr>
      </w:pPr>
      <w:r>
        <w:rPr>
          <w:rFonts w:hint="eastAsia" w:ascii="仿宋" w:hAnsi="Times New Roman" w:eastAsia="仿宋" w:cs="仿宋"/>
          <w:b/>
          <w:bCs/>
          <w:sz w:val="32"/>
          <w:szCs w:val="32"/>
        </w:rPr>
        <w:t xml:space="preserve">     </w:t>
      </w:r>
      <w:r>
        <w:rPr>
          <w:rFonts w:hint="eastAsia" w:ascii="黑体" w:hAnsi="Cambria" w:eastAsia="黑体" w:cs="黑体"/>
          <w:color w:val="000000"/>
          <w:sz w:val="44"/>
          <w:szCs w:val="44"/>
          <w:lang w:val="zh-CN"/>
        </w:rPr>
        <w:t>第三部分</w:t>
      </w:r>
      <w:r>
        <w:rPr>
          <w:rFonts w:ascii="黑体" w:hAnsi="Cambria" w:eastAsia="黑体" w:cs="黑体"/>
          <w:color w:val="000000"/>
          <w:sz w:val="44"/>
          <w:szCs w:val="44"/>
          <w:lang w:val="zh-CN"/>
        </w:rPr>
        <w:t xml:space="preserve"> </w:t>
      </w:r>
      <w:r>
        <w:rPr>
          <w:rFonts w:hint="eastAsia" w:ascii="黑体" w:hAnsi="Cambria" w:eastAsia="黑体" w:cs="黑体"/>
          <w:color w:val="000000"/>
          <w:sz w:val="44"/>
          <w:szCs w:val="44"/>
          <w:lang w:val="zh-CN"/>
        </w:rPr>
        <w:t>名</w:t>
      </w:r>
      <w:r>
        <w:rPr>
          <w:rFonts w:hint="eastAsia" w:ascii="黑体" w:hAnsi="Cambria" w:eastAsia="黑体" w:cs="黑体"/>
          <w:kern w:val="44"/>
          <w:sz w:val="44"/>
          <w:szCs w:val="44"/>
          <w:lang w:val="zh-CN"/>
        </w:rPr>
        <w:t>词解释</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财政拨款收入：反映单位从同级财政部门取得的财政预算资金。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年初结转和结余：反映以前年度尚未完成、结转到本年按有关规定继续使用的资金。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7. 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8.年末结转和结余：反映单位按有关规定结转到下年或以后年度继续使用的资金。</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9、一般公共服务（类）组织事务（款）行政运行（项）：反映行政单位（包括实行公务员管理的事业单位）用于财政事务方面的基本支出。一般公共服务（类）组织事务（款）一般行政管理事务（项）反映行政单位（包括实行公务员管理的事业单位）未单独设置项级科目的其他用于财政事务方面的项目支出。一般公共服务（类）组织事务（款）事业运行（项）：</w:t>
      </w:r>
      <w:r>
        <w:rPr>
          <w:rFonts w:hint="eastAsia" w:ascii="仿宋_GB2312" w:eastAsia="仿宋_GB2312"/>
          <w:sz w:val="32"/>
          <w:szCs w:val="32"/>
        </w:rPr>
        <w:t>反映事业单位的基本支出。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10.社会保障和就业（类）行政事业单位养支出（款）行政事业单位离退休（项）</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反映未实行归口管理的行政单位开支的离退休支出。社会保障和就业（类）行政事业单位离退休（款）机关事业单位养老保险缴费支出（项）：反映机关事业单位实施养老保险制度由单位缴纳的基本养老保险费支出。社会保障和就业（类）行政事业单位离退休（款）机关事业单位职业年金缴费支出（项）：反映机关事业单位实施职业年金制度由单位缴纳的职业年金支出。社会保障和就业（类）行政事业单位离退休（款）其他行政事业单位离退休支出（项）：反映除其他项目以外用于行政事业单位离退休方面的支出。社会保障和就业（类）抚恤（款）死亡抚恤（项）：反映按规定用于烈士和牺牲、病故人员家属的一次性和定期抚恤金以及丧葬补助费。</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11.卫生健康支出（类）行政事业单位医疗（款）行政单位医疗（项）</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反映财政部门安排的行政单位基本医疗保险缴费经费。 卫生健康支出（类）行政事业单位医疗（款）事业单位医疗（项）</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反映财政部门集中安排的事业单位基本医疗保险缴费经费。卫生健康支出（类）老龄卫生健康事务（款）老龄卫生健康事务（项）</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反映老龄卫生健康事务方面的支出。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12.农林水支出（类）扶贫（款）生产发展（项）：反映用于农村贫困地区发展种植业、养殖业、畜牧业、农副产品加工等生产发展项目以及相关技术推广等方面的项目支出。农林水支出（类）扶贫（款）社会发展（项）：反映用于农村贫困地区中小学教育、文化、广播、电视医疗、卫生等方面的项目支出。农林水支出（类）扶贫（款）其他扶贫支出（项）：反映除规定项目以外其他用于扶贫方面的支出。</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13.住房保障支出（类）住房改革支出（款）住房公积金（项）：反映行政事业单位按人力资源和社会保障部、财政部规定的基本工资和津补贴以及规定比例为职工缴纳的住房公积金。</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14.基本支出：指为保障机构正常运转、完成日常工作任务而发生的人员支出和公用支出。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15.项目支出：指在基本支出之外为完成特定行政任务和事业发展目标所发生的支出。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ascii="黑体" w:hAnsi="Cambria" w:eastAsia="黑体" w:cs="黑体"/>
          <w:sz w:val="44"/>
          <w:szCs w:val="44"/>
        </w:rPr>
      </w:pPr>
    </w:p>
    <w:p>
      <w:pPr>
        <w:spacing w:line="600" w:lineRule="exact"/>
        <w:jc w:val="center"/>
        <w:rPr>
          <w:rFonts w:ascii="黑体" w:hAnsi="Cambria" w:eastAsia="黑体" w:cs="黑体"/>
          <w:kern w:val="44"/>
          <w:sz w:val="44"/>
          <w:szCs w:val="44"/>
        </w:rPr>
      </w:pPr>
      <w:r>
        <w:rPr>
          <w:rFonts w:hint="eastAsia" w:ascii="黑体" w:hAnsi="Cambria" w:eastAsia="黑体" w:cs="黑体"/>
          <w:sz w:val="44"/>
          <w:szCs w:val="44"/>
        </w:rPr>
        <w:t>第</w:t>
      </w:r>
      <w:r>
        <w:rPr>
          <w:rFonts w:hint="eastAsia" w:ascii="黑体" w:hAnsi="Cambria" w:eastAsia="黑体" w:cs="黑体"/>
          <w:kern w:val="44"/>
          <w:sz w:val="44"/>
          <w:szCs w:val="44"/>
        </w:rPr>
        <w:t>四部分</w:t>
      </w:r>
      <w:r>
        <w:rPr>
          <w:rFonts w:ascii="黑体" w:hAnsi="Cambria" w:eastAsia="黑体" w:cs="黑体"/>
          <w:kern w:val="44"/>
          <w:sz w:val="44"/>
          <w:szCs w:val="44"/>
        </w:rPr>
        <w:t xml:space="preserve"> </w:t>
      </w:r>
      <w:r>
        <w:rPr>
          <w:rFonts w:hint="eastAsia" w:ascii="黑体" w:hAnsi="Cambria" w:eastAsia="黑体" w:cs="黑体"/>
          <w:kern w:val="44"/>
          <w:sz w:val="44"/>
          <w:szCs w:val="44"/>
        </w:rPr>
        <w:t>附件</w:t>
      </w:r>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widowControl/>
        <w:adjustRightInd w:val="0"/>
        <w:snapToGrid w:val="0"/>
        <w:spacing w:line="600" w:lineRule="exact"/>
        <w:ind w:firstLine="720"/>
        <w:jc w:val="center"/>
        <w:rPr>
          <w:rFonts w:ascii="黑体" w:hAnsi="黑体" w:eastAsia="黑体" w:cs="宋体"/>
          <w:b/>
          <w:color w:val="000000"/>
          <w:kern w:val="0"/>
          <w:sz w:val="44"/>
          <w:szCs w:val="44"/>
        </w:rPr>
      </w:pPr>
      <w:r>
        <w:rPr>
          <w:rFonts w:hint="eastAsia" w:ascii="黑体" w:hAnsi="黑体" w:eastAsia="黑体" w:cs="宋体"/>
          <w:b/>
          <w:color w:val="000000"/>
          <w:kern w:val="0"/>
          <w:sz w:val="44"/>
          <w:szCs w:val="44"/>
        </w:rPr>
        <w:t>2023年部门整体支出绩效报告</w:t>
      </w:r>
    </w:p>
    <w:p>
      <w:pPr>
        <w:widowControl/>
        <w:adjustRightInd w:val="0"/>
        <w:snapToGrid w:val="0"/>
        <w:spacing w:line="600" w:lineRule="exact"/>
        <w:ind w:firstLine="720"/>
        <w:jc w:val="left"/>
        <w:rPr>
          <w:rFonts w:ascii="黑体" w:hAnsi="黑体" w:eastAsia="黑体" w:cs="宋体"/>
          <w:b/>
          <w:color w:val="000000"/>
          <w:kern w:val="0"/>
          <w:sz w:val="32"/>
          <w:szCs w:val="32"/>
          <w:lang w:val="zh-CN"/>
        </w:rPr>
      </w:pPr>
      <w:r>
        <w:rPr>
          <w:rFonts w:hint="eastAsia" w:ascii="黑体" w:hAnsi="黑体" w:eastAsia="黑体" w:cs="宋体"/>
          <w:b/>
          <w:color w:val="000000"/>
          <w:kern w:val="0"/>
          <w:sz w:val="32"/>
          <w:szCs w:val="32"/>
        </w:rPr>
        <w:t>一、</w:t>
      </w:r>
      <w:r>
        <w:rPr>
          <w:rFonts w:hint="eastAsia" w:ascii="黑体" w:hAnsi="黑体" w:eastAsia="黑体" w:cs="宋体"/>
          <w:b/>
          <w:color w:val="000000"/>
          <w:kern w:val="0"/>
          <w:sz w:val="32"/>
          <w:szCs w:val="32"/>
          <w:lang w:val="zh-CN"/>
        </w:rPr>
        <w:t>部门概况</w:t>
      </w:r>
    </w:p>
    <w:p>
      <w:pPr>
        <w:ind w:firstLine="643" w:firstLineChars="200"/>
        <w:rPr>
          <w:rFonts w:ascii="仿宋" w:hAnsi="仿宋" w:eastAsia="仿宋"/>
          <w:sz w:val="32"/>
          <w:szCs w:val="32"/>
        </w:rPr>
      </w:pPr>
      <w:r>
        <w:rPr>
          <w:rFonts w:hint="eastAsia" w:ascii="楷体_GB2312" w:hAnsi="仿宋" w:eastAsia="楷体_GB2312" w:cs="宋体"/>
          <w:b/>
          <w:color w:val="000000"/>
          <w:kern w:val="0"/>
          <w:sz w:val="32"/>
          <w:szCs w:val="32"/>
          <w:lang w:val="zh-CN"/>
        </w:rPr>
        <w:t>（一）机构组成。</w:t>
      </w:r>
      <w:r>
        <w:rPr>
          <w:rFonts w:hint="eastAsia" w:ascii="仿宋" w:hAnsi="仿宋" w:eastAsia="仿宋"/>
          <w:sz w:val="32"/>
          <w:szCs w:val="32"/>
        </w:rPr>
        <w:t>组织部属行政单位，其中参照公务员法管理的事业单位</w:t>
      </w:r>
      <w:r>
        <w:rPr>
          <w:rFonts w:hint="eastAsia" w:ascii="仿宋" w:hAnsi="仿宋" w:eastAsia="仿宋"/>
          <w:bCs/>
          <w:sz w:val="32"/>
          <w:szCs w:val="32"/>
        </w:rPr>
        <w:t>2</w:t>
      </w:r>
      <w:r>
        <w:rPr>
          <w:rFonts w:hint="eastAsia" w:ascii="仿宋" w:hAnsi="仿宋" w:eastAsia="仿宋"/>
          <w:sz w:val="32"/>
          <w:szCs w:val="32"/>
        </w:rPr>
        <w:t>个，其他事业单位2个。</w:t>
      </w:r>
    </w:p>
    <w:p>
      <w:pPr>
        <w:spacing w:line="600" w:lineRule="exact"/>
        <w:ind w:firstLine="643" w:firstLineChars="200"/>
        <w:rPr>
          <w:rFonts w:ascii="仿宋" w:hAnsi="仿宋" w:eastAsia="仿宋"/>
          <w:sz w:val="32"/>
          <w:szCs w:val="32"/>
        </w:rPr>
      </w:pPr>
      <w:r>
        <w:rPr>
          <w:rFonts w:hint="eastAsia" w:ascii="楷体_GB2312" w:hAnsi="仿宋" w:eastAsia="楷体_GB2312" w:cs="宋体"/>
          <w:b/>
          <w:color w:val="000000"/>
          <w:kern w:val="0"/>
          <w:sz w:val="32"/>
          <w:szCs w:val="32"/>
          <w:lang w:val="zh-CN"/>
        </w:rPr>
        <w:t>（二）机构职能。</w:t>
      </w:r>
      <w:r>
        <w:rPr>
          <w:rFonts w:hint="eastAsia" w:ascii="仿宋" w:hAnsi="仿宋" w:eastAsia="仿宋"/>
          <w:bCs/>
          <w:sz w:val="32"/>
          <w:szCs w:val="32"/>
        </w:rPr>
        <w:t>贯彻新时代党的建设总要求和新时代党的组织路线，落实党中央的方针政策和省委、市委、县委决策部署。负责全县党的组织体系、组织制度建设，负责基层党组织建设规划指导和党员队伍宏观管理，指导开展党员教育工作。负责全县领导班子和干部队伍建设的总体规划和宏观管理。负责县委管理领导班子和领导干部的考察考核、日常管理，提出调整配备建议，审核办理任免、工资、退休、兼职、待遇等有关事项。负责全县优秀年轻干部队伍建设工作。负责管理全县公务员工作。牵头拟订和组织实施公务员管理政策，承担公务员录用、调配、考核、奖惩、培训、监督、工资福利等工作，指导公务员绩效管理工作。负责全县人才工作的宏观指导、组织协调和督促检查，牵头推进人才发展体制机制改革和政策创新，牵头推进高校（院）战略合作、人才引进，统筹实施重大人才工程和人才表彰奖励。负责全县干部教育培训工作的宏观指导、政策规划、组织协调和督促检查，负责县重点培训项目的策划、实施和管理，指导全县干部教育培训基地建设管理、师资队伍建设等工作。负责组织系统干部监督工作的宏观指导和综合协调，制定和落实干部监督工作制度，组织实施领导干部报告个人有关事项及抽查核实工作。贯彻落实党的老干部工作方针政策，组织老干部开展政治思想理论学习，落实老干部政治、生活待遇，及时发现和掌握老干部中的新问题，向</w:t>
      </w:r>
      <w:bookmarkStart w:id="0" w:name="_GoBack"/>
      <w:bookmarkEnd w:id="0"/>
      <w:r>
        <w:rPr>
          <w:rFonts w:hint="eastAsia" w:ascii="仿宋" w:hAnsi="仿宋" w:eastAsia="仿宋"/>
          <w:bCs/>
          <w:sz w:val="32"/>
          <w:szCs w:val="32"/>
          <w:lang w:eastAsia="zh-CN"/>
        </w:rPr>
        <w:t>县委、县政府</w:t>
      </w:r>
      <w:r>
        <w:rPr>
          <w:rFonts w:hint="eastAsia" w:ascii="仿宋" w:hAnsi="仿宋" w:eastAsia="仿宋"/>
          <w:bCs/>
          <w:sz w:val="32"/>
          <w:szCs w:val="32"/>
        </w:rPr>
        <w:t>提出处理的意见和建议。负责制定县直机关党的建设的规划，指导县直机关党委、党组党的思想、组织和作风建设，抓好党员学习教育管理和发展党员工作。负责审批县直机关党总支、党支部的建设、撤并、换届和任免其组成人员等工作。统一管理县委机构编制委员会办公室。承担县委党建领导小组、县委人才工作领导小组的日常工作。</w:t>
      </w:r>
      <w:r>
        <w:rPr>
          <w:rFonts w:hint="eastAsia" w:ascii="仿宋" w:hAnsi="仿宋" w:eastAsia="仿宋"/>
          <w:sz w:val="32"/>
          <w:szCs w:val="32"/>
        </w:rPr>
        <w:t>负责职责范围内的安全生产和职业健康、生态环境保护等工作。完成县委和上级组织部交办的其他任务。</w:t>
      </w:r>
    </w:p>
    <w:p>
      <w:pPr>
        <w:spacing w:line="560" w:lineRule="exact"/>
        <w:ind w:firstLine="643" w:firstLineChars="200"/>
        <w:rPr>
          <w:rFonts w:ascii="仿宋_GB2312" w:eastAsia="仿宋_GB2312"/>
          <w:sz w:val="32"/>
          <w:szCs w:val="32"/>
        </w:rPr>
      </w:pPr>
      <w:r>
        <w:rPr>
          <w:rFonts w:hint="eastAsia" w:ascii="楷体_GB2312" w:hAnsi="仿宋" w:eastAsia="楷体_GB2312" w:cs="宋体"/>
          <w:b/>
          <w:color w:val="000000"/>
          <w:kern w:val="0"/>
          <w:sz w:val="32"/>
          <w:szCs w:val="32"/>
          <w:lang w:val="zh-CN"/>
        </w:rPr>
        <w:t>（三）人</w:t>
      </w:r>
      <w:r>
        <w:rPr>
          <w:rFonts w:ascii="楷体_GB2312" w:hAnsi="仿宋" w:eastAsia="楷体_GB2312" w:cs="宋体"/>
          <w:b/>
          <w:color w:val="000000"/>
          <w:kern w:val="0"/>
          <w:sz w:val="32"/>
          <w:szCs w:val="32"/>
          <w:lang w:val="zh-CN"/>
        </w:rPr>
        <w:t>员概况。</w:t>
      </w:r>
      <w:r>
        <w:rPr>
          <w:rFonts w:ascii="仿宋" w:hAnsi="仿宋" w:eastAsia="仿宋"/>
          <w:color w:val="000000"/>
          <w:kern w:val="0"/>
          <w:sz w:val="32"/>
          <w:szCs w:val="32"/>
          <w:lang w:val="zh-CN"/>
        </w:rPr>
        <w:t>截止</w:t>
      </w:r>
      <w:r>
        <w:rPr>
          <w:rFonts w:hint="eastAsia" w:ascii="仿宋" w:hAnsi="仿宋" w:eastAsia="仿宋"/>
          <w:color w:val="000000"/>
          <w:kern w:val="0"/>
          <w:sz w:val="32"/>
          <w:szCs w:val="32"/>
          <w:lang w:val="zh-CN"/>
        </w:rPr>
        <w:t>2023</w:t>
      </w:r>
      <w:r>
        <w:rPr>
          <w:rFonts w:ascii="仿宋" w:hAnsi="仿宋" w:eastAsia="仿宋"/>
          <w:color w:val="000000"/>
          <w:kern w:val="0"/>
          <w:sz w:val="32"/>
          <w:szCs w:val="32"/>
          <w:lang w:val="zh-CN"/>
        </w:rPr>
        <w:t>年底，</w:t>
      </w:r>
      <w:r>
        <w:rPr>
          <w:rFonts w:hint="eastAsia" w:ascii="仿宋" w:hAnsi="仿宋" w:eastAsia="仿宋"/>
          <w:kern w:val="0"/>
          <w:sz w:val="32"/>
          <w:szCs w:val="32"/>
        </w:rPr>
        <w:t>组织部总编制36个，其中：行政编制19个、工勤编制1个、参公编制7个、事业编制9个。在职人员总数32人，其中：行政16人、工勤1人、参公6人、事业6人。</w:t>
      </w:r>
      <w:r>
        <w:rPr>
          <w:rFonts w:hint="eastAsia" w:ascii="仿宋_GB2312" w:eastAsia="仿宋_GB2312"/>
          <w:sz w:val="32"/>
          <w:szCs w:val="32"/>
        </w:rPr>
        <w:t>另长骋人员1人，临聘人员1人，遗属1人。</w:t>
      </w:r>
    </w:p>
    <w:p>
      <w:pPr>
        <w:spacing w:line="600" w:lineRule="exact"/>
        <w:ind w:firstLine="643" w:firstLineChars="200"/>
        <w:jc w:val="left"/>
        <w:rPr>
          <w:rFonts w:ascii="黑体" w:hAnsi="黑体" w:eastAsia="黑体"/>
          <w:b/>
          <w:color w:val="000000"/>
          <w:kern w:val="0"/>
          <w:sz w:val="32"/>
          <w:szCs w:val="32"/>
        </w:rPr>
      </w:pPr>
      <w:r>
        <w:rPr>
          <w:rFonts w:hint="eastAsia" w:ascii="黑体" w:hAnsi="黑体" w:eastAsia="黑体" w:cs="宋体"/>
          <w:b/>
          <w:color w:val="000000"/>
          <w:kern w:val="0"/>
          <w:sz w:val="32"/>
          <w:szCs w:val="32"/>
        </w:rPr>
        <w:t>二、部门财政资金收支情况</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ascii="仿宋" w:hAnsi="仿宋" w:eastAsia="仿宋" w:cs="宋体"/>
          <w:b/>
          <w:color w:val="000000"/>
          <w:kern w:val="0"/>
          <w:sz w:val="32"/>
          <w:szCs w:val="32"/>
        </w:rPr>
        <w:t>（</w:t>
      </w:r>
      <w:r>
        <w:rPr>
          <w:rFonts w:ascii="楷体_GB2312" w:hAnsi="仿宋" w:eastAsia="楷体_GB2312" w:cs="宋体"/>
          <w:b/>
          <w:color w:val="000000"/>
          <w:kern w:val="0"/>
          <w:sz w:val="32"/>
          <w:szCs w:val="32"/>
          <w:lang w:val="zh-CN"/>
        </w:rPr>
        <w:t>一）</w:t>
      </w:r>
      <w:r>
        <w:rPr>
          <w:rFonts w:hint="eastAsia" w:ascii="楷体_GB2312" w:hAnsi="仿宋" w:eastAsia="楷体_GB2312" w:cs="宋体"/>
          <w:b/>
          <w:color w:val="000000"/>
          <w:kern w:val="0"/>
          <w:sz w:val="32"/>
          <w:szCs w:val="32"/>
          <w:lang w:val="zh-CN"/>
        </w:rPr>
        <w:t>部门财政资金收入情况</w:t>
      </w:r>
    </w:p>
    <w:p>
      <w:pPr>
        <w:widowControl/>
        <w:adjustRightInd w:val="0"/>
        <w:snapToGrid w:val="0"/>
        <w:spacing w:line="600" w:lineRule="exact"/>
        <w:ind w:firstLine="720"/>
        <w:rPr>
          <w:rFonts w:ascii="仿宋" w:hAnsi="仿宋" w:eastAsia="仿宋" w:cs="宋体"/>
          <w:color w:val="000000"/>
          <w:kern w:val="0"/>
          <w:sz w:val="32"/>
          <w:szCs w:val="32"/>
        </w:rPr>
      </w:pPr>
      <w:r>
        <w:rPr>
          <w:rFonts w:hint="eastAsia" w:ascii="仿宋" w:hAnsi="仿宋" w:eastAsia="仿宋" w:cs="宋体"/>
          <w:color w:val="000000"/>
          <w:kern w:val="0"/>
          <w:sz w:val="32"/>
          <w:szCs w:val="32"/>
        </w:rPr>
        <w:t>2023年财政拨款总收入1130.48万元。</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（二）部门财政资金支出情况</w:t>
      </w:r>
    </w:p>
    <w:p>
      <w:pPr>
        <w:widowControl/>
        <w:adjustRightInd w:val="0"/>
        <w:snapToGrid w:val="0"/>
        <w:spacing w:line="600" w:lineRule="exact"/>
        <w:ind w:firstLine="720"/>
        <w:jc w:val="left"/>
        <w:rPr>
          <w:rFonts w:ascii="仿宋" w:hAnsi="仿宋" w:eastAsia="仿宋"/>
          <w:sz w:val="32"/>
          <w:szCs w:val="32"/>
        </w:rPr>
      </w:pPr>
      <w:r>
        <w:rPr>
          <w:rFonts w:hint="eastAsia" w:ascii="仿宋" w:hAnsi="仿宋" w:eastAsia="仿宋" w:cs="宋体"/>
          <w:color w:val="000000"/>
          <w:kern w:val="0"/>
          <w:sz w:val="32"/>
          <w:szCs w:val="32"/>
          <w:lang w:val="zh-CN"/>
        </w:rPr>
        <w:t>2023年共计支出1130.48万元。</w:t>
      </w:r>
      <w:r>
        <w:rPr>
          <w:rFonts w:hint="eastAsia" w:ascii="仿宋" w:hAnsi="仿宋" w:eastAsia="仿宋"/>
          <w:sz w:val="32"/>
          <w:szCs w:val="32"/>
        </w:rPr>
        <w:t>主要用于人员经费支出540.87万元，日常公用经费支出65.21万元；项目支出524.4万元。</w:t>
      </w:r>
    </w:p>
    <w:p>
      <w:pPr>
        <w:widowControl/>
        <w:adjustRightInd w:val="0"/>
        <w:snapToGrid w:val="0"/>
        <w:spacing w:line="600" w:lineRule="exact"/>
        <w:ind w:firstLine="720"/>
        <w:jc w:val="left"/>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三、部门整体预算绩效管理情况</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（一）部门预算管理</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b/>
          <w:color w:val="000000"/>
          <w:sz w:val="32"/>
          <w:szCs w:val="32"/>
        </w:rPr>
        <w:t xml:space="preserve">1.预算编制  </w:t>
      </w:r>
      <w:r>
        <w:rPr>
          <w:rFonts w:hint="eastAsia" w:ascii="仿宋" w:hAnsi="仿宋" w:eastAsia="仿宋" w:cs="宋体"/>
          <w:color w:val="000000"/>
          <w:kern w:val="0"/>
          <w:sz w:val="32"/>
          <w:szCs w:val="32"/>
          <w:shd w:val="clear" w:color="auto" w:fill="FFFFFF"/>
          <w:lang w:val="zh-CN"/>
        </w:rPr>
        <w:t xml:space="preserve"> </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按照县财政局2023年部门预算编制通知要求，按时完成部门年初预算编制工作。在编制过程中，认真核实单位实际财政供养人数和单位实有编制情况，正确编制人员经费和公用经费等，做到尽量细化项目资金支出预算范围和科目，及时报相关股室进行审核，对所编制的预算予以调整。</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b/>
          <w:color w:val="000000"/>
          <w:sz w:val="32"/>
          <w:szCs w:val="32"/>
        </w:rPr>
        <w:t xml:space="preserve">2.认真编制部门年度决算报表  </w:t>
      </w:r>
      <w:r>
        <w:rPr>
          <w:rFonts w:hint="eastAsia" w:ascii="仿宋" w:hAnsi="仿宋" w:eastAsia="仿宋" w:cs="宋体"/>
          <w:color w:val="000000"/>
          <w:kern w:val="0"/>
          <w:sz w:val="32"/>
          <w:szCs w:val="32"/>
          <w:shd w:val="clear" w:color="auto" w:fill="FFFFFF"/>
          <w:lang w:val="zh-CN"/>
        </w:rPr>
        <w:t xml:space="preserve"> </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为真实、准确反应单位年度财务收、支情况，根据县财政的要求，认真开展部门年度决算报表编制工作。按照政府收支分类科目和财务报表支出情况编制部门决算，决算收入、支出口径与财政局国库股、预算股和行政政法股以及一体化核对无误，报表编制无差错。</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（二）项目预算管理</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 xml:space="preserve">1.部门预算执行情况   </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按《预算法》和财政有关规定，职工工资等人员经费按月发放，公务费按月申报，项目支出按项目实施情况经我单位和县财政审核无误后按项目进度拨付；公用经费申请授权支付并采取转账支付，尽量减少现金支出（零星支出）。</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 xml:space="preserve">2.中期评估   </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县委组织部在执行各项资金预算中，严格按照中央、省、市、县各级财务规定，管好、用好每笔资金。在专项项目资金使用过程中，严格按照项目资金管理办法的规定做好项目实施和监管，切实做到专款专用，从而发挥好项目资金对项目实施的促进作用；对涉及专项资金支出额度较大时，必须专题研究决定，杜绝违规违纪违法事件的发生。</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 xml:space="preserve">3.机关节能降耗  </w:t>
      </w:r>
    </w:p>
    <w:p>
      <w:pPr>
        <w:widowControl/>
        <w:adjustRightInd w:val="0"/>
        <w:snapToGrid w:val="0"/>
        <w:spacing w:line="600" w:lineRule="exact"/>
        <w:ind w:firstLine="720"/>
        <w:jc w:val="left"/>
        <w:rPr>
          <w:rFonts w:ascii="仿宋" w:hAnsi="仿宋" w:eastAsia="仿宋" w:cs="Arial"/>
          <w:color w:val="333333"/>
          <w:sz w:val="32"/>
          <w:szCs w:val="32"/>
        </w:rPr>
      </w:pPr>
      <w:r>
        <w:rPr>
          <w:rFonts w:hint="eastAsia" w:ascii="仿宋" w:hAnsi="仿宋" w:eastAsia="仿宋"/>
          <w:sz w:val="32"/>
          <w:szCs w:val="32"/>
        </w:rPr>
        <w:t>认真学习厉行节约反对浪费规定的同时倡导全体机关工作人员弘扬艰苦奋斗、勤俭节约的优良作风，进一步推进节约型机关建设。办公室、会议室等尽量采用自然光，尽可能少开灯或不开灯；做到离开办公室随手关灯，杜绝</w:t>
      </w:r>
      <w:r>
        <w:rPr>
          <w:rFonts w:ascii="仿宋" w:hAnsi="仿宋" w:eastAsia="仿宋"/>
          <w:sz w:val="32"/>
          <w:szCs w:val="32"/>
        </w:rPr>
        <w:t>“</w:t>
      </w:r>
      <w:r>
        <w:rPr>
          <w:rFonts w:hint="eastAsia" w:ascii="仿宋" w:hAnsi="仿宋" w:eastAsia="仿宋"/>
          <w:sz w:val="32"/>
          <w:szCs w:val="32"/>
        </w:rPr>
        <w:t>长明灯</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白昼灯</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Arial"/>
          <w:color w:val="333333"/>
          <w:sz w:val="32"/>
          <w:szCs w:val="32"/>
        </w:rPr>
        <w:t>下班后自觉关闭各类电器设备电源；</w:t>
      </w:r>
      <w:r>
        <w:rPr>
          <w:rFonts w:hint="eastAsia" w:ascii="仿宋" w:hAnsi="仿宋" w:eastAsia="仿宋"/>
          <w:sz w:val="32"/>
          <w:szCs w:val="32"/>
        </w:rPr>
        <w:t>强化节水意识，</w:t>
      </w:r>
      <w:r>
        <w:rPr>
          <w:rFonts w:hint="eastAsia" w:ascii="仿宋" w:hAnsi="仿宋" w:eastAsia="仿宋" w:cs="Arial"/>
          <w:color w:val="333333"/>
          <w:sz w:val="32"/>
          <w:szCs w:val="32"/>
        </w:rPr>
        <w:t>切实做到节约每一滴水，使广大干部职工养成良好的节水习惯；加强办公用品的使用管理，规范办公用品的采购，积极推行网络办公，尽量在电子媒介上撰写、修改文稿，推行无纸化办公。</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 xml:space="preserve">4.“三公”支出逐年递减   </w:t>
      </w:r>
    </w:p>
    <w:p>
      <w:pPr>
        <w:widowControl/>
        <w:adjustRightInd w:val="0"/>
        <w:snapToGrid w:val="0"/>
        <w:spacing w:line="600" w:lineRule="exact"/>
        <w:ind w:firstLine="720"/>
        <w:jc w:val="left"/>
        <w:rPr>
          <w:rFonts w:ascii="仿宋" w:hAnsi="仿宋" w:eastAsia="仿宋" w:cs="宋体"/>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严格执行中央八项规定和省、市、县十项规定，着力控制“三公”经费预算支出。全年无因公出国（境）费用支出；精减会议活动，减少会议费支出；严格执行党政机关厉行节约反对浪费条例，加强内部财务管理</w:t>
      </w:r>
      <w:r>
        <w:rPr>
          <w:rFonts w:hint="eastAsia" w:ascii="仿宋" w:hAnsi="仿宋" w:eastAsia="仿宋" w:cs="宋体"/>
          <w:kern w:val="0"/>
          <w:sz w:val="32"/>
          <w:szCs w:val="32"/>
          <w:shd w:val="clear" w:color="auto" w:fill="FFFFFF"/>
          <w:lang w:val="zh-CN"/>
        </w:rPr>
        <w:t>。</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（三）综合管理情况</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1.有效确保行政运转</w:t>
      </w:r>
    </w:p>
    <w:p>
      <w:pPr>
        <w:spacing w:line="600" w:lineRule="exact"/>
        <w:ind w:firstLine="640" w:firstLineChars="200"/>
        <w:rPr>
          <w:rFonts w:ascii="仿宋" w:hAnsi="仿宋" w:eastAsia="仿宋" w:cs="宋体"/>
          <w:kern w:val="0"/>
          <w:sz w:val="32"/>
          <w:szCs w:val="32"/>
          <w:shd w:val="clear" w:color="auto" w:fill="FFFFFF"/>
          <w:lang w:val="zh-CN"/>
        </w:rPr>
      </w:pPr>
      <w:r>
        <w:rPr>
          <w:rFonts w:hint="eastAsia" w:ascii="仿宋" w:hAnsi="仿宋" w:eastAsia="仿宋" w:cs="宋体"/>
          <w:kern w:val="0"/>
          <w:sz w:val="32"/>
          <w:szCs w:val="32"/>
          <w:shd w:val="clear" w:color="auto" w:fill="FFFFFF"/>
          <w:lang w:val="zh-CN"/>
        </w:rPr>
        <w:t>在保障机关正常运转的同时，认真履行好部门职能职责。</w:t>
      </w:r>
      <w:r>
        <w:rPr>
          <w:rFonts w:ascii="仿宋" w:hAnsi="仿宋" w:eastAsia="仿宋" w:cs="宋体"/>
          <w:kern w:val="0"/>
          <w:sz w:val="32"/>
          <w:szCs w:val="32"/>
          <w:shd w:val="clear" w:color="auto" w:fill="FFFFFF"/>
          <w:lang w:val="zh-CN"/>
        </w:rPr>
        <w:t>一</w:t>
      </w:r>
      <w:r>
        <w:rPr>
          <w:rFonts w:hint="eastAsia" w:ascii="仿宋" w:hAnsi="仿宋" w:eastAsia="仿宋" w:cs="宋体"/>
          <w:kern w:val="0"/>
          <w:sz w:val="32"/>
          <w:szCs w:val="32"/>
          <w:shd w:val="clear" w:color="auto" w:fill="FFFFFF"/>
          <w:lang w:val="zh-CN"/>
        </w:rPr>
        <w:t>是</w:t>
      </w:r>
      <w:r>
        <w:rPr>
          <w:rFonts w:ascii="仿宋" w:hAnsi="仿宋" w:eastAsia="仿宋" w:cs="宋体"/>
          <w:kern w:val="0"/>
          <w:sz w:val="32"/>
          <w:szCs w:val="32"/>
          <w:shd w:val="clear" w:color="auto" w:fill="FFFFFF"/>
          <w:lang w:val="zh-CN"/>
        </w:rPr>
        <w:t>选优配强领导班子。</w:t>
      </w:r>
      <w:r>
        <w:rPr>
          <w:rFonts w:hint="eastAsia" w:ascii="仿宋" w:hAnsi="仿宋" w:eastAsia="仿宋" w:cs="宋体"/>
          <w:kern w:val="0"/>
          <w:sz w:val="32"/>
          <w:szCs w:val="32"/>
          <w:shd w:val="clear" w:color="auto" w:fill="FFFFFF"/>
          <w:lang w:val="zh-CN"/>
        </w:rPr>
        <w:t>坚持把干部政治素质和现实表现考察识别放在日常，通过实地走访、调研座谈、面对面谈心谈话等方式，全覆盖开展乡镇、县级部门领导班子运行及后备干部队伍建设分析研判，精准掌握400余名科级领导干部思想状态和工作表现，建立健全干部信息档案，为县委选人用人提供有力参考依据。二是</w:t>
      </w:r>
      <w:r>
        <w:rPr>
          <w:rFonts w:ascii="仿宋" w:hAnsi="仿宋" w:eastAsia="仿宋" w:cs="宋体"/>
          <w:kern w:val="0"/>
          <w:sz w:val="32"/>
          <w:szCs w:val="32"/>
          <w:shd w:val="clear" w:color="auto" w:fill="FFFFFF"/>
          <w:lang w:val="zh-CN"/>
        </w:rPr>
        <w:t>强化年轻干部培养。继续深入实施“沐兵沙场”干部培训淬炼成长计划，对全县360余名年轻干部开展政治理论水平测试和行为特征评价，全面掌握干部能力表现，分类建立后备干部“蓄水池”。制定印发沐川县年轻干部“红色薪火工程”实施办法，创新实施年轻干部培养“厉兵行动”十二法，建立全链条干部培养机制，相关工作做法被组织人事报报道。创新推出“周一案例说”，以案例讲方法、以案例传经验，提升干部能力素质，目前已开展3期，培训干部600余人次。三</w:t>
      </w:r>
      <w:r>
        <w:rPr>
          <w:rFonts w:hint="eastAsia" w:ascii="仿宋" w:hAnsi="仿宋" w:eastAsia="仿宋" w:cs="宋体"/>
          <w:kern w:val="0"/>
          <w:sz w:val="32"/>
          <w:szCs w:val="32"/>
          <w:shd w:val="clear" w:color="auto" w:fill="FFFFFF"/>
          <w:lang w:val="zh-CN"/>
        </w:rPr>
        <w:t>是强化政策服务引才。以“十四五”人才发展规划需求为导向，设立200万人才专项资金，重点聚焦乡村振兴、产业发展需求招引人才，赴西南大学、西南石油大学、西南医科大学、四川农业大学等省内外高校开展招才引智活动5场，利用“人才专编”编制池，引进硕士研究生5名，对新引进硕士研究生、紧缺性专业人才发放一次性5万元安家补贴。刚性引进公务员（含参公）50余名，事业人员130名，本科及其以上学历达100%。四是持续提升老干部服务管理。开展“老少牵手·温暖同行”暖冬行动，建立“沐源银龄之春”银发人才库。落实县级领导联系老干部制度，坚持重大节日、生病住院、特殊困难时期慰问离休干部。全面完成老干部健康休养工作和离休干部、县处级退休干部“一人一策”档案更新。</w:t>
      </w:r>
    </w:p>
    <w:p>
      <w:pPr>
        <w:ind w:firstLine="639" w:firstLineChars="199"/>
        <w:rPr>
          <w:rFonts w:ascii="仿宋" w:hAnsi="仿宋" w:eastAsia="仿宋"/>
          <w:b/>
          <w:color w:val="000000"/>
          <w:sz w:val="32"/>
          <w:szCs w:val="32"/>
        </w:rPr>
      </w:pPr>
      <w:r>
        <w:rPr>
          <w:rFonts w:hint="eastAsia" w:ascii="仿宋" w:hAnsi="仿宋" w:eastAsia="仿宋"/>
          <w:b/>
          <w:color w:val="000000"/>
          <w:sz w:val="32"/>
          <w:szCs w:val="32"/>
        </w:rPr>
        <w:t>2. 严守财务管理各项制度</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严格执行财务管理制度，强化项目资金管理和使用。认真《沐川县财政资金支付管理暂行办法》，并结合部门实际制定了《机关财务管理制度》，严格遵守国家、省、市财务管理法律法规，本着勤俭节约原则，管好用好每笔资金，杜绝违规违法事件的发生。财务活动接受审计、财政、纪检监察等部门的监督检查。</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3. 及时开展预、决算公开</w:t>
      </w:r>
    </w:p>
    <w:p>
      <w:pPr>
        <w:widowControl/>
        <w:adjustRightInd w:val="0"/>
        <w:snapToGrid w:val="0"/>
        <w:spacing w:line="60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严格按照本单位正常运转的日常费用支出和完成特定专项业务工作的经费进行预算，中期对临时增加的特定工作进行了财政资金追加，年终对全年财政拨入资金进行分类分项目进行决算，并及时在沐川县人民政府网站上进行公开。</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（四）整体绩效</w:t>
      </w:r>
    </w:p>
    <w:p>
      <w:pPr>
        <w:widowControl/>
        <w:adjustRightInd w:val="0"/>
        <w:snapToGrid w:val="0"/>
        <w:spacing w:line="60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2023年财政拨款支出主要用于保障我部机构正常运转、完成日常工作任务以及承担党的组织、干部、人才开发、老干部工作等相关工作，取得了较好的成效。</w:t>
      </w:r>
    </w:p>
    <w:p>
      <w:pPr>
        <w:spacing w:line="600" w:lineRule="exact"/>
        <w:ind w:firstLine="630" w:firstLineChars="196"/>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四、评价结论及建议</w:t>
      </w:r>
    </w:p>
    <w:p>
      <w:pPr>
        <w:widowControl/>
        <w:adjustRightInd w:val="0"/>
        <w:snapToGrid w:val="0"/>
        <w:spacing w:line="600" w:lineRule="exact"/>
        <w:ind w:firstLine="720"/>
        <w:jc w:val="left"/>
        <w:rPr>
          <w:rFonts w:ascii="仿宋" w:hAnsi="仿宋" w:eastAsia="仿宋"/>
          <w:color w:val="000000"/>
          <w:sz w:val="32"/>
          <w:szCs w:val="32"/>
        </w:rPr>
      </w:pPr>
      <w:r>
        <w:rPr>
          <w:rFonts w:hint="eastAsia" w:ascii="仿宋" w:hAnsi="仿宋" w:eastAsia="仿宋"/>
          <w:color w:val="000000"/>
          <w:sz w:val="32"/>
          <w:szCs w:val="32"/>
        </w:rPr>
        <w:t>2023年，县委组织部认真履行好部门职责，全面保障了机关正常运行，圆满完成了县委、县政府和市委组织部下达的各项业务目标任务，多项工作得到了省委、市委组织部的肯定，党员群众满意，干部满意。</w:t>
      </w:r>
    </w:p>
    <w:p>
      <w:pPr>
        <w:widowControl/>
        <w:adjustRightInd w:val="0"/>
        <w:snapToGrid w:val="0"/>
        <w:spacing w:line="600" w:lineRule="exact"/>
        <w:ind w:firstLine="720"/>
        <w:jc w:val="left"/>
        <w:rPr>
          <w:rFonts w:ascii="仿宋" w:hAnsi="仿宋" w:eastAsia="仿宋"/>
          <w:color w:val="000000"/>
          <w:sz w:val="15"/>
          <w:szCs w:val="15"/>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pStyle w:val="31"/>
        <w:spacing w:line="580" w:lineRule="exact"/>
        <w:ind w:firstLine="1980" w:firstLineChars="450"/>
        <w:rPr>
          <w:rFonts w:ascii="仿宋_GB2312" w:hAnsi="宋体" w:eastAsia="仿宋_GB2312"/>
          <w:color w:val="auto"/>
          <w:sz w:val="32"/>
          <w:szCs w:val="32"/>
        </w:rPr>
      </w:pPr>
      <w:r>
        <w:rPr>
          <w:rFonts w:hint="eastAsia" w:ascii="方正小标宋简体" w:hAnsi="宋体" w:eastAsia="方正小标宋简体"/>
          <w:sz w:val="44"/>
          <w:szCs w:val="44"/>
        </w:rPr>
        <w:t>组织部项目支出绩效自评报告</w:t>
      </w:r>
    </w:p>
    <w:p>
      <w:pPr>
        <w:pStyle w:val="31"/>
        <w:spacing w:line="580" w:lineRule="exact"/>
        <w:ind w:firstLine="640"/>
        <w:jc w:val="center"/>
        <w:rPr>
          <w:rFonts w:ascii="宋体" w:hAnsi="宋体"/>
          <w:color w:val="auto"/>
          <w:sz w:val="32"/>
          <w:szCs w:val="32"/>
        </w:rPr>
      </w:pP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rPr>
        <w:t>一、</w:t>
      </w:r>
      <w:r>
        <w:rPr>
          <w:rFonts w:hint="eastAsia" w:ascii="仿宋_GB2312" w:hAnsi="宋体" w:eastAsia="仿宋_GB2312"/>
          <w:b/>
          <w:sz w:val="32"/>
          <w:szCs w:val="32"/>
          <w:lang w:val="zh-CN"/>
        </w:rPr>
        <w:t>项目概况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离退休党支部书记、委员工作补贴主要用于离退休支部书记和委员工作补贴；县级退休干部医疗补助主要用于县级退休干部医疗补助；老干部关爱慰问经费主要用于春节、中秋、国庆慰问老干部和县级领导联系老干部费；政务运转经费主要用于弥补办公经费不足；党员教育培训经费主要用于全县党员、干部培训；人才开发及关爱慰问经费主要用于人才引进、干部培训和慰问等；《中共执政纪要》《沐川年鉴》出版费主要用于编写县委执政纪要、沐川年鉴和出版费；县级领导干部体检费主要用于县级领导干部体检；到村任职选调生补助主要用于选调生到村任职开展工作；干部人才交流项目主要用于东西部协作干部培训。重点说明以下内容：</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b/>
          <w:sz w:val="32"/>
          <w:szCs w:val="32"/>
          <w:lang w:val="zh-CN"/>
        </w:rPr>
        <w:t>（一）项目资金申报及批复情况。</w:t>
      </w:r>
      <w:r>
        <w:rPr>
          <w:rFonts w:hint="eastAsia" w:ascii="仿宋_GB2312" w:hAnsi="宋体" w:eastAsia="仿宋_GB2312"/>
          <w:sz w:val="32"/>
          <w:szCs w:val="32"/>
          <w:lang w:val="zh-CN"/>
        </w:rPr>
        <w:t>对项目资金实施预算指标，实施项目时按实申报，符合资金管理办法等相关规定。</w:t>
      </w:r>
    </w:p>
    <w:p>
      <w:pPr>
        <w:spacing w:line="600" w:lineRule="exact"/>
        <w:ind w:firstLine="643" w:firstLineChars="200"/>
        <w:rPr>
          <w:rFonts w:ascii="仿宋_GB2312" w:hAnsi="宋体" w:eastAsia="仿宋_GB2312"/>
          <w:b/>
          <w:sz w:val="32"/>
          <w:szCs w:val="32"/>
          <w:lang w:val="zh-CN"/>
        </w:rPr>
      </w:pPr>
      <w:r>
        <w:rPr>
          <w:rFonts w:hint="eastAsia" w:ascii="仿宋_GB2312" w:hAnsi="宋体" w:eastAsia="仿宋_GB2312"/>
          <w:b/>
          <w:sz w:val="32"/>
          <w:szCs w:val="32"/>
          <w:lang w:val="zh-CN"/>
        </w:rPr>
        <w:t>（二）项目绩效目标。</w:t>
      </w:r>
      <w:r>
        <w:rPr>
          <w:rFonts w:hint="eastAsia" w:ascii="仿宋_GB2312" w:hAnsi="仿宋_GB2312" w:eastAsia="仿宋_GB2312" w:cs="仿宋_GB2312"/>
          <w:bCs/>
          <w:sz w:val="32"/>
          <w:szCs w:val="32"/>
        </w:rPr>
        <w:t>强化东西协作育才，持续实施“沐暨飞燕”东西协作干部人才交流工程，选派2名干部到诸暨市挂职，10余名年轻干部到诸暨开展“领题式”跟岗学习，11名专技人才赴浙江开展顶岗锻炼，诸暨市分批选派12名干部人才到医疗、教育等领域开展“订单”援助。</w:t>
      </w:r>
      <w:r>
        <w:rPr>
          <w:rFonts w:ascii="仿宋_GB2312" w:hAnsi="仿宋_GB2312" w:eastAsia="仿宋_GB2312" w:cs="仿宋_GB2312"/>
          <w:bCs/>
          <w:sz w:val="32"/>
          <w:szCs w:val="32"/>
        </w:rPr>
        <w:t>培育强村公司</w:t>
      </w:r>
      <w:r>
        <w:rPr>
          <w:rFonts w:hint="eastAsia" w:ascii="仿宋_GB2312" w:hAnsi="仿宋_GB2312" w:eastAsia="仿宋_GB2312" w:cs="仿宋_GB2312"/>
          <w:bCs/>
          <w:sz w:val="32"/>
          <w:szCs w:val="32"/>
        </w:rPr>
        <w:t>赋能</w:t>
      </w:r>
      <w:r>
        <w:rPr>
          <w:rFonts w:ascii="仿宋_GB2312" w:hAnsi="仿宋_GB2312" w:eastAsia="仿宋_GB2312" w:cs="仿宋_GB2312"/>
          <w:bCs/>
          <w:sz w:val="32"/>
          <w:szCs w:val="32"/>
        </w:rPr>
        <w:t>。借力东西部协作平台，率先在全市试点实施“强村公司”，建成运行“越嘉有味”两地仓，采取村集体经济自办、村企联办、跨村联办等方式，先后组建并实体化运作强村公司10家，目前已签销售订单累计1900余万元。</w:t>
      </w:r>
      <w:r>
        <w:rPr>
          <w:rFonts w:hint="eastAsia" w:ascii="Times New Roman" w:hAnsi="Times New Roman" w:eastAsia="仿宋_GB2312"/>
          <w:sz w:val="32"/>
          <w:szCs w:val="32"/>
        </w:rPr>
        <w:t>举办乡科级干部进修班、中青年干部培训班、到村任职选调生培训班、2023年重大决策部署暨东西部协作乡村振兴专题培训班等特色培训班8期，培训干部人才1010人次。</w:t>
      </w:r>
      <w:r>
        <w:rPr>
          <w:rFonts w:ascii="仿宋_GB2312" w:hAnsi="仿宋_GB2312" w:eastAsia="仿宋_GB2312" w:cs="仿宋_GB2312"/>
          <w:bCs/>
          <w:sz w:val="32"/>
          <w:szCs w:val="32"/>
        </w:rPr>
        <w:t>突出“重大产业项目提升年”经济工作总基调，深入实施“四个倍增”计划，加快推进诸沐共建特色产业园区等80个重点项目建设，完成投资47.43亿元。立足体现沐川特色的“324”产业体系，引进华义茶业投资5000万元新建红茶加工厂，新增3500吨魔芋产品生产线1条，创建省级四星级现代竹产业园区1个，成功举办首届中国沐川紫茶节、民建企业家走进沐川、中国魔芋产业发展大会等重大活动。</w:t>
      </w:r>
      <w:r>
        <w:rPr>
          <w:rFonts w:hint="eastAsia" w:ascii="仿宋_GB2312" w:hAnsi="仿宋_GB2312" w:eastAsia="仿宋_GB2312" w:cs="仿宋_GB2312"/>
          <w:color w:val="000000"/>
          <w:sz w:val="32"/>
          <w:szCs w:val="32"/>
        </w:rPr>
        <w:t>落实县级领导联系老干部制度，坚持重大节日、生病住院、特殊困难时期慰问离休干部。全面完成老干部健康休养工作和离休干部、县处级退休干部“一人一策”档案更新。</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b/>
          <w:sz w:val="32"/>
          <w:szCs w:val="32"/>
          <w:lang w:val="zh-CN"/>
        </w:rPr>
        <w:t>（三）项目资金申报相符性。</w:t>
      </w:r>
      <w:r>
        <w:rPr>
          <w:rFonts w:hint="eastAsia" w:ascii="仿宋_GB2312" w:hAnsi="宋体" w:eastAsia="仿宋_GB2312"/>
          <w:sz w:val="32"/>
          <w:szCs w:val="32"/>
          <w:lang w:val="zh-CN"/>
        </w:rPr>
        <w:t>项目申报内容与具体实施内容相符、申报目标合理可行。</w:t>
      </w:r>
    </w:p>
    <w:p>
      <w:pPr>
        <w:adjustRightInd w:val="0"/>
        <w:snapToGrid w:val="0"/>
        <w:spacing w:line="580" w:lineRule="exact"/>
        <w:ind w:firstLine="720"/>
        <w:rPr>
          <w:rFonts w:ascii="仿宋_GB2312" w:hAnsi="宋体" w:eastAsia="仿宋_GB2312"/>
          <w:b/>
          <w:sz w:val="32"/>
          <w:szCs w:val="32"/>
        </w:rPr>
      </w:pPr>
      <w:r>
        <w:rPr>
          <w:rFonts w:hint="eastAsia" w:ascii="仿宋_GB2312" w:hAnsi="宋体" w:eastAsia="仿宋_GB2312"/>
          <w:b/>
          <w:sz w:val="32"/>
          <w:szCs w:val="32"/>
        </w:rPr>
        <w:t>二、项目实施及管理情况</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sz w:val="32"/>
          <w:szCs w:val="32"/>
          <w:lang w:val="zh-CN"/>
        </w:rPr>
        <w:tab/>
      </w:r>
      <w:r>
        <w:rPr>
          <w:rFonts w:hint="eastAsia" w:ascii="仿宋_GB2312" w:hAnsi="宋体" w:eastAsia="仿宋_GB2312"/>
          <w:b/>
          <w:sz w:val="32"/>
          <w:szCs w:val="32"/>
          <w:lang w:val="zh-CN"/>
        </w:rPr>
        <w:t>（一）资金计划、到位及使用情况。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1．资金计划及到位。</w:t>
      </w:r>
      <w:r>
        <w:rPr>
          <w:rFonts w:hint="eastAsia" w:ascii="仿宋_GB2312" w:hAnsi="仿宋" w:eastAsia="仿宋_GB2312"/>
          <w:sz w:val="32"/>
          <w:szCs w:val="32"/>
          <w:lang w:val="zh-CN"/>
        </w:rPr>
        <w:t>截止2023年底，</w:t>
      </w:r>
      <w:r>
        <w:rPr>
          <w:rFonts w:hint="eastAsia" w:ascii="仿宋_GB2312" w:hAnsi="宋体" w:eastAsia="仿宋_GB2312"/>
          <w:sz w:val="32"/>
          <w:szCs w:val="32"/>
          <w:lang w:val="zh-CN"/>
        </w:rPr>
        <w:t>该项目各类资金及时到位。</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资金使用。《中共沐川县委执政纪要》《沐川年鉴》出版费预算12万元，实际支付11.87万元，主要用于编辑和出版费；离退休党支部书记、委员工作补贴预算19.92万元，实际支付19.8万元，主要用于离退休支部书记、委员补助；县级退休干部医疗补助预算30万元，实际支付28.05万元，主要用于县级退休干部医疗补助；老干部关爱慰问经费预算21.53万元，实际支付10.4万元，主要用于春节中秋国庆慰问老干部、老干部遗孀和县级领导联系老干部慰问费等；县级领导干部体检费预算12.25万元，实际支出8.51万元，主要用于县级领导干部体检费；党员教育培训经费预算10万元，实际支出1.28万元，主要用于全县党员干部培训；干部人才交流项目预算200万元，实际支出49.9万元，主要用于干部培训。上级下达2023年东西部协作项目资金用于党建引领绍乐同行“百万强村”乡村振兴示范试点建设项目预算200万元，实际支付126.21万元。上级下达2023年东西部协作项目资金用于干部人才交流预算100万元，实际支付100万元。所有项目资金按实际支出，项目实施按进度支付，支付依据合规合法，资金支付与预算相符。</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（二）项目财务管理情况。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该项目严格执行财务管理制度、财务处理及时、会计核算规范。</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（三）项目组织实施情况。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该项目由县委组织部实施，严格执行财务管理制度和监管责任。</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rPr>
        <w:t>三、项目绩效情况</w:t>
      </w:r>
      <w:r>
        <w:rPr>
          <w:rFonts w:hint="eastAsia" w:ascii="仿宋_GB2312" w:hAnsi="宋体" w:eastAsia="仿宋_GB2312"/>
          <w:b/>
          <w:sz w:val="32"/>
          <w:szCs w:val="32"/>
          <w:lang w:val="zh-CN"/>
        </w:rPr>
        <w:tab/>
      </w:r>
    </w:p>
    <w:p>
      <w:pPr>
        <w:adjustRightInd w:val="0"/>
        <w:snapToGrid w:val="0"/>
        <w:spacing w:line="580" w:lineRule="exact"/>
        <w:ind w:firstLine="720"/>
        <w:rPr>
          <w:rFonts w:ascii="仿宋_GB2312" w:hAnsi="仿宋_GB2312" w:eastAsia="仿宋_GB2312" w:cs="仿宋_GB2312"/>
          <w:bCs/>
          <w:sz w:val="32"/>
          <w:szCs w:val="32"/>
        </w:rPr>
      </w:pPr>
      <w:r>
        <w:rPr>
          <w:rFonts w:hint="eastAsia" w:ascii="仿宋_GB2312" w:hAnsi="宋体" w:eastAsia="仿宋_GB2312"/>
          <w:b/>
          <w:sz w:val="32"/>
          <w:szCs w:val="32"/>
          <w:lang w:val="zh-CN"/>
        </w:rPr>
        <w:t>（一）项目完成情况。</w:t>
      </w:r>
      <w:r>
        <w:rPr>
          <w:rFonts w:hint="eastAsia" w:ascii="仿宋_GB2312" w:hAnsi="宋体" w:eastAsia="仿宋_GB2312"/>
          <w:sz w:val="32"/>
          <w:szCs w:val="32"/>
          <w:lang w:val="zh-CN"/>
        </w:rPr>
        <w:t>完成《中共沐川县委执政纪要》《沐川年鉴》出版；</w:t>
      </w:r>
      <w:r>
        <w:rPr>
          <w:rFonts w:hint="eastAsia" w:ascii="仿宋_GB2312" w:eastAsia="仿宋_GB2312"/>
          <w:sz w:val="32"/>
          <w:szCs w:val="32"/>
        </w:rPr>
        <w:t>按时组织老干部定期体检、医药费报销；春节中秋国庆慰问走访老干部及老干部遗孀256人次；</w:t>
      </w:r>
      <w:r>
        <w:rPr>
          <w:rFonts w:hint="eastAsia" w:ascii="仿宋_GB2312" w:hAnsi="仿宋_GB2312" w:eastAsia="仿宋_GB2312" w:cs="仿宋_GB2312"/>
          <w:bCs/>
          <w:sz w:val="32"/>
          <w:szCs w:val="32"/>
        </w:rPr>
        <w:t>刚性引进公务员（含参公）50余名，事业人员130名，本科及其以上学历达100%；</w:t>
      </w:r>
      <w:r>
        <w:rPr>
          <w:rFonts w:hint="eastAsia" w:ascii="仿宋_GB2312" w:eastAsia="仿宋_GB2312"/>
          <w:sz w:val="32"/>
          <w:szCs w:val="32"/>
        </w:rPr>
        <w:t>及时完成离退休支部考核，按时兑现工作补贴；</w:t>
      </w:r>
      <w:r>
        <w:rPr>
          <w:rFonts w:hint="eastAsia" w:ascii="仿宋_GB2312" w:hAnsi="仿宋_GB2312" w:eastAsia="仿宋_GB2312" w:cs="仿宋_GB2312"/>
          <w:bCs/>
          <w:sz w:val="32"/>
          <w:szCs w:val="32"/>
        </w:rPr>
        <w:t>选派2名干部到诸暨市挂职，10余名年轻干部到诸暨开展“领题式”跟岗学习，11名专技人才赴浙江开展顶岗锻炼，诸暨市分批选派12名干部人才到医疗、教育等领域开展“订单”援助。</w:t>
      </w:r>
      <w:r>
        <w:rPr>
          <w:rFonts w:hint="eastAsia" w:ascii="Times New Roman" w:hAnsi="Times New Roman" w:eastAsia="仿宋_GB2312"/>
          <w:sz w:val="32"/>
          <w:szCs w:val="32"/>
        </w:rPr>
        <w:t>举办乡科级干部进修班、中青年干部培训班、到村任职选调生培训班、2023年重大决策部署暨东西部协作乡村振兴专题培训班等特色培训班8期，培训干部人才1010人次。</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（二）项目效益情况。</w:t>
      </w:r>
      <w:r>
        <w:rPr>
          <w:rFonts w:hint="eastAsia" w:ascii="仿宋_GB2312" w:hAnsi="仿宋_GB2312" w:eastAsia="仿宋_GB2312" w:cs="仿宋_GB2312"/>
          <w:sz w:val="32"/>
          <w:szCs w:val="32"/>
        </w:rPr>
        <w:t>通过项目实施，干部人才理论综合素质得到提高，老干部更加满意，乡镇领导班子整体功能全面优化提升；各项工作圆满完成目标任务，</w:t>
      </w:r>
      <w:r>
        <w:rPr>
          <w:rFonts w:hint="eastAsia" w:ascii="仿宋_GB2312" w:hAnsi="宋体" w:eastAsia="仿宋_GB2312"/>
          <w:sz w:val="32"/>
          <w:szCs w:val="32"/>
          <w:lang w:val="zh-CN"/>
        </w:rPr>
        <w:t>党员群众满意，社会满意。</w:t>
      </w:r>
    </w:p>
    <w:p>
      <w:pPr>
        <w:adjustRightInd w:val="0"/>
        <w:snapToGrid w:val="0"/>
        <w:spacing w:line="580" w:lineRule="exact"/>
        <w:ind w:firstLine="720"/>
        <w:rPr>
          <w:rFonts w:ascii="仿宋_GB2312" w:hAnsi="宋体" w:eastAsia="仿宋_GB2312"/>
          <w:b/>
          <w:sz w:val="32"/>
          <w:szCs w:val="32"/>
        </w:rPr>
      </w:pPr>
      <w:r>
        <w:rPr>
          <w:rFonts w:hint="eastAsia" w:ascii="仿宋_GB2312" w:hAnsi="宋体" w:eastAsia="仿宋_GB2312"/>
          <w:b/>
          <w:sz w:val="32"/>
          <w:szCs w:val="32"/>
        </w:rPr>
        <w:t>四、问题及建议</w:t>
      </w:r>
    </w:p>
    <w:p>
      <w:pPr>
        <w:spacing w:line="580" w:lineRule="exact"/>
        <w:ind w:firstLine="630" w:firstLineChars="196"/>
        <w:rPr>
          <w:rFonts w:ascii="仿宋_GB2312" w:hAnsi="宋体" w:eastAsia="仿宋_GB2312"/>
          <w:b/>
          <w:sz w:val="32"/>
          <w:szCs w:val="32"/>
          <w:lang w:val="zh-CN"/>
        </w:rPr>
      </w:pPr>
      <w:r>
        <w:rPr>
          <w:rFonts w:hint="eastAsia" w:ascii="仿宋_GB2312" w:hAnsi="宋体" w:eastAsia="仿宋_GB2312"/>
          <w:b/>
          <w:sz w:val="32"/>
          <w:szCs w:val="32"/>
          <w:lang w:val="zh-CN"/>
        </w:rPr>
        <w:t>无</w:t>
      </w:r>
    </w:p>
    <w:p>
      <w:pPr>
        <w:widowControl/>
        <w:adjustRightInd w:val="0"/>
        <w:snapToGrid w:val="0"/>
        <w:spacing w:line="600" w:lineRule="exact"/>
        <w:ind w:firstLine="720"/>
        <w:jc w:val="left"/>
        <w:rPr>
          <w:rFonts w:ascii="黑体" w:hAnsi="Cambria" w:eastAsia="黑体" w:cs="黑体"/>
          <w:kern w:val="44"/>
          <w:sz w:val="44"/>
          <w:szCs w:val="44"/>
        </w:rPr>
      </w:pPr>
    </w:p>
    <w:p>
      <w:pPr>
        <w:widowControl/>
        <w:adjustRightInd w:val="0"/>
        <w:snapToGrid w:val="0"/>
        <w:spacing w:line="600" w:lineRule="exact"/>
        <w:ind w:firstLine="720"/>
        <w:jc w:val="left"/>
        <w:rPr>
          <w:rFonts w:ascii="黑体" w:hAnsi="Cambria" w:eastAsia="黑体" w:cs="黑体"/>
          <w:kern w:val="44"/>
          <w:sz w:val="44"/>
          <w:szCs w:val="44"/>
        </w:rPr>
      </w:pPr>
    </w:p>
    <w:p>
      <w:pPr>
        <w:widowControl/>
        <w:adjustRightInd w:val="0"/>
        <w:snapToGrid w:val="0"/>
        <w:spacing w:line="600" w:lineRule="exact"/>
        <w:ind w:firstLine="720"/>
        <w:jc w:val="left"/>
        <w:rPr>
          <w:rFonts w:ascii="黑体" w:hAnsi="Cambria" w:eastAsia="黑体" w:cs="黑体"/>
          <w:kern w:val="44"/>
          <w:sz w:val="44"/>
          <w:szCs w:val="44"/>
        </w:rPr>
      </w:pPr>
    </w:p>
    <w:p>
      <w:pPr>
        <w:widowControl/>
        <w:adjustRightInd w:val="0"/>
        <w:snapToGrid w:val="0"/>
        <w:spacing w:line="600" w:lineRule="exact"/>
        <w:ind w:firstLine="720"/>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pPr>
    </w:p>
    <w:p>
      <w:pPr>
        <w:widowControl/>
        <w:adjustRightInd w:val="0"/>
        <w:snapToGrid w:val="0"/>
        <w:spacing w:line="600" w:lineRule="exact"/>
        <w:jc w:val="left"/>
        <w:rPr>
          <w:rFonts w:ascii="黑体" w:hAnsi="Cambria" w:eastAsia="黑体" w:cs="黑体"/>
          <w:kern w:val="44"/>
          <w:sz w:val="44"/>
          <w:szCs w:val="44"/>
        </w:rPr>
        <w:sectPr>
          <w:footerReference r:id="rId3" w:type="default"/>
          <w:footerReference r:id="rId4" w:type="even"/>
          <w:pgSz w:w="11906" w:h="16838"/>
          <w:pgMar w:top="1440" w:right="1800" w:bottom="1440" w:left="1800" w:header="851" w:footer="992" w:gutter="0"/>
          <w:cols w:space="425" w:num="1"/>
          <w:docGrid w:type="lines" w:linePitch="312" w:charSpace="0"/>
        </w:sectPr>
      </w:pPr>
    </w:p>
    <w:p>
      <w:pPr>
        <w:widowControl/>
        <w:adjustRightInd w:val="0"/>
        <w:snapToGrid w:val="0"/>
        <w:spacing w:line="600" w:lineRule="exact"/>
        <w:jc w:val="left"/>
        <w:rPr>
          <w:rFonts w:ascii="黑体" w:hAnsi="Cambria" w:eastAsia="黑体" w:cs="黑体"/>
          <w:kern w:val="44"/>
          <w:sz w:val="44"/>
          <w:szCs w:val="44"/>
        </w:rPr>
      </w:pPr>
    </w:p>
    <w:tbl>
      <w:tblPr>
        <w:tblStyle w:val="13"/>
        <w:tblW w:w="14260" w:type="dxa"/>
        <w:tblInd w:w="93" w:type="dxa"/>
        <w:tblLayout w:type="autofit"/>
        <w:tblCellMar>
          <w:top w:w="0" w:type="dxa"/>
          <w:left w:w="108" w:type="dxa"/>
          <w:bottom w:w="0" w:type="dxa"/>
          <w:right w:w="108" w:type="dxa"/>
        </w:tblCellMar>
      </w:tblPr>
      <w:tblGrid>
        <w:gridCol w:w="1300"/>
        <w:gridCol w:w="1200"/>
        <w:gridCol w:w="1200"/>
        <w:gridCol w:w="820"/>
        <w:gridCol w:w="1860"/>
        <w:gridCol w:w="2960"/>
        <w:gridCol w:w="820"/>
        <w:gridCol w:w="820"/>
        <w:gridCol w:w="820"/>
        <w:gridCol w:w="820"/>
        <w:gridCol w:w="820"/>
        <w:gridCol w:w="820"/>
      </w:tblGrid>
      <w:tr>
        <w:tblPrEx>
          <w:tblCellMar>
            <w:top w:w="0" w:type="dxa"/>
            <w:left w:w="108" w:type="dxa"/>
            <w:bottom w:w="0" w:type="dxa"/>
            <w:right w:w="108" w:type="dxa"/>
          </w:tblCellMar>
        </w:tblPrEx>
        <w:trPr>
          <w:trHeight w:val="690" w:hRule="atLeast"/>
        </w:trPr>
        <w:tc>
          <w:tcPr>
            <w:tcW w:w="14260" w:type="dxa"/>
            <w:gridSpan w:val="12"/>
            <w:tcBorders>
              <w:top w:val="nil"/>
              <w:left w:val="nil"/>
              <w:bottom w:val="single" w:color="auto" w:sz="4" w:space="0"/>
              <w:right w:val="nil"/>
            </w:tcBorders>
            <w:shd w:val="clear" w:color="auto" w:fill="auto"/>
            <w:vAlign w:val="center"/>
          </w:tcPr>
          <w:p>
            <w:pPr>
              <w:widowControl/>
              <w:jc w:val="center"/>
              <w:rPr>
                <w:rFonts w:ascii="宋体" w:hAnsi="宋体" w:eastAsia="宋体" w:cs="宋体"/>
                <w:b/>
                <w:bCs/>
                <w:kern w:val="0"/>
                <w:sz w:val="32"/>
                <w:szCs w:val="32"/>
              </w:rPr>
            </w:pPr>
            <w:r>
              <w:rPr>
                <w:rFonts w:hint="eastAsia" w:ascii="宋体" w:hAnsi="宋体" w:eastAsia="宋体" w:cs="宋体"/>
                <w:b/>
                <w:bCs/>
                <w:kern w:val="0"/>
                <w:sz w:val="32"/>
                <w:szCs w:val="32"/>
              </w:rPr>
              <w:t>组织部部门整体绩效自评体系</w:t>
            </w:r>
          </w:p>
        </w:tc>
      </w:tr>
      <w:tr>
        <w:tblPrEx>
          <w:tblCellMar>
            <w:top w:w="0" w:type="dxa"/>
            <w:left w:w="108" w:type="dxa"/>
            <w:bottom w:w="0" w:type="dxa"/>
            <w:right w:w="108" w:type="dxa"/>
          </w:tblCellMar>
        </w:tblPrEx>
        <w:trPr>
          <w:trHeight w:val="503" w:hRule="atLeast"/>
        </w:trPr>
        <w:tc>
          <w:tcPr>
            <w:tcW w:w="37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绩效指标</w:t>
            </w: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指标分值</w:t>
            </w:r>
          </w:p>
        </w:tc>
        <w:tc>
          <w:tcPr>
            <w:tcW w:w="18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指标解释</w:t>
            </w:r>
          </w:p>
        </w:tc>
        <w:tc>
          <w:tcPr>
            <w:tcW w:w="2960" w:type="dxa"/>
            <w:vMerge w:val="restart"/>
            <w:tcBorders>
              <w:top w:val="nil"/>
              <w:left w:val="nil"/>
              <w:bottom w:val="single" w:color="000000"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计分标准</w:t>
            </w:r>
          </w:p>
        </w:tc>
        <w:tc>
          <w:tcPr>
            <w:tcW w:w="16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评价方式</w:t>
            </w:r>
          </w:p>
        </w:tc>
        <w:tc>
          <w:tcPr>
            <w:tcW w:w="16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评价属性</w:t>
            </w:r>
          </w:p>
        </w:tc>
        <w:tc>
          <w:tcPr>
            <w:tcW w:w="820" w:type="dxa"/>
            <w:vMerge w:val="restart"/>
            <w:tcBorders>
              <w:top w:val="nil"/>
              <w:left w:val="single" w:color="auto" w:sz="4" w:space="0"/>
              <w:bottom w:val="single" w:color="000000" w:sz="4" w:space="0"/>
              <w:right w:val="single" w:color="auto" w:sz="4" w:space="0"/>
            </w:tcBorders>
            <w:shd w:val="clear" w:color="000000" w:fill="FDE9D9"/>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部门打分</w:t>
            </w:r>
          </w:p>
        </w:tc>
        <w:tc>
          <w:tcPr>
            <w:tcW w:w="8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tblPrEx>
          <w:tblCellMar>
            <w:top w:w="0" w:type="dxa"/>
            <w:left w:w="108" w:type="dxa"/>
            <w:bottom w:w="0" w:type="dxa"/>
            <w:right w:w="108" w:type="dxa"/>
          </w:tblCellMar>
        </w:tblPrEx>
        <w:trPr>
          <w:trHeight w:val="480" w:hRule="atLeast"/>
        </w:trPr>
        <w:tc>
          <w:tcPr>
            <w:tcW w:w="13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一级指标</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二级指标</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三级指标</w:t>
            </w: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b/>
                <w:bCs/>
                <w:kern w:val="0"/>
                <w:sz w:val="24"/>
                <w:szCs w:val="24"/>
              </w:rPr>
            </w:pPr>
          </w:p>
        </w:tc>
        <w:tc>
          <w:tcPr>
            <w:tcW w:w="18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b/>
                <w:bCs/>
                <w:kern w:val="0"/>
                <w:sz w:val="24"/>
                <w:szCs w:val="24"/>
              </w:rPr>
            </w:pPr>
          </w:p>
        </w:tc>
        <w:tc>
          <w:tcPr>
            <w:tcW w:w="2960" w:type="dxa"/>
            <w:vMerge w:val="continue"/>
            <w:tcBorders>
              <w:top w:val="nil"/>
              <w:left w:val="nil"/>
              <w:bottom w:val="single" w:color="000000" w:sz="4" w:space="0"/>
              <w:right w:val="single" w:color="auto" w:sz="4" w:space="0"/>
            </w:tcBorders>
            <w:vAlign w:val="center"/>
          </w:tcPr>
          <w:p>
            <w:pPr>
              <w:widowControl/>
              <w:jc w:val="left"/>
              <w:rPr>
                <w:rFonts w:ascii="宋体" w:hAnsi="宋体" w:eastAsia="宋体" w:cs="宋体"/>
                <w:b/>
                <w:bCs/>
                <w:kern w:val="0"/>
                <w:sz w:val="24"/>
                <w:szCs w:val="24"/>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整体评价</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样本评价</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定性评价</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定量评价</w:t>
            </w: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b/>
                <w:bCs/>
                <w:kern w:val="0"/>
                <w:sz w:val="24"/>
                <w:szCs w:val="24"/>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b/>
                <w:bCs/>
                <w:kern w:val="0"/>
                <w:sz w:val="24"/>
                <w:szCs w:val="24"/>
              </w:rPr>
            </w:pPr>
          </w:p>
        </w:tc>
      </w:tr>
      <w:tr>
        <w:tblPrEx>
          <w:tblCellMar>
            <w:top w:w="0" w:type="dxa"/>
            <w:left w:w="108" w:type="dxa"/>
            <w:bottom w:w="0" w:type="dxa"/>
            <w:right w:w="108" w:type="dxa"/>
          </w:tblCellMar>
        </w:tblPrEx>
        <w:trPr>
          <w:trHeight w:val="1418" w:hRule="atLeast"/>
        </w:trPr>
        <w:tc>
          <w:tcPr>
            <w:tcW w:w="13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部门预算项目绩效管理（70分）</w:t>
            </w:r>
          </w:p>
        </w:tc>
        <w:tc>
          <w:tcPr>
            <w:tcW w:w="12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目标管理（40分）</w:t>
            </w:r>
          </w:p>
        </w:tc>
        <w:tc>
          <w:tcPr>
            <w:tcW w:w="120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目标制定</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是否开展部门内部绩效目标审核工作。</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部门组织对本部门（含下属单位）绩效目标开展内部审核的，得10分，否则不得分。</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980"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nil"/>
              <w:left w:val="single" w:color="auto" w:sz="4" w:space="0"/>
              <w:bottom w:val="nil"/>
              <w:right w:val="single" w:color="auto" w:sz="4" w:space="0"/>
            </w:tcBorders>
            <w:vAlign w:val="center"/>
          </w:tcPr>
          <w:p>
            <w:pPr>
              <w:widowControl/>
              <w:jc w:val="left"/>
              <w:rPr>
                <w:rFonts w:ascii="仿宋_GB2312" w:hAnsi="仿宋_GB2312" w:eastAsia="仿宋_GB2312" w:cs="仿宋_GB2312"/>
                <w:kern w:val="0"/>
                <w:szCs w:val="21"/>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根据年度绩效目标实现情况，评价部门绩效目标是否科学合理、规范完整、细化量化并与预算安排相匹配。</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1.绩效目标编制科学合理的，得2分，否则酌情扣分。</w:t>
            </w:r>
            <w:r>
              <w:rPr>
                <w:rFonts w:hint="eastAsia" w:ascii="仿宋_GB2312" w:hAnsi="仿宋_GB2312" w:eastAsia="仿宋_GB2312" w:cs="仿宋_GB2312"/>
                <w:kern w:val="0"/>
                <w:szCs w:val="21"/>
              </w:rPr>
              <w:br w:type="textWrapping"/>
            </w:r>
            <w:r>
              <w:rPr>
                <w:rFonts w:hint="eastAsia" w:ascii="仿宋_GB2312" w:hAnsi="仿宋_GB2312" w:eastAsia="仿宋_GB2312" w:cs="仿宋_GB2312"/>
                <w:kern w:val="0"/>
                <w:szCs w:val="21"/>
              </w:rPr>
              <w:t>2.绩效目标编制规范完整的，得2分，否则酌情扣分。                                                       3.绩效指标编制细化量化的，得2分，否则酌情扣分。</w:t>
            </w:r>
            <w:r>
              <w:rPr>
                <w:rFonts w:hint="eastAsia" w:ascii="仿宋_GB2312" w:hAnsi="仿宋_GB2312" w:eastAsia="仿宋_GB2312" w:cs="仿宋_GB2312"/>
                <w:kern w:val="0"/>
                <w:szCs w:val="21"/>
              </w:rPr>
              <w:br w:type="textWrapping"/>
            </w:r>
            <w:r>
              <w:rPr>
                <w:rFonts w:hint="eastAsia" w:ascii="仿宋_GB2312" w:hAnsi="仿宋_GB2312" w:eastAsia="仿宋_GB2312" w:cs="仿宋_GB2312"/>
                <w:kern w:val="0"/>
                <w:szCs w:val="21"/>
              </w:rPr>
              <w:t xml:space="preserve">4.绩效指标编制与预算安排相匹配的，得2分，否则酌情扣分。 </w:t>
            </w:r>
            <w:r>
              <w:rPr>
                <w:rFonts w:hint="eastAsia" w:ascii="仿宋_GB2312" w:hAnsi="仿宋_GB2312" w:eastAsia="仿宋_GB2312" w:cs="仿宋_GB2312"/>
                <w:kern w:val="0"/>
                <w:szCs w:val="21"/>
              </w:rPr>
              <w:br w:type="textWrapping"/>
            </w:r>
            <w:r>
              <w:rPr>
                <w:rFonts w:hint="eastAsia" w:ascii="仿宋_GB2312" w:hAnsi="仿宋_GB2312" w:eastAsia="仿宋_GB2312" w:cs="仿宋_GB2312"/>
                <w:kern w:val="0"/>
                <w:szCs w:val="21"/>
              </w:rPr>
              <w:t xml:space="preserve">5.评价部门绩效目标纳入部门党组（委）会（办公会）集体决策范围的得2分，否则不得分。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418"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目标实现</w:t>
            </w:r>
          </w:p>
        </w:tc>
        <w:tc>
          <w:tcPr>
            <w:tcW w:w="82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评价部门整体支出绩效目标实现程度与预期目标的偏离度。</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以部门整体支出绩效为核心，评价部门整体支出实际完成情况与预期绩效目标偏离度，单个数量指标实际完成未达到预期指标或超过预期指标30%以上的，均不计分。该项指标得分=达到预期值的数量指标个数/全部数量指标个数*10。</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w:t>
            </w:r>
          </w:p>
        </w:tc>
        <w:tc>
          <w:tcPr>
            <w:tcW w:w="82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643"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仿宋_GB2312" w:hAnsi="仿宋_GB2312" w:eastAsia="仿宋_GB2312" w:cs="仿宋_GB2312"/>
                <w:kern w:val="0"/>
                <w:szCs w:val="21"/>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评价部门预算项目绩效目标实际实现程度与预期目标的偏离度。</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以部门预算项目绩效为核心，评价部门预算项目实际完成情况与预期绩效目标偏离度，单个数量指标实际完成未达到预期指标或超过预期指标30%以上的，均不计分。该项指标得分=达到预期值的数量指标个数/全部数量指标个数（即评价选取的项目绩效目标包含的所有数量指标）*10。</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9</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部门自评范围为部门所有纳入绩效目标管理的部门预算项目</w:t>
            </w:r>
          </w:p>
        </w:tc>
      </w:tr>
      <w:tr>
        <w:tblPrEx>
          <w:tblCellMar>
            <w:top w:w="0" w:type="dxa"/>
            <w:left w:w="108" w:type="dxa"/>
            <w:bottom w:w="0" w:type="dxa"/>
            <w:right w:w="108" w:type="dxa"/>
          </w:tblCellMar>
        </w:tblPrEx>
        <w:trPr>
          <w:trHeight w:val="1658"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 xml:space="preserve">                                                                             动态调整（20分）</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支出控制</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部门公用经费及非定额公用支出控制情况。</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计算部门日常公用经费、项目支出中“办公费、印刷费、水费、电费、物业管理费”等科目年初预算数与决算数偏差程度。                                                            预决算偏差程度在10%以内的，得10分。偏差度在10%-20%之间的，得5分，偏差度超过20%的，不得分。</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9</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380"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及时处置</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评价部门开展绩效运行监控后，将绩效监控结果应用到预算调整的情况。</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xml:space="preserve">绩效运行监控未发现问题或对发现问题提出预算收回、调整处置意见并加以落实的得5分。如存在未及时处置落实的，按未进行问题整改的项目数量/监控发现问题的项目总数×5分扣分，直至扣完。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800"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执行进度</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评价部门在9月、11月的预算执行情况。</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xml:space="preserve">部门预算执行进度在9月、11月应达到序时进度的70%、90%，即实际支出进度分别达到67.5%、82.5%。                                                     9、11月部门预算执行进度达到量化指标的分别得3分、5分，未达到目标进度的的按其实际进度占目标进度的比重计算得分。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163"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完成结果（10分）</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资金结余率（低效无效率）</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xml:space="preserve">评价部门预算项目年终资金结余情况。                 </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部门预算项目资金结余率小于0.1的项目数/部门预算项目总数*5。</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960"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违规记录</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根据审计监督、财会监督和部门自查结果反映部门上一年度部门预算管理是否存在相关问题。</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依据评价年度审计监督、财会监督和部门自查结果，出现未落实党政机关过紧日子相关要求，以及部门预算管理方面违纪违规等问题的，每个问题扣0.5分，直至扣完。</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82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w:t>
            </w:r>
          </w:p>
        </w:tc>
      </w:tr>
      <w:tr>
        <w:tblPrEx>
          <w:tblCellMar>
            <w:top w:w="0" w:type="dxa"/>
            <w:left w:w="108" w:type="dxa"/>
            <w:bottom w:w="0" w:type="dxa"/>
            <w:right w:w="108" w:type="dxa"/>
          </w:tblCellMar>
        </w:tblPrEx>
        <w:trPr>
          <w:trHeight w:val="1223" w:hRule="atLeast"/>
        </w:trPr>
        <w:tc>
          <w:tcPr>
            <w:tcW w:w="13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绩效结果应用（30分）</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内部应用（10分）</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预算挂钩</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部门内部绩效结果与预算挂钩情况</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xml:space="preserve">将内设机构和下属单位绩效自评情况纳入内部考核体系，得5分；建立对内设机构和下属单位预算与绩效挂钩机制的，得5分；否则酌情扣分。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080"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信息公开（10分)</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自评公开</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评价部门是否按要求将部门整体绩效自评情况和自行组织的评价情况向社会公开。</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按要求将相关绩效信息随同决算公开的，得10分，否则不得分。</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000000" w:fill="FDE9D9"/>
            <w:vAlign w:val="center"/>
          </w:tcPr>
          <w:p>
            <w:pPr>
              <w:widowControl/>
              <w:ind w:right="210"/>
              <w:jc w:val="right"/>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418"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整改反馈（10分）</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问题整改</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评价部门根据绩效管理结果整改问题、完善政策、改进管理的情况。</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针对绩效管理过程中（包括绩效目标核查、绩效监控核查和重点绩效评价）提出的问题进行整改，得5分，否则酌情扣分。</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298" w:hRule="atLeast"/>
        </w:trPr>
        <w:tc>
          <w:tcPr>
            <w:tcW w:w="130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仿宋_GB2312"/>
                <w:kern w:val="0"/>
                <w:szCs w:val="21"/>
              </w:rPr>
            </w:pP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应用反馈</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评价部门按要求及时向财政部门反馈结果应用情况。</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部门在规定时间内向财政部门反馈应用绩效结果报告的，得5分，否则不得分。</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1260" w:hRule="atLeast"/>
        </w:trPr>
        <w:tc>
          <w:tcPr>
            <w:tcW w:w="370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扣分项（10分）</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18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被评价单位配合评价工作情况。</w:t>
            </w:r>
          </w:p>
        </w:tc>
        <w:tc>
          <w:tcPr>
            <w:tcW w:w="29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财政重点绩效评价工作开展过程中，评价组发现被评价对象拖延推诿、提交资料不及时等拒不配合评价工作的，经报财政局复核确认后按0.5分/次予以扣分，最高扣10分（此为财政重点绩效评价计分标准，部门参照该标准对部门及下属单位计分）。</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tblPrEx>
          <w:tblCellMar>
            <w:top w:w="0" w:type="dxa"/>
            <w:left w:w="108" w:type="dxa"/>
            <w:bottom w:w="0" w:type="dxa"/>
            <w:right w:w="108" w:type="dxa"/>
          </w:tblCellMar>
        </w:tblPrEx>
        <w:trPr>
          <w:trHeight w:val="769" w:hRule="atLeast"/>
        </w:trPr>
        <w:tc>
          <w:tcPr>
            <w:tcW w:w="12620"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部 门 整 体 自 评 得 分</w:t>
            </w:r>
          </w:p>
        </w:tc>
        <w:tc>
          <w:tcPr>
            <w:tcW w:w="820" w:type="dxa"/>
            <w:tcBorders>
              <w:top w:val="nil"/>
              <w:left w:val="nil"/>
              <w:bottom w:val="single" w:color="auto" w:sz="4" w:space="0"/>
              <w:right w:val="single" w:color="auto" w:sz="4" w:space="0"/>
            </w:tcBorders>
            <w:shd w:val="clear" w:color="000000" w:fill="FDE9D9"/>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98</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bl>
    <w:p>
      <w:pPr>
        <w:spacing w:line="600" w:lineRule="exact"/>
        <w:jc w:val="center"/>
        <w:rPr>
          <w:rFonts w:ascii="黑体" w:hAnsi="Cambria" w:eastAsia="黑体" w:cs="黑体"/>
          <w:sz w:val="44"/>
          <w:szCs w:val="44"/>
        </w:rPr>
      </w:pPr>
    </w:p>
    <w:p>
      <w:pPr>
        <w:spacing w:line="600" w:lineRule="exact"/>
        <w:jc w:val="center"/>
        <w:rPr>
          <w:rFonts w:ascii="黑体" w:hAnsi="Cambria" w:eastAsia="黑体" w:cs="黑体"/>
          <w:sz w:val="44"/>
          <w:szCs w:val="44"/>
        </w:rPr>
      </w:pPr>
    </w:p>
    <w:p>
      <w:pPr>
        <w:spacing w:line="600" w:lineRule="exact"/>
        <w:jc w:val="center"/>
        <w:rPr>
          <w:rFonts w:ascii="黑体" w:hAnsi="Cambria" w:eastAsia="黑体" w:cs="黑体"/>
          <w:sz w:val="44"/>
          <w:szCs w:val="44"/>
        </w:rPr>
      </w:pPr>
    </w:p>
    <w:p>
      <w:pPr>
        <w:spacing w:line="600" w:lineRule="exact"/>
        <w:jc w:val="center"/>
        <w:rPr>
          <w:rFonts w:ascii="黑体" w:hAnsi="Cambria" w:eastAsia="黑体" w:cs="黑体"/>
          <w:sz w:val="44"/>
          <w:szCs w:val="44"/>
        </w:rPr>
      </w:pPr>
    </w:p>
    <w:p>
      <w:pPr>
        <w:spacing w:line="600" w:lineRule="exact"/>
        <w:jc w:val="center"/>
        <w:rPr>
          <w:rFonts w:ascii="黑体" w:hAnsi="Cambria" w:eastAsia="黑体" w:cs="黑体"/>
          <w:sz w:val="44"/>
          <w:szCs w:val="44"/>
        </w:rPr>
      </w:pPr>
    </w:p>
    <w:p>
      <w:pPr>
        <w:spacing w:line="600" w:lineRule="exact"/>
        <w:jc w:val="center"/>
        <w:rPr>
          <w:rFonts w:ascii="黑体" w:hAnsi="Cambria" w:eastAsia="黑体" w:cs="黑体"/>
          <w:sz w:val="44"/>
          <w:szCs w:val="44"/>
        </w:rPr>
      </w:pPr>
    </w:p>
    <w:p>
      <w:pPr>
        <w:spacing w:line="600" w:lineRule="exact"/>
        <w:jc w:val="center"/>
        <w:rPr>
          <w:rFonts w:ascii="黑体" w:hAnsi="Cambria" w:eastAsia="黑体" w:cs="黑体"/>
          <w:sz w:val="44"/>
          <w:szCs w:val="44"/>
        </w:rPr>
        <w:sectPr>
          <w:pgSz w:w="16838" w:h="11906" w:orient="landscape"/>
          <w:pgMar w:top="1800" w:right="1440" w:bottom="1800" w:left="1440" w:header="851" w:footer="992" w:gutter="0"/>
          <w:cols w:space="425" w:num="1"/>
          <w:docGrid w:type="lines" w:linePitch="312" w:charSpace="0"/>
        </w:sectPr>
      </w:pPr>
    </w:p>
    <w:p>
      <w:pPr>
        <w:spacing w:line="600" w:lineRule="exact"/>
        <w:rPr>
          <w:rFonts w:ascii="黑体" w:hAnsi="Cambria" w:eastAsia="黑体" w:cs="黑体"/>
          <w:sz w:val="44"/>
          <w:szCs w:val="44"/>
        </w:rPr>
      </w:pPr>
    </w:p>
    <w:p>
      <w:pPr>
        <w:spacing w:line="600" w:lineRule="exact"/>
        <w:jc w:val="center"/>
        <w:rPr>
          <w:rFonts w:ascii="黑体" w:hAnsi="Cambria" w:eastAsia="黑体" w:cs="黑体"/>
          <w:sz w:val="44"/>
          <w:szCs w:val="44"/>
        </w:rPr>
      </w:pPr>
    </w:p>
    <w:p>
      <w:pPr>
        <w:spacing w:line="600" w:lineRule="exact"/>
        <w:jc w:val="center"/>
        <w:rPr>
          <w:rFonts w:ascii="黑体" w:hAnsi="Cambria" w:eastAsia="黑体" w:cs="黑体"/>
          <w:kern w:val="44"/>
          <w:sz w:val="44"/>
          <w:szCs w:val="44"/>
        </w:rPr>
      </w:pPr>
      <w:r>
        <w:rPr>
          <w:rFonts w:hint="eastAsia" w:ascii="黑体" w:hAnsi="Cambria" w:eastAsia="黑体" w:cs="黑体"/>
          <w:sz w:val="44"/>
          <w:szCs w:val="44"/>
        </w:rPr>
        <w:t>第</w:t>
      </w:r>
      <w:r>
        <w:rPr>
          <w:rFonts w:hint="eastAsia" w:ascii="黑体" w:hAnsi="Cambria" w:eastAsia="黑体" w:cs="黑体"/>
          <w:kern w:val="44"/>
          <w:sz w:val="44"/>
          <w:szCs w:val="44"/>
        </w:rPr>
        <w:t>五部分</w:t>
      </w:r>
      <w:r>
        <w:rPr>
          <w:rFonts w:ascii="黑体" w:hAnsi="Cambria" w:eastAsia="黑体" w:cs="黑体"/>
          <w:kern w:val="44"/>
          <w:sz w:val="44"/>
          <w:szCs w:val="44"/>
        </w:rPr>
        <w:t xml:space="preserve"> </w:t>
      </w:r>
      <w:r>
        <w:rPr>
          <w:rFonts w:hint="eastAsia" w:ascii="黑体" w:hAnsi="Cambria" w:eastAsia="黑体" w:cs="黑体"/>
          <w:kern w:val="44"/>
          <w:sz w:val="44"/>
          <w:szCs w:val="44"/>
        </w:rPr>
        <w:t>附表</w:t>
      </w:r>
    </w:p>
    <w:p>
      <w:pPr>
        <w:spacing w:line="600" w:lineRule="exact"/>
        <w:rPr>
          <w:rFonts w:ascii="仿宋" w:hAnsi="Cambria" w:eastAsia="仿宋" w:cs="仿宋"/>
          <w:sz w:val="32"/>
          <w:szCs w:val="32"/>
        </w:rPr>
      </w:pPr>
      <w:r>
        <w:rPr>
          <w:rFonts w:hint="eastAsia" w:ascii="仿宋" w:hAnsi="Cambria" w:eastAsia="仿宋" w:cs="仿宋"/>
          <w:sz w:val="32"/>
          <w:szCs w:val="32"/>
        </w:rPr>
        <w:t>一、收入支出决算总表</w:t>
      </w:r>
    </w:p>
    <w:p>
      <w:pPr>
        <w:spacing w:line="600" w:lineRule="exact"/>
        <w:rPr>
          <w:rFonts w:ascii="仿宋" w:hAnsi="Cambria" w:eastAsia="仿宋" w:cs="仿宋"/>
          <w:sz w:val="32"/>
          <w:szCs w:val="32"/>
        </w:rPr>
      </w:pPr>
      <w:r>
        <w:rPr>
          <w:rFonts w:hint="eastAsia" w:ascii="仿宋" w:hAnsi="Cambria" w:eastAsia="仿宋" w:cs="仿宋"/>
          <w:sz w:val="32"/>
          <w:szCs w:val="32"/>
        </w:rPr>
        <w:t>二、收入决算表</w:t>
      </w:r>
    </w:p>
    <w:p>
      <w:pPr>
        <w:spacing w:line="600" w:lineRule="exact"/>
        <w:rPr>
          <w:rFonts w:ascii="仿宋" w:hAnsi="Cambria" w:eastAsia="仿宋" w:cs="仿宋"/>
          <w:sz w:val="32"/>
          <w:szCs w:val="32"/>
        </w:rPr>
      </w:pPr>
      <w:r>
        <w:rPr>
          <w:rFonts w:hint="eastAsia" w:ascii="仿宋" w:hAnsi="Cambria" w:eastAsia="仿宋" w:cs="仿宋"/>
          <w:sz w:val="32"/>
          <w:szCs w:val="32"/>
        </w:rPr>
        <w:t>三、支出决算表</w:t>
      </w:r>
    </w:p>
    <w:p>
      <w:pPr>
        <w:spacing w:line="600" w:lineRule="exact"/>
        <w:rPr>
          <w:rFonts w:ascii="仿宋" w:hAnsi="Cambria" w:eastAsia="仿宋" w:cs="仿宋"/>
          <w:sz w:val="32"/>
          <w:szCs w:val="32"/>
        </w:rPr>
      </w:pPr>
      <w:r>
        <w:rPr>
          <w:rFonts w:hint="eastAsia" w:ascii="仿宋" w:hAnsi="Cambria" w:eastAsia="仿宋" w:cs="仿宋"/>
          <w:sz w:val="32"/>
          <w:szCs w:val="32"/>
        </w:rPr>
        <w:t>四、财政拨款收入支出决算总表</w:t>
      </w:r>
    </w:p>
    <w:p>
      <w:pPr>
        <w:spacing w:line="600" w:lineRule="exact"/>
        <w:rPr>
          <w:rFonts w:ascii="仿宋" w:hAnsi="Cambria" w:eastAsia="仿宋" w:cs="仿宋"/>
          <w:sz w:val="32"/>
          <w:szCs w:val="32"/>
        </w:rPr>
      </w:pPr>
      <w:r>
        <w:rPr>
          <w:rFonts w:hint="eastAsia" w:ascii="仿宋" w:hAnsi="Cambria" w:eastAsia="仿宋" w:cs="仿宋"/>
          <w:sz w:val="32"/>
          <w:szCs w:val="32"/>
        </w:rPr>
        <w:t>五、财政拨款支出决算明细表</w:t>
      </w:r>
    </w:p>
    <w:p>
      <w:pPr>
        <w:spacing w:line="600" w:lineRule="exact"/>
        <w:rPr>
          <w:rFonts w:ascii="仿宋" w:hAnsi="Cambria" w:eastAsia="仿宋" w:cs="仿宋"/>
          <w:sz w:val="32"/>
          <w:szCs w:val="32"/>
        </w:rPr>
      </w:pPr>
      <w:r>
        <w:rPr>
          <w:rFonts w:hint="eastAsia" w:ascii="仿宋" w:hAnsi="Cambria" w:eastAsia="仿宋" w:cs="仿宋"/>
          <w:sz w:val="32"/>
          <w:szCs w:val="32"/>
        </w:rPr>
        <w:t>六、一般公共预算财政拨款支出决算表</w:t>
      </w:r>
    </w:p>
    <w:p>
      <w:pPr>
        <w:spacing w:line="600" w:lineRule="exact"/>
        <w:rPr>
          <w:rFonts w:ascii="仿宋" w:hAnsi="Cambria" w:eastAsia="仿宋" w:cs="仿宋"/>
          <w:sz w:val="32"/>
          <w:szCs w:val="32"/>
        </w:rPr>
      </w:pPr>
      <w:r>
        <w:rPr>
          <w:rFonts w:hint="eastAsia" w:ascii="仿宋" w:hAnsi="Cambria" w:eastAsia="仿宋" w:cs="仿宋"/>
          <w:sz w:val="32"/>
          <w:szCs w:val="32"/>
        </w:rPr>
        <w:t>七、一般公共预算财政拨款支出决算明细表</w:t>
      </w:r>
    </w:p>
    <w:p>
      <w:pPr>
        <w:spacing w:line="600" w:lineRule="exact"/>
        <w:rPr>
          <w:rFonts w:ascii="仿宋" w:hAnsi="Cambria" w:eastAsia="仿宋" w:cs="仿宋"/>
          <w:sz w:val="32"/>
          <w:szCs w:val="32"/>
        </w:rPr>
      </w:pPr>
      <w:r>
        <w:rPr>
          <w:rFonts w:hint="eastAsia" w:ascii="仿宋" w:hAnsi="Cambria" w:eastAsia="仿宋" w:cs="仿宋"/>
          <w:sz w:val="32"/>
          <w:szCs w:val="32"/>
        </w:rPr>
        <w:t>八、一般公共预算财政拨款基本支出决算表</w:t>
      </w:r>
    </w:p>
    <w:p>
      <w:pPr>
        <w:spacing w:line="600" w:lineRule="exact"/>
        <w:rPr>
          <w:rFonts w:ascii="仿宋" w:hAnsi="Cambria" w:eastAsia="仿宋" w:cs="仿宋"/>
          <w:sz w:val="32"/>
          <w:szCs w:val="32"/>
        </w:rPr>
      </w:pPr>
      <w:r>
        <w:rPr>
          <w:rFonts w:hint="eastAsia" w:ascii="仿宋" w:hAnsi="Cambria" w:eastAsia="仿宋" w:cs="仿宋"/>
          <w:sz w:val="32"/>
          <w:szCs w:val="32"/>
        </w:rPr>
        <w:t>九、一般公共预算财政拨款项目支出决算表</w:t>
      </w:r>
    </w:p>
    <w:p>
      <w:pPr>
        <w:spacing w:line="600" w:lineRule="exact"/>
        <w:rPr>
          <w:rFonts w:ascii="仿宋" w:hAnsi="Cambria" w:eastAsia="仿宋" w:cs="仿宋"/>
          <w:sz w:val="32"/>
          <w:szCs w:val="32"/>
        </w:rPr>
      </w:pPr>
      <w:r>
        <w:rPr>
          <w:rFonts w:hint="eastAsia" w:ascii="仿宋" w:hAnsi="Cambria" w:eastAsia="仿宋" w:cs="仿宋"/>
          <w:sz w:val="32"/>
          <w:szCs w:val="32"/>
        </w:rPr>
        <w:t>十、政府性基金预算财政拨款收入支出决算表</w:t>
      </w:r>
    </w:p>
    <w:p>
      <w:pPr>
        <w:spacing w:line="600" w:lineRule="exact"/>
        <w:rPr>
          <w:rFonts w:ascii="仿宋" w:hAnsi="Cambria" w:eastAsia="仿宋" w:cs="仿宋"/>
          <w:sz w:val="32"/>
          <w:szCs w:val="32"/>
        </w:rPr>
      </w:pPr>
      <w:r>
        <w:rPr>
          <w:rFonts w:hint="eastAsia" w:ascii="仿宋" w:hAnsi="Cambria" w:eastAsia="仿宋" w:cs="仿宋"/>
          <w:sz w:val="32"/>
          <w:szCs w:val="32"/>
        </w:rPr>
        <w:t>十一、国有资本经营预算财政拨款收入支出决算表</w:t>
      </w:r>
    </w:p>
    <w:p>
      <w:pPr>
        <w:spacing w:line="600" w:lineRule="exact"/>
        <w:rPr>
          <w:rFonts w:ascii="仿宋" w:hAnsi="Cambria" w:eastAsia="仿宋" w:cs="仿宋"/>
          <w:sz w:val="32"/>
          <w:szCs w:val="32"/>
        </w:rPr>
      </w:pPr>
      <w:r>
        <w:rPr>
          <w:rFonts w:hint="eastAsia" w:ascii="仿宋" w:hAnsi="Cambria" w:eastAsia="仿宋" w:cs="仿宋"/>
          <w:sz w:val="32"/>
          <w:szCs w:val="32"/>
        </w:rPr>
        <w:t>十二、国有资本经营预算财政拨款支出决算表</w:t>
      </w:r>
    </w:p>
    <w:p>
      <w:pPr>
        <w:spacing w:line="600" w:lineRule="exact"/>
        <w:rPr>
          <w:rFonts w:ascii="仿宋" w:hAnsi="Cambria" w:eastAsia="仿宋" w:cs="仿宋"/>
          <w:b/>
          <w:bCs/>
          <w:sz w:val="32"/>
          <w:szCs w:val="32"/>
        </w:rPr>
      </w:pPr>
      <w:r>
        <w:rPr>
          <w:rFonts w:hint="eastAsia" w:ascii="仿宋" w:hAnsi="Cambria" w:eastAsia="仿宋" w:cs="仿宋"/>
          <w:sz w:val="32"/>
          <w:szCs w:val="32"/>
        </w:rPr>
        <w:t>十三、财政拨款</w:t>
      </w:r>
      <w:r>
        <w:rPr>
          <w:rFonts w:ascii="仿宋" w:hAnsi="Cambria" w:eastAsia="仿宋" w:cs="仿宋"/>
          <w:sz w:val="32"/>
          <w:szCs w:val="32"/>
        </w:rPr>
        <w:t>“</w:t>
      </w:r>
      <w:r>
        <w:rPr>
          <w:rFonts w:hint="eastAsia" w:ascii="仿宋" w:hAnsi="Cambria" w:eastAsia="仿宋" w:cs="仿宋"/>
          <w:sz w:val="32"/>
          <w:szCs w:val="32"/>
        </w:rPr>
        <w:t>三公</w:t>
      </w:r>
      <w:r>
        <w:rPr>
          <w:rFonts w:ascii="仿宋" w:hAnsi="Cambria" w:eastAsia="仿宋" w:cs="仿宋"/>
          <w:sz w:val="32"/>
          <w:szCs w:val="32"/>
        </w:rPr>
        <w:t>”</w:t>
      </w:r>
      <w:r>
        <w:rPr>
          <w:rFonts w:hint="eastAsia" w:ascii="仿宋" w:hAnsi="Cambria" w:eastAsia="仿宋" w:cs="仿宋"/>
          <w:sz w:val="32"/>
          <w:szCs w:val="32"/>
        </w:rPr>
        <w:t>经费支出决算表</w:t>
      </w:r>
    </w:p>
    <w:p>
      <w:pPr>
        <w:ind w:firstLine="643" w:firstLineChars="200"/>
        <w:rPr>
          <w:rFonts w:ascii="楷体_GB2312" w:hAnsi="仿宋" w:eastAsia="楷体_GB2312"/>
          <w:b/>
          <w:sz w:val="32"/>
          <w:szCs w:val="32"/>
        </w:rPr>
      </w:pPr>
    </w:p>
    <w:p>
      <w:pPr>
        <w:ind w:firstLine="643" w:firstLineChars="200"/>
        <w:rPr>
          <w:rFonts w:ascii="楷体_GB2312" w:hAnsi="仿宋" w:eastAsia="楷体_GB2312"/>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6"/>
      </w:rPr>
    </w:pPr>
    <w:r>
      <w:rPr>
        <w:rStyle w:val="16"/>
      </w:rPr>
      <w:fldChar w:fldCharType="begin"/>
    </w:r>
    <w:r>
      <w:rPr>
        <w:rStyle w:val="16"/>
      </w:rPr>
      <w:instrText xml:space="preserve">PAGE  </w:instrText>
    </w:r>
    <w:r>
      <w:rPr>
        <w:rStyle w:val="16"/>
      </w:rPr>
      <w:fldChar w:fldCharType="separate"/>
    </w:r>
    <w:r>
      <w:rPr>
        <w:rStyle w:val="16"/>
      </w:rPr>
      <w:t>2</w:t>
    </w:r>
    <w:r>
      <w:rPr>
        <w:rStyle w:val="16"/>
      </w:rPr>
      <w:fldChar w:fldCharType="end"/>
    </w:r>
  </w:p>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pPr>
      <w:pStyle w:val="9"/>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EFC"/>
    <w:rsid w:val="0000125F"/>
    <w:rsid w:val="00001B26"/>
    <w:rsid w:val="00002ECA"/>
    <w:rsid w:val="00011046"/>
    <w:rsid w:val="0001148D"/>
    <w:rsid w:val="0001400A"/>
    <w:rsid w:val="00016571"/>
    <w:rsid w:val="0001728C"/>
    <w:rsid w:val="00025EC7"/>
    <w:rsid w:val="00026E1E"/>
    <w:rsid w:val="0003597B"/>
    <w:rsid w:val="0004429C"/>
    <w:rsid w:val="00046AD7"/>
    <w:rsid w:val="00051C98"/>
    <w:rsid w:val="0005234B"/>
    <w:rsid w:val="00052F8D"/>
    <w:rsid w:val="00055F4D"/>
    <w:rsid w:val="00055F72"/>
    <w:rsid w:val="00057140"/>
    <w:rsid w:val="000632C1"/>
    <w:rsid w:val="00065FBE"/>
    <w:rsid w:val="0007482E"/>
    <w:rsid w:val="00076F03"/>
    <w:rsid w:val="00076F3E"/>
    <w:rsid w:val="000810B7"/>
    <w:rsid w:val="00085657"/>
    <w:rsid w:val="000917EB"/>
    <w:rsid w:val="0009227D"/>
    <w:rsid w:val="000A2994"/>
    <w:rsid w:val="000A2B84"/>
    <w:rsid w:val="000B05B7"/>
    <w:rsid w:val="000B1F2D"/>
    <w:rsid w:val="000B53B6"/>
    <w:rsid w:val="000C0D05"/>
    <w:rsid w:val="000C0FB7"/>
    <w:rsid w:val="000D4308"/>
    <w:rsid w:val="000E5E2D"/>
    <w:rsid w:val="000F3D0A"/>
    <w:rsid w:val="000F67AD"/>
    <w:rsid w:val="00112DBA"/>
    <w:rsid w:val="00122E50"/>
    <w:rsid w:val="001263C9"/>
    <w:rsid w:val="001277C3"/>
    <w:rsid w:val="0013110D"/>
    <w:rsid w:val="001410E9"/>
    <w:rsid w:val="001436F2"/>
    <w:rsid w:val="00144613"/>
    <w:rsid w:val="001479C0"/>
    <w:rsid w:val="00157C34"/>
    <w:rsid w:val="00160F9F"/>
    <w:rsid w:val="00161369"/>
    <w:rsid w:val="00166C24"/>
    <w:rsid w:val="00184084"/>
    <w:rsid w:val="00187B0C"/>
    <w:rsid w:val="00191FC3"/>
    <w:rsid w:val="00197F3C"/>
    <w:rsid w:val="001A05DD"/>
    <w:rsid w:val="001A6AFE"/>
    <w:rsid w:val="001B2518"/>
    <w:rsid w:val="001B37D9"/>
    <w:rsid w:val="001B4078"/>
    <w:rsid w:val="001B5D8B"/>
    <w:rsid w:val="001B7838"/>
    <w:rsid w:val="001C7163"/>
    <w:rsid w:val="001D0DDC"/>
    <w:rsid w:val="001D38CB"/>
    <w:rsid w:val="001D70BE"/>
    <w:rsid w:val="001D7944"/>
    <w:rsid w:val="001E30C5"/>
    <w:rsid w:val="001E70A0"/>
    <w:rsid w:val="001E7430"/>
    <w:rsid w:val="001F0A8C"/>
    <w:rsid w:val="001F6125"/>
    <w:rsid w:val="00207A2C"/>
    <w:rsid w:val="00211052"/>
    <w:rsid w:val="002164AB"/>
    <w:rsid w:val="0022747D"/>
    <w:rsid w:val="00227D71"/>
    <w:rsid w:val="00233277"/>
    <w:rsid w:val="00250AF3"/>
    <w:rsid w:val="0025513A"/>
    <w:rsid w:val="00274C47"/>
    <w:rsid w:val="002755D0"/>
    <w:rsid w:val="002761AD"/>
    <w:rsid w:val="00282CF7"/>
    <w:rsid w:val="00286BAF"/>
    <w:rsid w:val="00291341"/>
    <w:rsid w:val="002918FB"/>
    <w:rsid w:val="00296C90"/>
    <w:rsid w:val="002A50E7"/>
    <w:rsid w:val="002B3DDB"/>
    <w:rsid w:val="002B616A"/>
    <w:rsid w:val="002D2321"/>
    <w:rsid w:val="002D49D9"/>
    <w:rsid w:val="002E22BD"/>
    <w:rsid w:val="002F1C3E"/>
    <w:rsid w:val="002F666E"/>
    <w:rsid w:val="00304C22"/>
    <w:rsid w:val="00311753"/>
    <w:rsid w:val="003118F5"/>
    <w:rsid w:val="003165B6"/>
    <w:rsid w:val="00320677"/>
    <w:rsid w:val="0032185D"/>
    <w:rsid w:val="00333A79"/>
    <w:rsid w:val="00350991"/>
    <w:rsid w:val="00355F9C"/>
    <w:rsid w:val="00357880"/>
    <w:rsid w:val="00361E60"/>
    <w:rsid w:val="00364AE2"/>
    <w:rsid w:val="0036647E"/>
    <w:rsid w:val="00367A7A"/>
    <w:rsid w:val="00373D19"/>
    <w:rsid w:val="00377CB5"/>
    <w:rsid w:val="0038017A"/>
    <w:rsid w:val="00395D37"/>
    <w:rsid w:val="00396C75"/>
    <w:rsid w:val="00397D0B"/>
    <w:rsid w:val="003A00EE"/>
    <w:rsid w:val="003B3D91"/>
    <w:rsid w:val="003C4437"/>
    <w:rsid w:val="003C5BA5"/>
    <w:rsid w:val="003D1414"/>
    <w:rsid w:val="003D72B6"/>
    <w:rsid w:val="003E4E61"/>
    <w:rsid w:val="003F19F0"/>
    <w:rsid w:val="003F20AB"/>
    <w:rsid w:val="003F2B41"/>
    <w:rsid w:val="003F6204"/>
    <w:rsid w:val="00412E52"/>
    <w:rsid w:val="004215EF"/>
    <w:rsid w:val="0042484E"/>
    <w:rsid w:val="004272F3"/>
    <w:rsid w:val="00437D58"/>
    <w:rsid w:val="00441ECB"/>
    <w:rsid w:val="004427B5"/>
    <w:rsid w:val="004448B7"/>
    <w:rsid w:val="004468A8"/>
    <w:rsid w:val="00453F6E"/>
    <w:rsid w:val="00460452"/>
    <w:rsid w:val="0046199E"/>
    <w:rsid w:val="00464321"/>
    <w:rsid w:val="004652D3"/>
    <w:rsid w:val="0047295F"/>
    <w:rsid w:val="00481649"/>
    <w:rsid w:val="00493006"/>
    <w:rsid w:val="00497AA6"/>
    <w:rsid w:val="004A28EB"/>
    <w:rsid w:val="004A66E5"/>
    <w:rsid w:val="004B1447"/>
    <w:rsid w:val="004B49C0"/>
    <w:rsid w:val="004B7850"/>
    <w:rsid w:val="004C0642"/>
    <w:rsid w:val="004C2772"/>
    <w:rsid w:val="004D141F"/>
    <w:rsid w:val="004D18D7"/>
    <w:rsid w:val="004D60DF"/>
    <w:rsid w:val="004D78C1"/>
    <w:rsid w:val="00500F51"/>
    <w:rsid w:val="00503BC7"/>
    <w:rsid w:val="00503C4D"/>
    <w:rsid w:val="00505E79"/>
    <w:rsid w:val="00512751"/>
    <w:rsid w:val="005155B2"/>
    <w:rsid w:val="0051583C"/>
    <w:rsid w:val="005172CE"/>
    <w:rsid w:val="00521DFF"/>
    <w:rsid w:val="0052767A"/>
    <w:rsid w:val="00537E96"/>
    <w:rsid w:val="00550091"/>
    <w:rsid w:val="00552C9C"/>
    <w:rsid w:val="00560ADC"/>
    <w:rsid w:val="00565054"/>
    <w:rsid w:val="00575AB4"/>
    <w:rsid w:val="0059436A"/>
    <w:rsid w:val="005A1223"/>
    <w:rsid w:val="005A7D3C"/>
    <w:rsid w:val="005B1613"/>
    <w:rsid w:val="005C19F9"/>
    <w:rsid w:val="005C3D61"/>
    <w:rsid w:val="005C551A"/>
    <w:rsid w:val="005D193F"/>
    <w:rsid w:val="005F2583"/>
    <w:rsid w:val="006051FC"/>
    <w:rsid w:val="00606519"/>
    <w:rsid w:val="006209AD"/>
    <w:rsid w:val="006247C6"/>
    <w:rsid w:val="00632741"/>
    <w:rsid w:val="00634EBA"/>
    <w:rsid w:val="006356EB"/>
    <w:rsid w:val="006513F2"/>
    <w:rsid w:val="006633C1"/>
    <w:rsid w:val="00663CA6"/>
    <w:rsid w:val="00666E28"/>
    <w:rsid w:val="00670AF8"/>
    <w:rsid w:val="00675A74"/>
    <w:rsid w:val="00676692"/>
    <w:rsid w:val="00676DC3"/>
    <w:rsid w:val="00680439"/>
    <w:rsid w:val="00683350"/>
    <w:rsid w:val="006835BA"/>
    <w:rsid w:val="00683D09"/>
    <w:rsid w:val="006877AC"/>
    <w:rsid w:val="00691907"/>
    <w:rsid w:val="0069207A"/>
    <w:rsid w:val="006972D0"/>
    <w:rsid w:val="00697CCC"/>
    <w:rsid w:val="006A2422"/>
    <w:rsid w:val="006A3A9F"/>
    <w:rsid w:val="006A69BC"/>
    <w:rsid w:val="006B0BE7"/>
    <w:rsid w:val="006B49F1"/>
    <w:rsid w:val="006B6349"/>
    <w:rsid w:val="006B6A1D"/>
    <w:rsid w:val="006C1F53"/>
    <w:rsid w:val="006C2D84"/>
    <w:rsid w:val="006D0AD1"/>
    <w:rsid w:val="006D28DE"/>
    <w:rsid w:val="006D3195"/>
    <w:rsid w:val="006D3C39"/>
    <w:rsid w:val="006E26BB"/>
    <w:rsid w:val="006E6ADE"/>
    <w:rsid w:val="006F06AD"/>
    <w:rsid w:val="007118B1"/>
    <w:rsid w:val="00712E50"/>
    <w:rsid w:val="0071540A"/>
    <w:rsid w:val="00734E0C"/>
    <w:rsid w:val="007350DA"/>
    <w:rsid w:val="0074052A"/>
    <w:rsid w:val="00740639"/>
    <w:rsid w:val="00743680"/>
    <w:rsid w:val="00745100"/>
    <w:rsid w:val="00747CF1"/>
    <w:rsid w:val="0075401F"/>
    <w:rsid w:val="00755E33"/>
    <w:rsid w:val="007632CD"/>
    <w:rsid w:val="00765BA5"/>
    <w:rsid w:val="00767C7A"/>
    <w:rsid w:val="007713DC"/>
    <w:rsid w:val="007725BA"/>
    <w:rsid w:val="00776454"/>
    <w:rsid w:val="0077646F"/>
    <w:rsid w:val="00781DA7"/>
    <w:rsid w:val="00782B94"/>
    <w:rsid w:val="00783574"/>
    <w:rsid w:val="0078522D"/>
    <w:rsid w:val="00794C98"/>
    <w:rsid w:val="00795439"/>
    <w:rsid w:val="007B27AD"/>
    <w:rsid w:val="007B37CA"/>
    <w:rsid w:val="007B3D67"/>
    <w:rsid w:val="007B5A7F"/>
    <w:rsid w:val="007B6DDF"/>
    <w:rsid w:val="007C0708"/>
    <w:rsid w:val="007C144F"/>
    <w:rsid w:val="007C62E7"/>
    <w:rsid w:val="007C69C9"/>
    <w:rsid w:val="007D0C90"/>
    <w:rsid w:val="007D52AB"/>
    <w:rsid w:val="007D5B92"/>
    <w:rsid w:val="007D6BBD"/>
    <w:rsid w:val="007F0FA2"/>
    <w:rsid w:val="007F3825"/>
    <w:rsid w:val="007F47BE"/>
    <w:rsid w:val="007F6E0F"/>
    <w:rsid w:val="007F7709"/>
    <w:rsid w:val="008052D7"/>
    <w:rsid w:val="00807213"/>
    <w:rsid w:val="00811F7C"/>
    <w:rsid w:val="00812DC9"/>
    <w:rsid w:val="00812E1E"/>
    <w:rsid w:val="00813F24"/>
    <w:rsid w:val="00815D66"/>
    <w:rsid w:val="008179B3"/>
    <w:rsid w:val="008250A6"/>
    <w:rsid w:val="00826722"/>
    <w:rsid w:val="00841026"/>
    <w:rsid w:val="008441E8"/>
    <w:rsid w:val="008535D5"/>
    <w:rsid w:val="00855CC4"/>
    <w:rsid w:val="00857FED"/>
    <w:rsid w:val="008644EC"/>
    <w:rsid w:val="00864DC9"/>
    <w:rsid w:val="00867B6E"/>
    <w:rsid w:val="00871295"/>
    <w:rsid w:val="00886941"/>
    <w:rsid w:val="0088787F"/>
    <w:rsid w:val="00893D08"/>
    <w:rsid w:val="00895235"/>
    <w:rsid w:val="008A0772"/>
    <w:rsid w:val="008B3D74"/>
    <w:rsid w:val="008B5B2F"/>
    <w:rsid w:val="008B7017"/>
    <w:rsid w:val="008B7691"/>
    <w:rsid w:val="008C3ED9"/>
    <w:rsid w:val="008D07C3"/>
    <w:rsid w:val="008D2C33"/>
    <w:rsid w:val="008D3DE6"/>
    <w:rsid w:val="008E0042"/>
    <w:rsid w:val="008E5464"/>
    <w:rsid w:val="008F1553"/>
    <w:rsid w:val="008F61DC"/>
    <w:rsid w:val="00901342"/>
    <w:rsid w:val="0091127A"/>
    <w:rsid w:val="00912360"/>
    <w:rsid w:val="00914D43"/>
    <w:rsid w:val="009242B9"/>
    <w:rsid w:val="00926B8D"/>
    <w:rsid w:val="00933103"/>
    <w:rsid w:val="00936C47"/>
    <w:rsid w:val="00940625"/>
    <w:rsid w:val="009516D4"/>
    <w:rsid w:val="00953E7C"/>
    <w:rsid w:val="00961DEA"/>
    <w:rsid w:val="00961EA8"/>
    <w:rsid w:val="009762E0"/>
    <w:rsid w:val="00977145"/>
    <w:rsid w:val="009857C4"/>
    <w:rsid w:val="0099024E"/>
    <w:rsid w:val="009952B8"/>
    <w:rsid w:val="009B4A1D"/>
    <w:rsid w:val="009C4DAD"/>
    <w:rsid w:val="009C5B9F"/>
    <w:rsid w:val="009E7EFB"/>
    <w:rsid w:val="009F1277"/>
    <w:rsid w:val="009F6E5C"/>
    <w:rsid w:val="00A02F6A"/>
    <w:rsid w:val="00A046B9"/>
    <w:rsid w:val="00A0565D"/>
    <w:rsid w:val="00A22CFF"/>
    <w:rsid w:val="00A303E9"/>
    <w:rsid w:val="00A3052C"/>
    <w:rsid w:val="00A564C4"/>
    <w:rsid w:val="00A613B0"/>
    <w:rsid w:val="00A621F1"/>
    <w:rsid w:val="00A62816"/>
    <w:rsid w:val="00A64C1C"/>
    <w:rsid w:val="00A73EC4"/>
    <w:rsid w:val="00A76CDE"/>
    <w:rsid w:val="00A84817"/>
    <w:rsid w:val="00A90B85"/>
    <w:rsid w:val="00A92562"/>
    <w:rsid w:val="00A94426"/>
    <w:rsid w:val="00AA18B8"/>
    <w:rsid w:val="00AA7114"/>
    <w:rsid w:val="00AB5901"/>
    <w:rsid w:val="00AC3C20"/>
    <w:rsid w:val="00AC76BF"/>
    <w:rsid w:val="00AD1129"/>
    <w:rsid w:val="00AE3772"/>
    <w:rsid w:val="00AE3FAC"/>
    <w:rsid w:val="00AE73B0"/>
    <w:rsid w:val="00AF181A"/>
    <w:rsid w:val="00B02391"/>
    <w:rsid w:val="00B07A00"/>
    <w:rsid w:val="00B22B0B"/>
    <w:rsid w:val="00B24734"/>
    <w:rsid w:val="00B318AA"/>
    <w:rsid w:val="00B32059"/>
    <w:rsid w:val="00B332B6"/>
    <w:rsid w:val="00B332C4"/>
    <w:rsid w:val="00B338ED"/>
    <w:rsid w:val="00B35E53"/>
    <w:rsid w:val="00B61BD7"/>
    <w:rsid w:val="00B676D6"/>
    <w:rsid w:val="00B80044"/>
    <w:rsid w:val="00B80F35"/>
    <w:rsid w:val="00B81EF8"/>
    <w:rsid w:val="00B90FEC"/>
    <w:rsid w:val="00BA2DD1"/>
    <w:rsid w:val="00BA5679"/>
    <w:rsid w:val="00BB0CA2"/>
    <w:rsid w:val="00BB489D"/>
    <w:rsid w:val="00BB6DF4"/>
    <w:rsid w:val="00BC0044"/>
    <w:rsid w:val="00BC1BA8"/>
    <w:rsid w:val="00BD3657"/>
    <w:rsid w:val="00BD58BE"/>
    <w:rsid w:val="00BE6925"/>
    <w:rsid w:val="00BF0845"/>
    <w:rsid w:val="00BF1199"/>
    <w:rsid w:val="00BF6B01"/>
    <w:rsid w:val="00C04044"/>
    <w:rsid w:val="00C05A01"/>
    <w:rsid w:val="00C07514"/>
    <w:rsid w:val="00C11933"/>
    <w:rsid w:val="00C130EA"/>
    <w:rsid w:val="00C13B65"/>
    <w:rsid w:val="00C15463"/>
    <w:rsid w:val="00C234F2"/>
    <w:rsid w:val="00C319BD"/>
    <w:rsid w:val="00C32DF3"/>
    <w:rsid w:val="00C33AD9"/>
    <w:rsid w:val="00C437BD"/>
    <w:rsid w:val="00C45039"/>
    <w:rsid w:val="00C46974"/>
    <w:rsid w:val="00C5255F"/>
    <w:rsid w:val="00C55A9E"/>
    <w:rsid w:val="00C57015"/>
    <w:rsid w:val="00C634B7"/>
    <w:rsid w:val="00C86F8C"/>
    <w:rsid w:val="00CA3045"/>
    <w:rsid w:val="00CB527B"/>
    <w:rsid w:val="00CB5E01"/>
    <w:rsid w:val="00CB705F"/>
    <w:rsid w:val="00CC2D90"/>
    <w:rsid w:val="00CD07C0"/>
    <w:rsid w:val="00CE2315"/>
    <w:rsid w:val="00CE26B6"/>
    <w:rsid w:val="00CE4294"/>
    <w:rsid w:val="00CF23DA"/>
    <w:rsid w:val="00CF29A0"/>
    <w:rsid w:val="00CF2A6D"/>
    <w:rsid w:val="00CF6A75"/>
    <w:rsid w:val="00D0132D"/>
    <w:rsid w:val="00D01EC0"/>
    <w:rsid w:val="00D05309"/>
    <w:rsid w:val="00D07AE7"/>
    <w:rsid w:val="00D10106"/>
    <w:rsid w:val="00D11361"/>
    <w:rsid w:val="00D15FDB"/>
    <w:rsid w:val="00D17EFC"/>
    <w:rsid w:val="00D2409D"/>
    <w:rsid w:val="00D26293"/>
    <w:rsid w:val="00D266F0"/>
    <w:rsid w:val="00D27608"/>
    <w:rsid w:val="00D27920"/>
    <w:rsid w:val="00D321AE"/>
    <w:rsid w:val="00D32568"/>
    <w:rsid w:val="00D32660"/>
    <w:rsid w:val="00D36CD6"/>
    <w:rsid w:val="00D37587"/>
    <w:rsid w:val="00D402C1"/>
    <w:rsid w:val="00D422DC"/>
    <w:rsid w:val="00D43320"/>
    <w:rsid w:val="00D44528"/>
    <w:rsid w:val="00D46B6C"/>
    <w:rsid w:val="00D63890"/>
    <w:rsid w:val="00D661A9"/>
    <w:rsid w:val="00D74623"/>
    <w:rsid w:val="00D80C9A"/>
    <w:rsid w:val="00D83476"/>
    <w:rsid w:val="00D96339"/>
    <w:rsid w:val="00DB64D8"/>
    <w:rsid w:val="00DC026E"/>
    <w:rsid w:val="00DD104B"/>
    <w:rsid w:val="00DE6DF5"/>
    <w:rsid w:val="00DF0641"/>
    <w:rsid w:val="00DF0927"/>
    <w:rsid w:val="00DF0B47"/>
    <w:rsid w:val="00DF1D48"/>
    <w:rsid w:val="00DF45E2"/>
    <w:rsid w:val="00E121F8"/>
    <w:rsid w:val="00E12CF0"/>
    <w:rsid w:val="00E22BD0"/>
    <w:rsid w:val="00E24056"/>
    <w:rsid w:val="00E24FF5"/>
    <w:rsid w:val="00E36777"/>
    <w:rsid w:val="00E40E0E"/>
    <w:rsid w:val="00E52B0C"/>
    <w:rsid w:val="00E560CF"/>
    <w:rsid w:val="00E56254"/>
    <w:rsid w:val="00E626DE"/>
    <w:rsid w:val="00E653B9"/>
    <w:rsid w:val="00E71E76"/>
    <w:rsid w:val="00E7734A"/>
    <w:rsid w:val="00E819F9"/>
    <w:rsid w:val="00E863E6"/>
    <w:rsid w:val="00E900B7"/>
    <w:rsid w:val="00E95D0E"/>
    <w:rsid w:val="00EA4C1C"/>
    <w:rsid w:val="00EA7909"/>
    <w:rsid w:val="00EB12A4"/>
    <w:rsid w:val="00EB429C"/>
    <w:rsid w:val="00EB4A53"/>
    <w:rsid w:val="00EC37FA"/>
    <w:rsid w:val="00EC4788"/>
    <w:rsid w:val="00EC5CD4"/>
    <w:rsid w:val="00ED10AF"/>
    <w:rsid w:val="00ED4D32"/>
    <w:rsid w:val="00ED68FA"/>
    <w:rsid w:val="00EE57A8"/>
    <w:rsid w:val="00EE6C14"/>
    <w:rsid w:val="00EF4664"/>
    <w:rsid w:val="00EF5524"/>
    <w:rsid w:val="00F00185"/>
    <w:rsid w:val="00F03B8D"/>
    <w:rsid w:val="00F05931"/>
    <w:rsid w:val="00F10E07"/>
    <w:rsid w:val="00F12517"/>
    <w:rsid w:val="00F20C22"/>
    <w:rsid w:val="00F20D40"/>
    <w:rsid w:val="00F210B4"/>
    <w:rsid w:val="00F273FB"/>
    <w:rsid w:val="00F275C3"/>
    <w:rsid w:val="00F36737"/>
    <w:rsid w:val="00F36B7D"/>
    <w:rsid w:val="00F41660"/>
    <w:rsid w:val="00F52687"/>
    <w:rsid w:val="00F54A9C"/>
    <w:rsid w:val="00F567A2"/>
    <w:rsid w:val="00F57981"/>
    <w:rsid w:val="00F618BE"/>
    <w:rsid w:val="00F64CF9"/>
    <w:rsid w:val="00F65393"/>
    <w:rsid w:val="00F700F9"/>
    <w:rsid w:val="00F751F5"/>
    <w:rsid w:val="00F75DE3"/>
    <w:rsid w:val="00F765E9"/>
    <w:rsid w:val="00F91196"/>
    <w:rsid w:val="00F940F2"/>
    <w:rsid w:val="00F95015"/>
    <w:rsid w:val="00F963CA"/>
    <w:rsid w:val="00FA05D1"/>
    <w:rsid w:val="00FA6D3F"/>
    <w:rsid w:val="00FC0C2C"/>
    <w:rsid w:val="00FD0BFD"/>
    <w:rsid w:val="00FD4722"/>
    <w:rsid w:val="00FE6B9F"/>
    <w:rsid w:val="00FF197C"/>
    <w:rsid w:val="00FF4562"/>
    <w:rsid w:val="00FF4AE0"/>
    <w:rsid w:val="36586920"/>
    <w:rsid w:val="7BD900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nhideWhenUsed="0" w:uiPriority="99" w:name="annotation text"/>
    <w:lsdException w:qFormat="1" w:unhideWhenUsed="0" w:uiPriority="99" w:name="header"/>
    <w:lsdException w:qFormat="1" w:unhideWhenUsed="0"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nhideWhenUsed="0"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25"/>
    <w:qFormat/>
    <w:locked/>
    <w:uiPriority w:val="99"/>
    <w:pPr>
      <w:autoSpaceDE w:val="0"/>
      <w:autoSpaceDN w:val="0"/>
      <w:adjustRightInd w:val="0"/>
      <w:jc w:val="left"/>
      <w:outlineLvl w:val="0"/>
    </w:pPr>
    <w:rPr>
      <w:rFonts w:ascii="方正小标宋简体" w:eastAsia="方正小标宋简体" w:hAnsiTheme="minorHAnsi" w:cstheme="minorBidi"/>
      <w:kern w:val="0"/>
      <w:sz w:val="24"/>
      <w:szCs w:val="24"/>
    </w:rPr>
  </w:style>
  <w:style w:type="paragraph" w:styleId="3">
    <w:name w:val="heading 2"/>
    <w:basedOn w:val="1"/>
    <w:next w:val="1"/>
    <w:link w:val="29"/>
    <w:semiHidden/>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99"/>
    <w:rPr>
      <w:rFonts w:ascii="等线 Light" w:hAnsi="等线 Light" w:eastAsia="黑体"/>
      <w:sz w:val="20"/>
      <w:szCs w:val="20"/>
    </w:rPr>
  </w:style>
  <w:style w:type="paragraph" w:styleId="5">
    <w:name w:val="annotation text"/>
    <w:basedOn w:val="1"/>
    <w:link w:val="18"/>
    <w:semiHidden/>
    <w:uiPriority w:val="99"/>
    <w:pPr>
      <w:jc w:val="left"/>
    </w:pPr>
  </w:style>
  <w:style w:type="paragraph" w:styleId="6">
    <w:name w:val="Plain Text"/>
    <w:basedOn w:val="1"/>
    <w:link w:val="24"/>
    <w:unhideWhenUsed/>
    <w:qFormat/>
    <w:uiPriority w:val="0"/>
    <w:rPr>
      <w:rFonts w:ascii="宋体" w:hAnsi="Courier New" w:eastAsia="仿宋_GB2312" w:cs="Courier New"/>
      <w:sz w:val="32"/>
      <w:szCs w:val="21"/>
    </w:rPr>
  </w:style>
  <w:style w:type="paragraph" w:styleId="7">
    <w:name w:val="Date"/>
    <w:basedOn w:val="1"/>
    <w:next w:val="1"/>
    <w:link w:val="26"/>
    <w:semiHidden/>
    <w:unhideWhenUsed/>
    <w:qFormat/>
    <w:uiPriority w:val="99"/>
    <w:pPr>
      <w:ind w:left="100" w:leftChars="2500"/>
    </w:pPr>
  </w:style>
  <w:style w:type="paragraph" w:styleId="8">
    <w:name w:val="Balloon Text"/>
    <w:basedOn w:val="1"/>
    <w:link w:val="20"/>
    <w:semiHidden/>
    <w:qFormat/>
    <w:uiPriority w:val="99"/>
    <w:rPr>
      <w:sz w:val="18"/>
      <w:szCs w:val="18"/>
    </w:rPr>
  </w:style>
  <w:style w:type="paragraph" w:styleId="9">
    <w:name w:val="footer"/>
    <w:basedOn w:val="1"/>
    <w:link w:val="22"/>
    <w:qFormat/>
    <w:uiPriority w:val="0"/>
    <w:pPr>
      <w:tabs>
        <w:tab w:val="center" w:pos="4153"/>
        <w:tab w:val="right" w:pos="8306"/>
      </w:tabs>
      <w:snapToGrid w:val="0"/>
      <w:jc w:val="left"/>
    </w:pPr>
    <w:rPr>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5"/>
    <w:next w:val="5"/>
    <w:link w:val="19"/>
    <w:semiHidden/>
    <w:qFormat/>
    <w:uiPriority w:val="99"/>
    <w:rPr>
      <w:b/>
      <w:bCs/>
    </w:rPr>
  </w:style>
  <w:style w:type="character" w:styleId="15">
    <w:name w:val="Strong"/>
    <w:basedOn w:val="14"/>
    <w:qFormat/>
    <w:locked/>
    <w:uiPriority w:val="0"/>
    <w:rPr>
      <w:b/>
    </w:rPr>
  </w:style>
  <w:style w:type="character" w:styleId="16">
    <w:name w:val="page number"/>
    <w:basedOn w:val="14"/>
    <w:uiPriority w:val="99"/>
    <w:rPr>
      <w:rFonts w:cs="Times New Roman"/>
    </w:rPr>
  </w:style>
  <w:style w:type="character" w:styleId="17">
    <w:name w:val="annotation reference"/>
    <w:basedOn w:val="14"/>
    <w:semiHidden/>
    <w:uiPriority w:val="99"/>
    <w:rPr>
      <w:rFonts w:cs="Times New Roman"/>
      <w:sz w:val="21"/>
      <w:szCs w:val="21"/>
    </w:rPr>
  </w:style>
  <w:style w:type="character" w:customStyle="1" w:styleId="18">
    <w:name w:val="批注文字 Char"/>
    <w:basedOn w:val="14"/>
    <w:link w:val="5"/>
    <w:semiHidden/>
    <w:qFormat/>
    <w:locked/>
    <w:uiPriority w:val="99"/>
    <w:rPr>
      <w:rFonts w:cs="Times New Roman"/>
    </w:rPr>
  </w:style>
  <w:style w:type="character" w:customStyle="1" w:styleId="19">
    <w:name w:val="批注主题 Char"/>
    <w:basedOn w:val="18"/>
    <w:link w:val="12"/>
    <w:semiHidden/>
    <w:qFormat/>
    <w:locked/>
    <w:uiPriority w:val="99"/>
    <w:rPr>
      <w:rFonts w:cs="Times New Roman"/>
      <w:b/>
      <w:bCs/>
    </w:rPr>
  </w:style>
  <w:style w:type="character" w:customStyle="1" w:styleId="20">
    <w:name w:val="批注框文本 Char"/>
    <w:basedOn w:val="14"/>
    <w:link w:val="8"/>
    <w:semiHidden/>
    <w:locked/>
    <w:uiPriority w:val="99"/>
    <w:rPr>
      <w:rFonts w:cs="Times New Roman"/>
      <w:sz w:val="18"/>
      <w:szCs w:val="18"/>
    </w:rPr>
  </w:style>
  <w:style w:type="character" w:customStyle="1" w:styleId="21">
    <w:name w:val="页眉 Char"/>
    <w:basedOn w:val="14"/>
    <w:link w:val="10"/>
    <w:semiHidden/>
    <w:qFormat/>
    <w:locked/>
    <w:uiPriority w:val="99"/>
    <w:rPr>
      <w:rFonts w:cs="Times New Roman"/>
      <w:sz w:val="18"/>
      <w:szCs w:val="18"/>
    </w:rPr>
  </w:style>
  <w:style w:type="character" w:customStyle="1" w:styleId="22">
    <w:name w:val="页脚 Char"/>
    <w:basedOn w:val="14"/>
    <w:link w:val="9"/>
    <w:semiHidden/>
    <w:locked/>
    <w:uiPriority w:val="99"/>
    <w:rPr>
      <w:rFonts w:cs="Times New Roman"/>
      <w:sz w:val="18"/>
      <w:szCs w:val="18"/>
    </w:rPr>
  </w:style>
  <w:style w:type="paragraph" w:customStyle="1" w:styleId="23">
    <w:name w:val="Char Char Char"/>
    <w:basedOn w:val="1"/>
    <w:uiPriority w:val="0"/>
    <w:rPr>
      <w:rFonts w:ascii="宋体" w:hAnsi="宋体" w:eastAsia="宋体" w:cs="Courier New"/>
      <w:sz w:val="32"/>
      <w:szCs w:val="32"/>
    </w:rPr>
  </w:style>
  <w:style w:type="character" w:customStyle="1" w:styleId="24">
    <w:name w:val="纯文本 Char"/>
    <w:basedOn w:val="14"/>
    <w:link w:val="6"/>
    <w:qFormat/>
    <w:uiPriority w:val="0"/>
    <w:rPr>
      <w:rFonts w:ascii="宋体" w:hAnsi="Courier New" w:eastAsia="仿宋_GB2312" w:cs="Courier New"/>
      <w:sz w:val="32"/>
      <w:szCs w:val="21"/>
    </w:rPr>
  </w:style>
  <w:style w:type="character" w:customStyle="1" w:styleId="25">
    <w:name w:val="标题 1 Char"/>
    <w:basedOn w:val="14"/>
    <w:link w:val="2"/>
    <w:qFormat/>
    <w:uiPriority w:val="9"/>
    <w:rPr>
      <w:rFonts w:ascii="方正小标宋简体" w:eastAsia="方正小标宋简体" w:hAnsiTheme="minorHAnsi" w:cstheme="minorBidi"/>
      <w:kern w:val="0"/>
      <w:sz w:val="24"/>
      <w:szCs w:val="24"/>
    </w:rPr>
  </w:style>
  <w:style w:type="character" w:customStyle="1" w:styleId="26">
    <w:name w:val="日期 Char"/>
    <w:basedOn w:val="14"/>
    <w:link w:val="7"/>
    <w:semiHidden/>
    <w:qFormat/>
    <w:uiPriority w:val="99"/>
  </w:style>
  <w:style w:type="paragraph" w:styleId="27">
    <w:name w:val="List Paragraph"/>
    <w:basedOn w:val="1"/>
    <w:qFormat/>
    <w:uiPriority w:val="34"/>
    <w:pPr>
      <w:ind w:firstLine="420" w:firstLineChars="200"/>
    </w:pPr>
  </w:style>
  <w:style w:type="paragraph" w:customStyle="1" w:styleId="28">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9">
    <w:name w:val="标题 2 Char"/>
    <w:basedOn w:val="14"/>
    <w:link w:val="3"/>
    <w:semiHidden/>
    <w:qFormat/>
    <w:uiPriority w:val="0"/>
    <w:rPr>
      <w:rFonts w:asciiTheme="majorHAnsi" w:hAnsiTheme="majorHAnsi" w:eastAsiaTheme="majorEastAsia" w:cstheme="majorBidi"/>
      <w:b/>
      <w:bCs/>
      <w:sz w:val="32"/>
      <w:szCs w:val="32"/>
    </w:rPr>
  </w:style>
  <w:style w:type="character" w:customStyle="1" w:styleId="30">
    <w:name w:val="四号正文 Char"/>
    <w:link w:val="31"/>
    <w:qFormat/>
    <w:locked/>
    <w:uiPriority w:val="0"/>
    <w:rPr>
      <w:rFonts w:ascii="??" w:hAnsi="??"/>
      <w:color w:val="000000"/>
      <w:sz w:val="28"/>
      <w:szCs w:val="21"/>
    </w:rPr>
  </w:style>
  <w:style w:type="paragraph" w:customStyle="1" w:styleId="31">
    <w:name w:val="四号正文"/>
    <w:basedOn w:val="1"/>
    <w:link w:val="30"/>
    <w:uiPriority w:val="0"/>
    <w:pPr>
      <w:spacing w:line="360" w:lineRule="auto"/>
    </w:pPr>
    <w:rPr>
      <w:rFonts w:ascii="??" w:hAnsi="??"/>
      <w:color w:val="00000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Sheet1!$I$18:$J$18</c:f>
              <c:strCache>
                <c:ptCount val="2"/>
                <c:pt idx="0">
                  <c:v>2022年收支</c:v>
                </c:pt>
                <c:pt idx="1">
                  <c:v>2023年收支</c:v>
                </c:pt>
              </c:strCache>
            </c:strRef>
          </c:cat>
          <c:val>
            <c:numRef>
              <c:f>Sheet1!$I$19:$J$19</c:f>
              <c:numCache>
                <c:formatCode>General</c:formatCode>
                <c:ptCount val="2"/>
                <c:pt idx="0">
                  <c:v>954.13</c:v>
                </c:pt>
                <c:pt idx="1">
                  <c:v>1130.48</c:v>
                </c:pt>
              </c:numCache>
            </c:numRef>
          </c:val>
        </c:ser>
        <c:dLbls>
          <c:showLegendKey val="0"/>
          <c:showVal val="0"/>
          <c:showCatName val="0"/>
          <c:showSerName val="0"/>
          <c:showPercent val="0"/>
          <c:showBubbleSize val="0"/>
        </c:dLbls>
        <c:gapWidth val="150"/>
        <c:axId val="243057024"/>
        <c:axId val="243058560"/>
      </c:barChart>
      <c:catAx>
        <c:axId val="24305702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058560"/>
        <c:crosses val="autoZero"/>
        <c:auto val="1"/>
        <c:lblAlgn val="ctr"/>
        <c:lblOffset val="100"/>
        <c:noMultiLvlLbl val="0"/>
      </c:catAx>
      <c:valAx>
        <c:axId val="24305856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05702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Sheet1!$E$5:$I$5</c:f>
              <c:strCache>
                <c:ptCount val="5"/>
                <c:pt idx="0">
                  <c:v>一般公共服务支出</c:v>
                </c:pt>
                <c:pt idx="1">
                  <c:v>社会保障和就业支出</c:v>
                </c:pt>
                <c:pt idx="2">
                  <c:v>农林水支出</c:v>
                </c:pt>
                <c:pt idx="3">
                  <c:v>卫生健康支出</c:v>
                </c:pt>
                <c:pt idx="4">
                  <c:v>住房保障支出</c:v>
                </c:pt>
              </c:strCache>
            </c:strRef>
          </c:cat>
          <c:val>
            <c:numRef>
              <c:f>Sheet1!$E$6:$I$6</c:f>
              <c:numCache>
                <c:formatCode>General</c:formatCode>
                <c:ptCount val="5"/>
                <c:pt idx="0">
                  <c:v>651.18</c:v>
                </c:pt>
                <c:pt idx="1">
                  <c:v>118.94</c:v>
                </c:pt>
                <c:pt idx="2">
                  <c:v>302.1</c:v>
                </c:pt>
                <c:pt idx="3">
                  <c:v>18.07</c:v>
                </c:pt>
                <c:pt idx="4">
                  <c:v>40.19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Sheet1!$E$5:$F$5</c:f>
              <c:strCache>
                <c:ptCount val="2"/>
                <c:pt idx="0">
                  <c:v>基本支出</c:v>
                </c:pt>
                <c:pt idx="1">
                  <c:v>项目支出</c:v>
                </c:pt>
              </c:strCache>
            </c:strRef>
          </c:cat>
          <c:val>
            <c:numRef>
              <c:f>Sheet1!$E$6:$F$6</c:f>
              <c:numCache>
                <c:formatCode>0.00%</c:formatCode>
                <c:ptCount val="2"/>
                <c:pt idx="0">
                  <c:v>0.536</c:v>
                </c:pt>
                <c:pt idx="1">
                  <c:v>0.464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'财政拨款收支决算总计变动情况-图4'!$P$7:$Q$7</c:f>
              <c:numCache>
                <c:formatCode>General</c:formatCode>
                <c:ptCount val="2"/>
                <c:pt idx="0">
                  <c:v>954.16</c:v>
                </c:pt>
                <c:pt idx="1">
                  <c:v>1130.48</c:v>
                </c:pt>
              </c:numCache>
            </c:numRef>
          </c:val>
        </c:ser>
        <c:dLbls>
          <c:showLegendKey val="0"/>
          <c:showVal val="0"/>
          <c:showCatName val="0"/>
          <c:showSerName val="0"/>
          <c:showPercent val="0"/>
          <c:showBubbleSize val="0"/>
        </c:dLbls>
        <c:gapWidth val="150"/>
        <c:axId val="268387456"/>
        <c:axId val="268388992"/>
      </c:barChart>
      <c:catAx>
        <c:axId val="2683874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388992"/>
        <c:crosses val="autoZero"/>
        <c:auto val="1"/>
        <c:lblAlgn val="ctr"/>
        <c:lblOffset val="100"/>
        <c:noMultiLvlLbl val="0"/>
      </c:catAx>
      <c:valAx>
        <c:axId val="2683889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38745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Sheet1!$E$7:$F$7</c:f>
              <c:strCache>
                <c:ptCount val="2"/>
                <c:pt idx="0">
                  <c:v>2022年
一般公共预算财政拔款支出</c:v>
                </c:pt>
                <c:pt idx="1">
                  <c:v>2023年
一般公共预算财政拔款支出</c:v>
                </c:pt>
              </c:strCache>
            </c:strRef>
          </c:cat>
          <c:val>
            <c:numRef>
              <c:f>Sheet1!$E$8:$F$8</c:f>
              <c:numCache>
                <c:formatCode>General</c:formatCode>
                <c:ptCount val="2"/>
                <c:pt idx="0">
                  <c:v>954.16</c:v>
                </c:pt>
                <c:pt idx="1">
                  <c:v>1130.48</c:v>
                </c:pt>
              </c:numCache>
            </c:numRef>
          </c:val>
        </c:ser>
        <c:dLbls>
          <c:showLegendKey val="0"/>
          <c:showVal val="0"/>
          <c:showCatName val="0"/>
          <c:showSerName val="0"/>
          <c:showPercent val="0"/>
          <c:showBubbleSize val="0"/>
        </c:dLbls>
        <c:gapWidth val="150"/>
        <c:axId val="294583296"/>
        <c:axId val="294458112"/>
      </c:barChart>
      <c:catAx>
        <c:axId val="2945832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94458112"/>
        <c:crosses val="autoZero"/>
        <c:auto val="1"/>
        <c:lblAlgn val="ctr"/>
        <c:lblOffset val="100"/>
        <c:noMultiLvlLbl val="0"/>
      </c:catAx>
      <c:valAx>
        <c:axId val="2944581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9458329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Sheet1!$E$7:$I$7</c:f>
              <c:strCache>
                <c:ptCount val="5"/>
                <c:pt idx="0">
                  <c:v>一般公共服务支出</c:v>
                </c:pt>
                <c:pt idx="1">
                  <c:v>社会保障和就业支出</c:v>
                </c:pt>
                <c:pt idx="2">
                  <c:v>卫生健康支出</c:v>
                </c:pt>
                <c:pt idx="3">
                  <c:v>农林水支出</c:v>
                </c:pt>
                <c:pt idx="4">
                  <c:v>住房保障支出</c:v>
                </c:pt>
              </c:strCache>
            </c:strRef>
          </c:cat>
          <c:val>
            <c:numRef>
              <c:f>Sheet1!$E$8:$I$8</c:f>
              <c:numCache>
                <c:formatCode>0.0%</c:formatCode>
                <c:ptCount val="5"/>
                <c:pt idx="0">
                  <c:v>0.576</c:v>
                </c:pt>
                <c:pt idx="1">
                  <c:v>0.105</c:v>
                </c:pt>
                <c:pt idx="2">
                  <c:v>0.016</c:v>
                </c:pt>
                <c:pt idx="3">
                  <c:v>0.267</c:v>
                </c:pt>
                <c:pt idx="4">
                  <c:v>0.036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'三公经费财政拨款支出结构-图7'!$L$8:$N$8</c:f>
              <c:strCache>
                <c:ptCount val="3"/>
                <c:pt idx="0">
                  <c:v>因公出国（境）费支出</c:v>
                </c:pt>
                <c:pt idx="1">
                  <c:v>公务用车购置及运行维护费支出</c:v>
                </c:pt>
                <c:pt idx="2">
                  <c:v>公务接待费支出</c:v>
                </c:pt>
              </c:strCache>
            </c:strRef>
          </c:cat>
          <c:val>
            <c:numRef>
              <c:f>'三公经费财政拨款支出结构-图7'!$L$9:$N$9</c:f>
              <c:numCache>
                <c:formatCode>General</c:formatCode>
                <c:ptCount val="3"/>
                <c:pt idx="0">
                  <c:v>0</c:v>
                </c:pt>
                <c:pt idx="1">
                  <c:v>0</c:v>
                </c:pt>
                <c:pt idx="2">
                  <c:v>5.99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B3273-ACC3-41B5-8A48-477801A77A5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13315</Words>
  <Characters>14260</Characters>
  <Lines>17</Lines>
  <Paragraphs>30</Paragraphs>
  <TotalTime>2</TotalTime>
  <ScaleCrop>false</ScaleCrop>
  <LinksUpToDate>false</LinksUpToDate>
  <CharactersWithSpaces>14860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2024-09-14T01:25:00Z</dcterms:created>
  <dc:creator>禹恒 宋</dc:creator>
  <cp:lastModifiedBy>WPS_1484572034</cp:lastModifiedBy>
  <cp:lastPrinted>2024-09-13T02:34:00Z</cp:lastPrinted>
  <dcterms:modified xsi:type="dcterms:W3CDTF">2024-12-19T01:34:03Z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6536AF8A4029455993C3771DC4555521</vt:lpwstr>
  </property>
</Properties>
</file>