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600" w:lineRule="exact"/>
        <w:jc w:val="center"/>
        <w:rPr>
          <w:rFonts w:hint="default" w:ascii="Times New Roman" w:hAnsi="Times New Roman" w:eastAsia="方正小标宋简体" w:cs="Times New Roman"/>
          <w:color w:val="000000"/>
          <w:sz w:val="72"/>
          <w:szCs w:val="72"/>
        </w:rPr>
      </w:pPr>
      <w:bookmarkStart w:id="0" w:name="_Toc15306267"/>
    </w:p>
    <w:p>
      <w:pPr>
        <w:pageBreakBefore w:val="0"/>
        <w:kinsoku/>
        <w:wordWrap/>
        <w:overflowPunct/>
        <w:topLinePunct w:val="0"/>
        <w:bidi w:val="0"/>
        <w:spacing w:line="600" w:lineRule="exact"/>
        <w:jc w:val="center"/>
        <w:rPr>
          <w:rFonts w:hint="default" w:ascii="Times New Roman" w:hAnsi="Times New Roman" w:eastAsia="方正小标宋简体" w:cs="Times New Roman"/>
          <w:color w:val="000000"/>
          <w:sz w:val="72"/>
          <w:szCs w:val="72"/>
        </w:rPr>
      </w:pPr>
    </w:p>
    <w:p>
      <w:pPr>
        <w:pageBreakBefore w:val="0"/>
        <w:kinsoku/>
        <w:wordWrap/>
        <w:overflowPunct/>
        <w:topLinePunct w:val="0"/>
        <w:bidi w:val="0"/>
        <w:spacing w:line="600" w:lineRule="exact"/>
        <w:jc w:val="center"/>
        <w:rPr>
          <w:rFonts w:hint="default" w:ascii="Times New Roman" w:hAnsi="Times New Roman" w:eastAsia="方正小标宋简体" w:cs="Times New Roman"/>
          <w:color w:val="000000"/>
          <w:sz w:val="72"/>
          <w:szCs w:val="72"/>
        </w:rPr>
      </w:pPr>
    </w:p>
    <w:p>
      <w:pPr>
        <w:pageBreakBefore w:val="0"/>
        <w:kinsoku/>
        <w:wordWrap/>
        <w:overflowPunct/>
        <w:topLinePunct w:val="0"/>
        <w:bidi w:val="0"/>
        <w:spacing w:line="600" w:lineRule="exact"/>
        <w:jc w:val="center"/>
        <w:rPr>
          <w:rFonts w:hint="default" w:ascii="Times New Roman" w:hAnsi="Times New Roman" w:eastAsia="方正小标宋简体" w:cs="Times New Roman"/>
          <w:color w:val="000000"/>
          <w:sz w:val="72"/>
          <w:szCs w:val="72"/>
        </w:rPr>
      </w:pPr>
    </w:p>
    <w:bookmarkEnd w:id="0"/>
    <w:p>
      <w:pPr>
        <w:pStyle w:val="2"/>
        <w:keepNext w:val="0"/>
        <w:keepLines w:val="0"/>
        <w:pageBreakBefore w:val="0"/>
        <w:widowControl w:val="0"/>
        <w:suppressAutoHyphens/>
        <w:kinsoku/>
        <w:wordWrap/>
        <w:overflowPunct/>
        <w:topLinePunct w:val="0"/>
        <w:autoSpaceDE/>
        <w:autoSpaceDN/>
        <w:bidi w:val="0"/>
        <w:adjustRightInd/>
        <w:snapToGrid/>
        <w:spacing w:before="0" w:beforeLines="-2147483648" w:after="140" w:line="1200" w:lineRule="exact"/>
        <w:jc w:val="center"/>
        <w:textAlignment w:val="auto"/>
        <w:rPr>
          <w:rFonts w:hint="default" w:ascii="Times New Roman" w:hAnsi="Times New Roman" w:eastAsia="方正小标宋简体" w:cs="Times New Roman"/>
          <w:color w:val="auto"/>
          <w:kern w:val="2"/>
          <w:sz w:val="72"/>
          <w:szCs w:val="72"/>
          <w:highlight w:val="none"/>
          <w:lang w:val="en-US" w:eastAsia="zh-CN" w:bidi="ar-SA"/>
        </w:rPr>
      </w:pPr>
      <w:bookmarkStart w:id="1" w:name="_Toc15377193"/>
      <w:bookmarkStart w:id="2" w:name="_Toc15377425"/>
      <w:bookmarkStart w:id="3" w:name="_Toc15396597"/>
      <w:bookmarkStart w:id="4" w:name="_Toc15378441"/>
      <w:bookmarkStart w:id="5" w:name="_Toc15396475"/>
      <w:r>
        <w:rPr>
          <w:rFonts w:hint="default" w:ascii="Times New Roman" w:hAnsi="Times New Roman" w:eastAsia="方正小标宋简体" w:cs="Times New Roman"/>
          <w:color w:val="auto"/>
          <w:kern w:val="2"/>
          <w:sz w:val="72"/>
          <w:szCs w:val="72"/>
          <w:highlight w:val="none"/>
          <w:lang w:val="en-US" w:eastAsia="zh-CN" w:bidi="ar-SA"/>
        </w:rPr>
        <w:t>2024年度</w:t>
      </w:r>
      <w:bookmarkEnd w:id="1"/>
      <w:bookmarkEnd w:id="2"/>
      <w:bookmarkEnd w:id="3"/>
      <w:bookmarkEnd w:id="4"/>
      <w:bookmarkEnd w:id="5"/>
    </w:p>
    <w:p>
      <w:pPr>
        <w:pStyle w:val="2"/>
        <w:keepNext w:val="0"/>
        <w:keepLines w:val="0"/>
        <w:pageBreakBefore w:val="0"/>
        <w:widowControl w:val="0"/>
        <w:suppressAutoHyphens/>
        <w:kinsoku/>
        <w:wordWrap/>
        <w:overflowPunct/>
        <w:topLinePunct w:val="0"/>
        <w:autoSpaceDE/>
        <w:autoSpaceDN/>
        <w:bidi w:val="0"/>
        <w:adjustRightInd/>
        <w:snapToGrid/>
        <w:spacing w:before="0" w:beforeLines="-2147483648" w:after="140" w:line="1200" w:lineRule="exact"/>
        <w:jc w:val="center"/>
        <w:textAlignment w:val="auto"/>
        <w:rPr>
          <w:rFonts w:hint="default" w:ascii="Times New Roman" w:hAnsi="Times New Roman" w:eastAsia="方正小标宋简体" w:cs="Times New Roman"/>
          <w:color w:val="auto"/>
          <w:kern w:val="2"/>
          <w:sz w:val="72"/>
          <w:szCs w:val="72"/>
          <w:highlight w:val="none"/>
          <w:lang w:val="en-US" w:eastAsia="zh-CN" w:bidi="ar-SA"/>
        </w:rPr>
      </w:pPr>
      <w:r>
        <w:rPr>
          <w:rFonts w:hint="default" w:ascii="Times New Roman" w:hAnsi="Times New Roman" w:eastAsia="方正小标宋简体" w:cs="Times New Roman"/>
          <w:color w:val="auto"/>
          <w:kern w:val="2"/>
          <w:sz w:val="72"/>
          <w:szCs w:val="72"/>
          <w:highlight w:val="none"/>
          <w:lang w:val="en-US" w:eastAsia="zh-CN" w:bidi="ar-SA"/>
        </w:rPr>
        <w:tab/>
      </w:r>
      <w:bookmarkStart w:id="6" w:name="_Toc15377194"/>
      <w:bookmarkStart w:id="7" w:name="_Toc15396476"/>
      <w:bookmarkStart w:id="8" w:name="_Toc15396598"/>
      <w:bookmarkStart w:id="9" w:name="_Toc15377426"/>
      <w:bookmarkStart w:id="10" w:name="_Toc15378442"/>
      <w:r>
        <w:rPr>
          <w:rFonts w:hint="default" w:ascii="Times New Roman" w:hAnsi="Times New Roman" w:eastAsia="方正小标宋简体" w:cs="Times New Roman"/>
          <w:color w:val="auto"/>
          <w:kern w:val="2"/>
          <w:sz w:val="72"/>
          <w:szCs w:val="72"/>
          <w:highlight w:val="none"/>
          <w:lang w:val="en-US" w:eastAsia="zh-CN" w:bidi="ar-SA"/>
        </w:rPr>
        <w:t>四川省</w:t>
      </w:r>
      <w:bookmarkStart w:id="11" w:name="_Toc15306268"/>
      <w:r>
        <w:rPr>
          <w:rFonts w:hint="default" w:ascii="Times New Roman" w:hAnsi="Times New Roman" w:eastAsia="方正小标宋简体" w:cs="Times New Roman"/>
          <w:color w:val="auto"/>
          <w:kern w:val="2"/>
          <w:sz w:val="72"/>
          <w:szCs w:val="72"/>
          <w:highlight w:val="none"/>
          <w:lang w:val="en-US" w:eastAsia="zh-CN" w:bidi="ar-SA"/>
        </w:rPr>
        <w:t>沐川县公路建设服务中心单位决算</w:t>
      </w:r>
      <w:bookmarkEnd w:id="6"/>
      <w:bookmarkEnd w:id="7"/>
      <w:bookmarkEnd w:id="8"/>
      <w:bookmarkEnd w:id="9"/>
      <w:bookmarkEnd w:id="10"/>
      <w:bookmarkEnd w:id="11"/>
    </w:p>
    <w:p>
      <w:pPr>
        <w:pageBreakBefore w:val="0"/>
        <w:kinsoku/>
        <w:wordWrap/>
        <w:overflowPunct/>
        <w:topLinePunct w:val="0"/>
        <w:bidi w:val="0"/>
        <w:adjustRightInd w:val="0"/>
        <w:snapToGrid w:val="0"/>
        <w:spacing w:line="600" w:lineRule="exact"/>
        <w:jc w:val="center"/>
        <w:rPr>
          <w:rFonts w:hint="default" w:ascii="Times New Roman" w:hAnsi="Times New Roman" w:eastAsia="方正小标宋简体" w:cs="Times New Roman"/>
          <w:color w:val="000000"/>
          <w:sz w:val="72"/>
          <w:szCs w:val="72"/>
        </w:rPr>
      </w:pPr>
    </w:p>
    <w:p>
      <w:pPr>
        <w:pageBreakBefore w:val="0"/>
        <w:widowControl/>
        <w:kinsoku/>
        <w:wordWrap/>
        <w:overflowPunct/>
        <w:topLinePunct w:val="0"/>
        <w:bidi w:val="0"/>
        <w:spacing w:line="600" w:lineRule="exact"/>
        <w:jc w:val="center"/>
        <w:rPr>
          <w:rFonts w:hint="default" w:ascii="Times New Roman" w:hAnsi="Times New Roman" w:eastAsia="黑体" w:cs="Times New Roman"/>
          <w:sz w:val="48"/>
          <w:szCs w:val="48"/>
        </w:rPr>
        <w:sectPr>
          <w:headerReference r:id="rId3" w:type="default"/>
          <w:footerReference r:id="rId5" w:type="default"/>
          <w:headerReference r:id="rId4" w:type="even"/>
          <w:footerReference r:id="rId6" w:type="even"/>
          <w:pgSz w:w="11906" w:h="16838"/>
          <w:pgMar w:top="2041" w:right="1468" w:bottom="1587" w:left="1468" w:header="851" w:footer="992" w:gutter="0"/>
          <w:pgNumType w:fmt="decimal" w:start="1"/>
          <w:cols w:space="425" w:num="1"/>
          <w:titlePg/>
          <w:docGrid w:type="lines" w:linePitch="312" w:charSpace="0"/>
        </w:sectPr>
      </w:pPr>
    </w:p>
    <w:p>
      <w:pPr>
        <w:pageBreakBefore w:val="0"/>
        <w:widowControl/>
        <w:kinsoku/>
        <w:wordWrap/>
        <w:overflowPunct/>
        <w:topLinePunct w:val="0"/>
        <w:bidi w:val="0"/>
        <w:spacing w:line="60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48"/>
          <w:szCs w:val="48"/>
        </w:rPr>
        <w:t>目录</w:t>
      </w:r>
    </w:p>
    <w:p>
      <w:pPr>
        <w:pStyle w:val="12"/>
        <w:pageBreakBefore w:val="0"/>
        <w:kinsoku/>
        <w:wordWrap/>
        <w:overflowPunct/>
        <w:topLinePunct w:val="0"/>
        <w:bidi w:val="0"/>
        <w:spacing w:line="600" w:lineRule="exact"/>
        <w:rPr>
          <w:rFonts w:hint="default" w:ascii="Times New Roman" w:hAnsi="Times New Roman" w:cs="Times New Roman"/>
        </w:rPr>
      </w:pPr>
      <w:r>
        <w:rPr>
          <w:rFonts w:hint="default" w:ascii="Times New Roman" w:hAnsi="Times New Roman" w:cs="Times New Roman"/>
        </w:rPr>
        <w:t>公开时间：202</w:t>
      </w:r>
      <w:r>
        <w:rPr>
          <w:rFonts w:hint="default" w:ascii="Times New Roman" w:hAnsi="Times New Roman" w:cs="Times New Roman"/>
          <w:lang w:val="en-US" w:eastAsia="zh-CN"/>
        </w:rPr>
        <w:t>5</w:t>
      </w:r>
      <w:r>
        <w:rPr>
          <w:rFonts w:hint="default" w:ascii="Times New Roman" w:hAnsi="Times New Roman" w:cs="Times New Roman"/>
        </w:rPr>
        <w:t>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24</w:t>
      </w:r>
      <w:r>
        <w:rPr>
          <w:rFonts w:hint="default" w:ascii="Times New Roman" w:hAnsi="Times New Roman" w:cs="Times New Roman"/>
        </w:rPr>
        <w:t>日</w:t>
      </w:r>
    </w:p>
    <w:sdt>
      <w:sdtPr>
        <w:rPr>
          <w:rFonts w:ascii="宋体" w:hAnsi="宋体" w:eastAsia="宋体" w:cs="Times New Roman"/>
          <w:kern w:val="2"/>
          <w:sz w:val="21"/>
          <w:szCs w:val="24"/>
          <w:lang w:val="en-US" w:eastAsia="zh-CN" w:bidi="ar-SA"/>
        </w:rPr>
        <w:id w:val="147468939"/>
        <w15:color w:val="DBDBDB"/>
        <w:docPartObj>
          <w:docPartGallery w:val="Table of Contents"/>
          <w:docPartUnique/>
        </w:docPartObj>
      </w:sdtPr>
      <w:sdtEndPr>
        <w:rPr>
          <w:rFonts w:hint="default" w:ascii="Times New Roman" w:hAnsi="Times New Roman" w:eastAsia="黑体" w:cs="Times New Roman"/>
          <w:b/>
          <w:bCs/>
          <w:kern w:val="44"/>
          <w:sz w:val="44"/>
          <w:szCs w:val="44"/>
          <w:lang w:val="en-US" w:eastAsia="zh-CN" w:bidi="ar-SA"/>
        </w:rPr>
      </w:sdtEndPr>
      <w:sdtContent>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黑体" w:cs="Times New Roman"/>
              <w:b w:val="0"/>
            </w:rPr>
            <w:fldChar w:fldCharType="begin"/>
          </w:r>
          <w:r>
            <w:rPr>
              <w:rFonts w:hint="default" w:ascii="Times New Roman" w:hAnsi="Times New Roman" w:eastAsia="黑体" w:cs="Times New Roman"/>
              <w:b w:val="0"/>
            </w:rPr>
            <w:instrText xml:space="preserve">TOC \o "1-3" \h \u </w:instrText>
          </w:r>
          <w:r>
            <w:rPr>
              <w:rFonts w:hint="default" w:ascii="Times New Roman" w:hAnsi="Times New Roman" w:eastAsia="黑体" w:cs="Times New Roman"/>
              <w:b w:val="0"/>
            </w:rPr>
            <w:fldChar w:fldCharType="separate"/>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_Toc18785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rPr>
            <w:t xml:space="preserve">第一部分 </w:t>
          </w:r>
          <w:r>
            <w:rPr>
              <w:rFonts w:hint="default" w:ascii="Times New Roman" w:hAnsi="Times New Roman" w:eastAsia="仿宋_GB2312" w:cs="Times New Roman"/>
              <w:sz w:val="21"/>
              <w:szCs w:val="21"/>
              <w:lang/>
            </w:rPr>
            <w:t>单位概况</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_Toc18785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_Toc21357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一、主要职责</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_Toc21357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_Toc23936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二、机构设置</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_Toc23936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2</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_Toc21263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第二部分 202</w:t>
          </w:r>
          <w:r>
            <w:rPr>
              <w:rFonts w:hint="default"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lang/>
            </w:rPr>
            <w:t>年度</w:t>
          </w:r>
          <w:r>
            <w:rPr>
              <w:rFonts w:hint="default" w:ascii="Times New Roman" w:hAnsi="Times New Roman" w:eastAsia="仿宋_GB2312" w:cs="Times New Roman"/>
              <w:sz w:val="21"/>
              <w:szCs w:val="21"/>
              <w:lang w:val="en-US" w:eastAsia="zh-CN"/>
            </w:rPr>
            <w:t>单位</w:t>
          </w:r>
          <w:r>
            <w:rPr>
              <w:rFonts w:hint="default" w:ascii="Times New Roman" w:hAnsi="Times New Roman" w:eastAsia="仿宋_GB2312" w:cs="Times New Roman"/>
              <w:sz w:val="21"/>
              <w:szCs w:val="21"/>
              <w:lang/>
            </w:rPr>
            <w:t>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_Toc21263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3</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_Toc20925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一、收入支出决算总体情况说明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_Toc20925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3</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_Toc10131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二、收入决算情况说明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_Toc10131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4</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_Toc8358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三、支出决算情况说明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_Toc8358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4</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_Toc13597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四、财政拨款收入支出决算总体情况说明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_Toc13597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5</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_Toc27220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五、一般公共预算财政拨款支出决算情况说明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_Toc27220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5</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_Toc5222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六、一般公共预算财政拨款基本支出决算情况说明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_Toc5222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8</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_Toc7834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七、财政拨款“三公”经费支出决算情况说明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_Toc7834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9</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_Toc788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八、政府性基金预算支出决算情况说明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_Toc788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11</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_Toc22013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rPr>
            <w:t xml:space="preserve">九、 </w:t>
          </w:r>
          <w:r>
            <w:rPr>
              <w:rFonts w:hint="default" w:ascii="Times New Roman" w:hAnsi="Times New Roman" w:eastAsia="仿宋_GB2312" w:cs="Times New Roman"/>
              <w:sz w:val="21"/>
              <w:szCs w:val="21"/>
              <w:lang/>
            </w:rPr>
            <w:t>国有资本经营预算支出决算情况说明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_Toc22013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11</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_Toc31703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十、其他重要事项的情况说明</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_Toc31703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11</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_Toc22964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rPr>
            <w:t xml:space="preserve">第三部分 </w:t>
          </w:r>
          <w:r>
            <w:rPr>
              <w:rFonts w:hint="default" w:ascii="Times New Roman" w:hAnsi="Times New Roman" w:eastAsia="仿宋_GB2312" w:cs="Times New Roman"/>
              <w:sz w:val="21"/>
              <w:szCs w:val="21"/>
              <w:lang/>
            </w:rPr>
            <w:t>名词解释</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_Toc22964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13</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_Toc19626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val="en-US" w:eastAsia="zh-CN"/>
            </w:rPr>
            <w:t xml:space="preserve">第四部分  </w:t>
          </w:r>
          <w:r>
            <w:rPr>
              <w:rFonts w:hint="default" w:ascii="Times New Roman" w:hAnsi="Times New Roman" w:eastAsia="仿宋_GB2312" w:cs="Times New Roman"/>
              <w:sz w:val="21"/>
              <w:szCs w:val="21"/>
              <w:lang/>
            </w:rPr>
            <w:t>附件</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_Toc19626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16</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_Toc32629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val="zh-CN" w:eastAsia="zh-CN"/>
            </w:rPr>
            <w:t>一、项目概况</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_Toc32629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16</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_Toc24381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val="zh-CN" w:eastAsia="zh-CN"/>
            </w:rPr>
            <w:t>二、评价实施</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_Toc24381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17</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仿宋_GB2312" w:cs="Times New Roman"/>
              <w:sz w:val="21"/>
              <w:szCs w:val="21"/>
              <w:lang/>
            </w:rPr>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_Toc17882 </w:instrText>
          </w:r>
          <w:r>
            <w:rPr>
              <w:rFonts w:hint="default" w:ascii="Times New Roman" w:hAnsi="Times New Roman" w:eastAsia="仿宋_GB2312" w:cs="Times New Roman"/>
              <w:sz w:val="21"/>
              <w:szCs w:val="21"/>
              <w:lang/>
            </w:rPr>
            <w:fldChar w:fldCharType="separate"/>
          </w:r>
          <w:r>
            <w:rPr>
              <w:rFonts w:hint="eastAsia" w:ascii="Times New Roman" w:hAnsi="Times New Roman" w:eastAsia="仿宋_GB2312" w:cs="Times New Roman"/>
              <w:sz w:val="21"/>
              <w:szCs w:val="21"/>
              <w:lang w:val="zh-CN" w:eastAsia="zh-CN"/>
            </w:rPr>
            <w:t>三、绩效分析</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_Toc17882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18</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20" w:lineRule="exact"/>
            <w:ind w:left="0" w:leftChars="0"/>
            <w:textAlignment w:val="auto"/>
          </w:pP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HYPERLINK \l _Toc4970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第五部分 附表</w:t>
          </w:r>
          <w:r>
            <w:rPr>
              <w:rFonts w:hint="default" w:ascii="Times New Roman" w:hAnsi="Times New Roman" w:eastAsia="仿宋_GB2312" w:cs="Times New Roman"/>
              <w:sz w:val="21"/>
              <w:szCs w:val="21"/>
              <w:lang/>
            </w:rPr>
            <w:tab/>
          </w:r>
          <w:r>
            <w:rPr>
              <w:rFonts w:hint="default" w:ascii="Times New Roman" w:hAnsi="Times New Roman" w:eastAsia="仿宋_GB2312" w:cs="Times New Roman"/>
              <w:sz w:val="21"/>
              <w:szCs w:val="21"/>
              <w:lang/>
            </w:rPr>
            <w:fldChar w:fldCharType="begin"/>
          </w:r>
          <w:r>
            <w:rPr>
              <w:rFonts w:hint="default" w:ascii="Times New Roman" w:hAnsi="Times New Roman" w:eastAsia="仿宋_GB2312" w:cs="Times New Roman"/>
              <w:sz w:val="21"/>
              <w:szCs w:val="21"/>
              <w:lang/>
            </w:rPr>
            <w:instrText xml:space="preserve"> PAGEREF _Toc4970 \h </w:instrText>
          </w:r>
          <w:r>
            <w:rPr>
              <w:rFonts w:hint="default" w:ascii="Times New Roman" w:hAnsi="Times New Roman" w:eastAsia="仿宋_GB2312" w:cs="Times New Roman"/>
              <w:sz w:val="21"/>
              <w:szCs w:val="21"/>
              <w:lang/>
            </w:rPr>
            <w:fldChar w:fldCharType="separate"/>
          </w:r>
          <w:r>
            <w:rPr>
              <w:rFonts w:hint="default" w:ascii="Times New Roman" w:hAnsi="Times New Roman" w:eastAsia="仿宋_GB2312" w:cs="Times New Roman"/>
              <w:sz w:val="21"/>
              <w:szCs w:val="21"/>
              <w:lang/>
            </w:rPr>
            <w:t>53</w:t>
          </w:r>
          <w:r>
            <w:rPr>
              <w:rFonts w:hint="default" w:ascii="Times New Roman" w:hAnsi="Times New Roman" w:eastAsia="仿宋_GB2312" w:cs="Times New Roman"/>
              <w:sz w:val="21"/>
              <w:szCs w:val="21"/>
              <w:lang/>
            </w:rPr>
            <w:fldChar w:fldCharType="end"/>
          </w:r>
          <w:r>
            <w:rPr>
              <w:rFonts w:hint="default" w:ascii="Times New Roman" w:hAnsi="Times New Roman" w:eastAsia="仿宋_GB2312" w:cs="Times New Roman"/>
              <w:sz w:val="21"/>
              <w:szCs w:val="21"/>
              <w:lang/>
            </w:rPr>
            <w:fldChar w:fldCharType="end"/>
          </w:r>
        </w:p>
        <w:p>
          <w:pPr>
            <w:pStyle w:val="3"/>
            <w:pageBreakBefore w:val="0"/>
            <w:kinsoku/>
            <w:wordWrap/>
            <w:overflowPunct/>
            <w:topLinePunct w:val="0"/>
            <w:autoSpaceDE/>
            <w:autoSpaceDN/>
            <w:bidi w:val="0"/>
            <w:adjustRightInd/>
            <w:snapToGrid/>
            <w:spacing w:line="600" w:lineRule="exact"/>
            <w:ind w:leftChars="0"/>
            <w:jc w:val="both"/>
            <w:textAlignment w:val="auto"/>
            <w:outlineLvl w:val="9"/>
            <w:rPr>
              <w:rFonts w:hint="default" w:ascii="Times New Roman" w:hAnsi="Times New Roman" w:eastAsia="黑体" w:cs="Times New Roman"/>
              <w:b w:val="0"/>
            </w:rPr>
            <w:sectPr>
              <w:footerReference r:id="rId8" w:type="first"/>
              <w:footerReference r:id="rId7" w:type="default"/>
              <w:pgSz w:w="11906" w:h="16838"/>
              <w:pgMar w:top="1440" w:right="1080" w:bottom="1440" w:left="1080" w:header="851" w:footer="992" w:gutter="0"/>
              <w:pgNumType w:fmt="decimal" w:start="1"/>
              <w:cols w:space="425" w:num="1"/>
              <w:docGrid w:type="lines" w:linePitch="312" w:charSpace="0"/>
            </w:sectPr>
          </w:pPr>
          <w:r>
            <w:rPr>
              <w:rFonts w:hint="default" w:ascii="Times New Roman" w:hAnsi="Times New Roman" w:eastAsia="黑体" w:cs="Times New Roman"/>
            </w:rPr>
            <w:fldChar w:fldCharType="end"/>
          </w:r>
        </w:p>
      </w:sdtContent>
    </w:sdt>
    <w:p>
      <w:pPr>
        <w:pStyle w:val="3"/>
        <w:pageBreakBefore w:val="0"/>
        <w:suppressAutoHyphens/>
        <w:kinsoku/>
        <w:wordWrap/>
        <w:overflowPunct/>
        <w:topLinePunct w:val="0"/>
        <w:autoSpaceDE/>
        <w:autoSpaceDN/>
        <w:bidi w:val="0"/>
        <w:snapToGrid/>
        <w:spacing w:before="0" w:after="0" w:line="600" w:lineRule="exact"/>
        <w:jc w:val="center"/>
        <w:rPr>
          <w:rFonts w:hint="default" w:ascii="Times New Roman" w:hAnsi="Times New Roman" w:eastAsia="黑体" w:cs="Times New Roman"/>
          <w:b w:val="0"/>
          <w:color w:val="auto"/>
          <w:sz w:val="32"/>
          <w:szCs w:val="32"/>
          <w:highlight w:val="none"/>
        </w:rPr>
      </w:pPr>
      <w:bookmarkStart w:id="12" w:name="_Toc15396614"/>
      <w:bookmarkStart w:id="13" w:name="_Toc15377226"/>
      <w:r>
        <w:rPr>
          <w:rFonts w:hint="eastAsia" w:ascii="Times New Roman" w:hAnsi="Times New Roman" w:eastAsia="黑体" w:cs="Times New Roman"/>
          <w:b w:val="0"/>
          <w:color w:val="auto"/>
          <w:sz w:val="32"/>
          <w:szCs w:val="32"/>
          <w:highlight w:val="none"/>
          <w:lang w:val="en-US" w:eastAsia="zh-CN"/>
        </w:rPr>
        <w:t xml:space="preserve">第一部分 </w:t>
      </w:r>
      <w:r>
        <w:rPr>
          <w:rFonts w:hint="default" w:ascii="Times New Roman" w:hAnsi="Times New Roman" w:eastAsia="黑体" w:cs="Times New Roman"/>
          <w:b w:val="0"/>
          <w:color w:val="auto"/>
          <w:sz w:val="32"/>
          <w:szCs w:val="32"/>
          <w:highlight w:val="none"/>
          <w:lang w:val="en-US" w:eastAsia="zh-CN"/>
        </w:rPr>
        <w:t xml:space="preserve"> </w:t>
      </w:r>
      <w:bookmarkStart w:id="14" w:name="_Toc18785"/>
      <w:r>
        <w:rPr>
          <w:rFonts w:hint="default" w:ascii="Times New Roman" w:hAnsi="Times New Roman" w:eastAsia="黑体" w:cs="Times New Roman"/>
          <w:b w:val="0"/>
          <w:color w:val="auto"/>
          <w:sz w:val="32"/>
          <w:szCs w:val="32"/>
          <w:highlight w:val="none"/>
        </w:rPr>
        <w:t>单位概况</w:t>
      </w:r>
      <w:bookmarkEnd w:id="14"/>
    </w:p>
    <w:p>
      <w:pPr>
        <w:pStyle w:val="4"/>
        <w:pageBreakBefore w:val="0"/>
        <w:kinsoku/>
        <w:wordWrap/>
        <w:overflowPunct/>
        <w:topLinePunct w:val="0"/>
        <w:autoSpaceDE/>
        <w:autoSpaceDN/>
        <w:bidi w:val="0"/>
        <w:spacing w:before="0" w:after="0" w:line="600" w:lineRule="exact"/>
        <w:ind w:firstLine="640" w:firstLineChars="200"/>
        <w:textAlignment w:val="auto"/>
        <w:rPr>
          <w:rStyle w:val="30"/>
          <w:rFonts w:hint="default" w:ascii="Times New Roman" w:hAnsi="Times New Roman" w:eastAsia="黑体" w:cs="Times New Roman"/>
          <w:b w:val="0"/>
          <w:bCs w:val="0"/>
        </w:rPr>
      </w:pPr>
      <w:bookmarkStart w:id="15" w:name="_Toc15377197"/>
      <w:bookmarkStart w:id="16" w:name="_Toc15396600"/>
      <w:bookmarkStart w:id="17" w:name="_Toc20695"/>
      <w:bookmarkStart w:id="18" w:name="_Toc21357"/>
      <w:r>
        <w:rPr>
          <w:rStyle w:val="30"/>
          <w:rFonts w:hint="default" w:ascii="Times New Roman" w:hAnsi="Times New Roman" w:eastAsia="黑体" w:cs="Times New Roman"/>
          <w:b w:val="0"/>
          <w:bCs w:val="0"/>
        </w:rPr>
        <w:t>一、</w:t>
      </w:r>
      <w:bookmarkEnd w:id="15"/>
      <w:bookmarkEnd w:id="16"/>
      <w:r>
        <w:rPr>
          <w:rStyle w:val="30"/>
          <w:rFonts w:hint="default" w:ascii="Times New Roman" w:hAnsi="Times New Roman" w:eastAsia="黑体" w:cs="Times New Roman"/>
          <w:b w:val="0"/>
          <w:bCs w:val="0"/>
        </w:rPr>
        <w:t>主要职责</w:t>
      </w:r>
      <w:bookmarkEnd w:id="17"/>
      <w:bookmarkEnd w:id="18"/>
      <w:bookmarkStart w:id="19" w:name="_Toc15377199"/>
      <w:bookmarkStart w:id="20" w:name="_Toc15378446"/>
    </w:p>
    <w:p>
      <w:pPr>
        <w:pageBreakBefore w:val="0"/>
        <w:kinsoku/>
        <w:wordWrap/>
        <w:overflowPunct/>
        <w:topLinePunct w:val="0"/>
        <w:autoSpaceDE/>
        <w:autoSpaceDN/>
        <w:bidi w:val="0"/>
        <w:spacing w:line="600" w:lineRule="exact"/>
        <w:ind w:left="630" w:leftChars="3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严格执行国家公路、桥隧建设管理养护有关法律法规。</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组织实施上级安排的公路、桥隧建设项目，承担国省县乡</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道公路桥隧设施维护、公路绿化工作。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负责国省县乡道公路、桥隧养护和监控工作；承担国省县</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乡道交通流量、路况监测和调查，制定大、中、小修、预防性养</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护计划并组织实施。</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负责公路桥隧管理养护信息化、智能化建设规划并组织实</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施，承担公路桥隧管理养护统计及信息上报工作。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负责村级公路及桥梁管理养护的指导、考核工作，建立完</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善村级公路管养体系。</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6</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负责管养道路、桥隧应急抢险机械、物资、队伍的组织、</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储备、保管、调集工作，保障应急抢险之需，参与全县道路桥隧</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建设、养护安全事故的调查处理。</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负责职责范围内的安全生产和职业健康、生态环境保护等</w:t>
      </w:r>
    </w:p>
    <w:p>
      <w:pPr>
        <w:pageBreakBefore w:val="0"/>
        <w:kinsoku/>
        <w:wordWrap/>
        <w:overflowPunct/>
        <w:topLinePunct w:val="0"/>
        <w:autoSpaceDE/>
        <w:autoSpaceDN/>
        <w:bidi w:val="0"/>
        <w:spacing w:line="600" w:lineRule="exact"/>
        <w:ind w:left="640" w:hanging="640" w:hanging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w:t>
      </w:r>
    </w:p>
    <w:p>
      <w:pPr>
        <w:pageBreakBefore w:val="0"/>
        <w:kinsoku/>
        <w:wordWrap/>
        <w:overflowPunct/>
        <w:topLinePunct w:val="0"/>
        <w:autoSpaceDE/>
        <w:autoSpaceDN/>
        <w:bidi w:val="0"/>
        <w:spacing w:line="600" w:lineRule="exact"/>
        <w:ind w:left="630" w:leftChars="300"/>
        <w:contextualSpacing/>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color w:val="000000"/>
          <w:sz w:val="32"/>
          <w:szCs w:val="32"/>
        </w:rPr>
        <w:t>完成县委、县政府交办的其他工作。</w:t>
      </w:r>
    </w:p>
    <w:bookmarkEnd w:id="19"/>
    <w:bookmarkEnd w:id="20"/>
    <w:p>
      <w:pPr>
        <w:pStyle w:val="4"/>
        <w:pageBreakBefore w:val="0"/>
        <w:kinsoku/>
        <w:wordWrap/>
        <w:overflowPunct/>
        <w:topLinePunct w:val="0"/>
        <w:autoSpaceDE/>
        <w:autoSpaceDN/>
        <w:bidi w:val="0"/>
        <w:spacing w:before="0" w:after="0" w:line="600" w:lineRule="exact"/>
        <w:ind w:firstLine="640" w:firstLineChars="200"/>
        <w:textAlignment w:val="auto"/>
        <w:rPr>
          <w:rStyle w:val="30"/>
          <w:rFonts w:hint="default" w:ascii="Times New Roman" w:hAnsi="Times New Roman" w:eastAsia="黑体" w:cs="Times New Roman"/>
          <w:b w:val="0"/>
          <w:bCs w:val="0"/>
        </w:rPr>
      </w:pPr>
      <w:bookmarkStart w:id="21" w:name="_Toc15396601"/>
      <w:bookmarkStart w:id="22" w:name="_Toc15377200"/>
      <w:bookmarkStart w:id="23" w:name="_Toc8344"/>
      <w:bookmarkStart w:id="24" w:name="_Toc23936"/>
      <w:r>
        <w:rPr>
          <w:rStyle w:val="30"/>
          <w:rFonts w:hint="default" w:ascii="Times New Roman" w:hAnsi="Times New Roman" w:eastAsia="黑体" w:cs="Times New Roman"/>
          <w:b w:val="0"/>
          <w:bCs w:val="0"/>
        </w:rPr>
        <w:t>二、机构设置</w:t>
      </w:r>
      <w:bookmarkEnd w:id="21"/>
      <w:bookmarkEnd w:id="22"/>
      <w:bookmarkEnd w:id="23"/>
      <w:bookmarkEnd w:id="24"/>
    </w:p>
    <w:p>
      <w:pPr>
        <w:pageBreakBefore w:val="0"/>
        <w:widowControl/>
        <w:kinsoku/>
        <w:wordWrap/>
        <w:overflowPunct/>
        <w:topLinePunct w:val="0"/>
        <w:autoSpaceDE/>
        <w:autoSpaceDN/>
        <w:bidi w:val="0"/>
        <w:adjustRightInd w:val="0"/>
        <w:snapToGrid w:val="0"/>
        <w:spacing w:line="600" w:lineRule="exact"/>
        <w:ind w:firstLine="72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沐川县公路建设服务中心为公益一类正科级事业单位，属于沐川县交通运输局下属的</w:t>
      </w:r>
      <w:r>
        <w:rPr>
          <w:rFonts w:hint="eastAsia" w:eastAsia="仿宋_GB2312" w:cs="Times New Roman"/>
          <w:color w:val="000000"/>
          <w:kern w:val="0"/>
          <w:sz w:val="32"/>
          <w:szCs w:val="32"/>
          <w:lang w:eastAsia="zh-CN"/>
        </w:rPr>
        <w:t>一</w:t>
      </w:r>
      <w:r>
        <w:rPr>
          <w:rFonts w:hint="default" w:ascii="Times New Roman" w:hAnsi="Times New Roman" w:eastAsia="仿宋_GB2312" w:cs="Times New Roman"/>
          <w:color w:val="000000"/>
          <w:kern w:val="0"/>
          <w:sz w:val="32"/>
          <w:szCs w:val="32"/>
        </w:rPr>
        <w:t>级预算单位，内设办公室、建设管理股、养护应急股三个股室，下设四个片区养护站（城郊片区、大楠片区、黄丹片区、利店片区）。</w:t>
      </w:r>
    </w:p>
    <w:p>
      <w:pPr>
        <w:pStyle w:val="13"/>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kern w:val="0"/>
          <w:sz w:val="32"/>
          <w:szCs w:val="32"/>
        </w:rPr>
      </w:pPr>
    </w:p>
    <w:p>
      <w:pPr>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7"/>
        <w:pageBreakBefore w:val="0"/>
        <w:kinsoku/>
        <w:wordWrap/>
        <w:overflowPunct/>
        <w:topLinePunct w:val="0"/>
        <w:bidi w:val="0"/>
        <w:spacing w:line="600" w:lineRule="exact"/>
        <w:rPr>
          <w:rFonts w:hint="default" w:ascii="Times New Roman" w:hAnsi="Times New Roman" w:eastAsia="仿宋_GB2312" w:cs="Times New Roman"/>
          <w:color w:val="000000"/>
          <w:kern w:val="0"/>
          <w:sz w:val="32"/>
          <w:szCs w:val="32"/>
        </w:rPr>
      </w:pPr>
    </w:p>
    <w:p>
      <w:pPr>
        <w:pStyle w:val="13"/>
        <w:pageBreakBefore w:val="0"/>
        <w:kinsoku/>
        <w:wordWrap/>
        <w:overflowPunct/>
        <w:topLinePunct w:val="0"/>
        <w:bidi w:val="0"/>
        <w:spacing w:line="600" w:lineRule="exact"/>
        <w:rPr>
          <w:rFonts w:hint="default"/>
        </w:rPr>
      </w:pPr>
    </w:p>
    <w:p>
      <w:pPr>
        <w:pStyle w:val="3"/>
        <w:pageBreakBefore w:val="0"/>
        <w:suppressAutoHyphens/>
        <w:kinsoku/>
        <w:wordWrap/>
        <w:overflowPunct/>
        <w:topLinePunct w:val="0"/>
        <w:bidi w:val="0"/>
        <w:spacing w:line="600" w:lineRule="exact"/>
        <w:ind w:right="440"/>
        <w:jc w:val="center"/>
        <w:rPr>
          <w:rFonts w:hint="default" w:ascii="Times New Roman" w:hAnsi="Times New Roman" w:cs="Times New Roman"/>
        </w:rPr>
      </w:pPr>
      <w:bookmarkStart w:id="25" w:name="_Toc15377204"/>
      <w:bookmarkStart w:id="26" w:name="_Toc15396602"/>
      <w:bookmarkStart w:id="27" w:name="_Toc21263"/>
      <w:r>
        <w:rPr>
          <w:rFonts w:hint="default" w:ascii="Times New Roman" w:hAnsi="Times New Roman" w:eastAsia="黑体" w:cs="Times New Roman"/>
          <w:b w:val="0"/>
          <w:sz w:val="32"/>
          <w:szCs w:val="32"/>
        </w:rPr>
        <w:t>第二部分 202</w:t>
      </w:r>
      <w:r>
        <w:rPr>
          <w:rFonts w:hint="default" w:ascii="Times New Roman" w:hAnsi="Times New Roman" w:eastAsia="黑体" w:cs="Times New Roman"/>
          <w:b w:val="0"/>
          <w:sz w:val="32"/>
          <w:szCs w:val="32"/>
          <w:lang w:val="en-US" w:eastAsia="zh-CN"/>
        </w:rPr>
        <w:t>4</w:t>
      </w:r>
      <w:r>
        <w:rPr>
          <w:rFonts w:hint="default" w:ascii="Times New Roman" w:hAnsi="Times New Roman" w:eastAsia="黑体" w:cs="Times New Roman"/>
          <w:b w:val="0"/>
          <w:sz w:val="32"/>
          <w:szCs w:val="32"/>
        </w:rPr>
        <w:t>年度</w:t>
      </w:r>
      <w:r>
        <w:rPr>
          <w:rFonts w:hint="default" w:ascii="Times New Roman" w:hAnsi="Times New Roman" w:eastAsia="黑体" w:cs="Times New Roman"/>
          <w:b w:val="0"/>
          <w:sz w:val="32"/>
          <w:szCs w:val="32"/>
          <w:lang w:val="en-US" w:eastAsia="zh-CN"/>
        </w:rPr>
        <w:t>单位</w:t>
      </w:r>
      <w:r>
        <w:rPr>
          <w:rFonts w:hint="default" w:ascii="Times New Roman" w:hAnsi="Times New Roman" w:eastAsia="黑体" w:cs="Times New Roman"/>
          <w:b w:val="0"/>
          <w:sz w:val="32"/>
          <w:szCs w:val="32"/>
        </w:rPr>
        <w:t>决算情况说明</w:t>
      </w:r>
      <w:bookmarkEnd w:id="25"/>
      <w:bookmarkEnd w:id="26"/>
      <w:bookmarkEnd w:id="27"/>
    </w:p>
    <w:p>
      <w:pPr>
        <w:pStyle w:val="28"/>
        <w:pageBreakBefore w:val="0"/>
        <w:kinsoku/>
        <w:wordWrap/>
        <w:overflowPunct/>
        <w:topLinePunct w:val="0"/>
        <w:bidi w:val="0"/>
        <w:spacing w:line="600" w:lineRule="exact"/>
        <w:ind w:left="640" w:firstLine="0" w:firstLineChars="0"/>
        <w:outlineLvl w:val="1"/>
        <w:rPr>
          <w:rStyle w:val="30"/>
          <w:rFonts w:hint="default" w:ascii="Times New Roman" w:hAnsi="Times New Roman" w:eastAsia="黑体" w:cs="Times New Roman"/>
          <w:b w:val="0"/>
        </w:rPr>
      </w:pPr>
      <w:bookmarkStart w:id="28" w:name="_Toc15377205"/>
      <w:bookmarkStart w:id="29" w:name="_Toc15396603"/>
      <w:bookmarkStart w:id="30" w:name="_Toc20925"/>
      <w:r>
        <w:rPr>
          <w:rFonts w:hint="default" w:ascii="Times New Roman" w:hAnsi="Times New Roman" w:eastAsia="黑体" w:cs="Times New Roman"/>
          <w:color w:val="000000"/>
          <w:sz w:val="32"/>
          <w:szCs w:val="32"/>
        </w:rPr>
        <w:t>一、收</w:t>
      </w:r>
      <w:r>
        <w:rPr>
          <w:rStyle w:val="30"/>
          <w:rFonts w:hint="default" w:ascii="Times New Roman" w:hAnsi="Times New Roman" w:eastAsia="黑体" w:cs="Times New Roman"/>
          <w:b w:val="0"/>
        </w:rPr>
        <w:t>入支出决算总体情况说明</w:t>
      </w:r>
      <w:bookmarkEnd w:id="28"/>
      <w:bookmarkEnd w:id="29"/>
      <w:bookmarkEnd w:id="30"/>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年度收、支总计均为</w:t>
      </w:r>
      <w:r>
        <w:rPr>
          <w:rFonts w:hint="default" w:ascii="Times New Roman" w:hAnsi="Times New Roman" w:eastAsia="仿宋_GB2312" w:cs="Times New Roman"/>
          <w:sz w:val="32"/>
          <w:szCs w:val="32"/>
          <w:lang w:val="en-US" w:eastAsia="zh-CN"/>
        </w:rPr>
        <w:t>2588.06</w:t>
      </w:r>
      <w:r>
        <w:rPr>
          <w:rFonts w:hint="default" w:ascii="Times New Roman" w:hAnsi="Times New Roman" w:eastAsia="仿宋_GB2312" w:cs="Times New Roman"/>
          <w:sz w:val="32"/>
          <w:szCs w:val="32"/>
        </w:rPr>
        <w:t>万元。与202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年度相比，收、支总计各</w:t>
      </w:r>
      <w:r>
        <w:rPr>
          <w:rFonts w:hint="default" w:ascii="Times New Roman" w:hAnsi="Times New Roman" w:eastAsia="仿宋_GB2312" w:cs="Times New Roman"/>
          <w:sz w:val="32"/>
          <w:szCs w:val="32"/>
          <w:lang w:val="en-US" w:eastAsia="zh-CN"/>
        </w:rPr>
        <w:t>减少15.83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减少0.61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。主要变动</w:t>
      </w:r>
      <w:r>
        <w:rPr>
          <w:rFonts w:hint="default" w:ascii="Times New Roman" w:hAnsi="Times New Roman" w:eastAsia="仿宋_GB2312" w:cs="Times New Roman"/>
          <w:sz w:val="32"/>
          <w:szCs w:val="32"/>
          <w:highlight w:val="none"/>
        </w:rPr>
        <w:t>原因是202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年项目收入、支出</w:t>
      </w:r>
      <w:r>
        <w:rPr>
          <w:rFonts w:hint="default" w:ascii="Times New Roman" w:hAnsi="Times New Roman"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rPr>
        <w:t>。</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（图1：收、支决算总计变动情况图）（柱状图）</w:t>
      </w:r>
      <w:bookmarkStart w:id="31" w:name="_Toc15377206"/>
      <w:bookmarkStart w:id="32" w:name="_Toc15396604"/>
    </w:p>
    <w:p>
      <w:pPr>
        <w:pStyle w:val="28"/>
        <w:pageBreakBefore w:val="0"/>
        <w:kinsoku/>
        <w:wordWrap/>
        <w:overflowPunct/>
        <w:topLinePunct w:val="0"/>
        <w:bidi w:val="0"/>
        <w:spacing w:line="600" w:lineRule="exact"/>
        <w:ind w:left="640" w:firstLine="0" w:firstLineChars="0"/>
        <w:outlineLvl w:val="9"/>
        <w:rPr>
          <w:rFonts w:hint="default" w:ascii="Times New Roman" w:hAnsi="Times New Roman" w:eastAsia="黑体" w:cs="Times New Roman"/>
          <w:sz w:val="32"/>
          <w:szCs w:val="32"/>
        </w:rPr>
      </w:pPr>
      <w:r>
        <w:rPr>
          <w:rFonts w:hint="default" w:ascii="Times New Roman" w:hAnsi="Times New Roman" w:eastAsia="仿宋" w:cs="Times New Roman"/>
          <w:color w:val="000000"/>
          <w:sz w:val="32"/>
          <w:szCs w:val="32"/>
        </w:rPr>
        <w:drawing>
          <wp:anchor distT="0" distB="0" distL="114300" distR="114300" simplePos="0" relativeHeight="251660288" behindDoc="1" locked="0" layoutInCell="1" allowOverlap="1">
            <wp:simplePos x="0" y="0"/>
            <wp:positionH relativeFrom="column">
              <wp:posOffset>319405</wp:posOffset>
            </wp:positionH>
            <wp:positionV relativeFrom="page">
              <wp:posOffset>4168140</wp:posOffset>
            </wp:positionV>
            <wp:extent cx="4294505" cy="2035175"/>
            <wp:effectExtent l="4445" t="4445" r="6350" b="17780"/>
            <wp:wrapTight wrapText="bothSides">
              <wp:wrapPolygon>
                <wp:start x="-22" y="-47"/>
                <wp:lineTo x="-22" y="21384"/>
                <wp:lineTo x="21536" y="21384"/>
                <wp:lineTo x="21536" y="-47"/>
                <wp:lineTo x="-22" y="-47"/>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8"/>
        <w:pageBreakBefore w:val="0"/>
        <w:kinsoku/>
        <w:wordWrap/>
        <w:overflowPunct/>
        <w:topLinePunct w:val="0"/>
        <w:bidi w:val="0"/>
        <w:spacing w:line="600" w:lineRule="exact"/>
        <w:outlineLvl w:val="9"/>
        <w:rPr>
          <w:rFonts w:hint="default" w:ascii="Times New Roman" w:hAnsi="Times New Roman" w:eastAsia="黑体" w:cs="Times New Roman"/>
          <w:sz w:val="32"/>
          <w:szCs w:val="32"/>
        </w:rPr>
      </w:pPr>
    </w:p>
    <w:p>
      <w:pPr>
        <w:pStyle w:val="28"/>
        <w:pageBreakBefore w:val="0"/>
        <w:kinsoku/>
        <w:wordWrap/>
        <w:overflowPunct/>
        <w:topLinePunct w:val="0"/>
        <w:bidi w:val="0"/>
        <w:spacing w:line="600" w:lineRule="exact"/>
        <w:outlineLvl w:val="9"/>
        <w:rPr>
          <w:rFonts w:hint="default" w:ascii="Times New Roman" w:hAnsi="Times New Roman" w:eastAsia="黑体" w:cs="Times New Roman"/>
          <w:sz w:val="32"/>
          <w:szCs w:val="32"/>
        </w:rPr>
      </w:pPr>
    </w:p>
    <w:p>
      <w:pPr>
        <w:pStyle w:val="28"/>
        <w:pageBreakBefore w:val="0"/>
        <w:kinsoku/>
        <w:wordWrap/>
        <w:overflowPunct/>
        <w:topLinePunct w:val="0"/>
        <w:bidi w:val="0"/>
        <w:spacing w:line="600" w:lineRule="exact"/>
        <w:outlineLvl w:val="9"/>
        <w:rPr>
          <w:rFonts w:hint="default" w:ascii="Times New Roman" w:hAnsi="Times New Roman" w:eastAsia="黑体" w:cs="Times New Roman"/>
          <w:sz w:val="32"/>
          <w:szCs w:val="32"/>
        </w:rPr>
      </w:pPr>
    </w:p>
    <w:p>
      <w:pPr>
        <w:pStyle w:val="28"/>
        <w:pageBreakBefore w:val="0"/>
        <w:kinsoku/>
        <w:wordWrap/>
        <w:overflowPunct/>
        <w:topLinePunct w:val="0"/>
        <w:bidi w:val="0"/>
        <w:spacing w:line="600" w:lineRule="exact"/>
        <w:outlineLvl w:val="9"/>
        <w:rPr>
          <w:rFonts w:hint="default" w:ascii="Times New Roman" w:hAnsi="Times New Roman" w:eastAsia="黑体" w:cs="Times New Roman"/>
          <w:sz w:val="32"/>
          <w:szCs w:val="32"/>
        </w:rPr>
      </w:pPr>
    </w:p>
    <w:p>
      <w:pPr>
        <w:pStyle w:val="28"/>
        <w:pageBreakBefore w:val="0"/>
        <w:kinsoku/>
        <w:wordWrap/>
        <w:overflowPunct/>
        <w:topLinePunct w:val="0"/>
        <w:bidi w:val="0"/>
        <w:spacing w:line="600" w:lineRule="exact"/>
        <w:outlineLvl w:val="9"/>
        <w:rPr>
          <w:rFonts w:hint="default" w:ascii="Times New Roman" w:hAnsi="Times New Roman" w:eastAsia="黑体" w:cs="Times New Roman"/>
          <w:sz w:val="32"/>
          <w:szCs w:val="32"/>
        </w:rPr>
      </w:pPr>
    </w:p>
    <w:p>
      <w:pPr>
        <w:pStyle w:val="28"/>
        <w:pageBreakBefore w:val="0"/>
        <w:kinsoku/>
        <w:wordWrap/>
        <w:overflowPunct/>
        <w:topLinePunct w:val="0"/>
        <w:bidi w:val="0"/>
        <w:spacing w:line="600" w:lineRule="exact"/>
        <w:outlineLvl w:val="1"/>
        <w:rPr>
          <w:rFonts w:hint="default" w:ascii="Times New Roman" w:hAnsi="Times New Roman" w:eastAsia="黑体" w:cs="Times New Roman"/>
          <w:sz w:val="32"/>
          <w:szCs w:val="32"/>
        </w:rPr>
      </w:pPr>
      <w:bookmarkStart w:id="33" w:name="_Toc10131"/>
    </w:p>
    <w:p>
      <w:pPr>
        <w:pStyle w:val="28"/>
        <w:pageBreakBefore w:val="0"/>
        <w:kinsoku/>
        <w:wordWrap/>
        <w:overflowPunct/>
        <w:topLinePunct w:val="0"/>
        <w:bidi w:val="0"/>
        <w:spacing w:line="600" w:lineRule="exact"/>
        <w:outlineLvl w:val="1"/>
        <w:rPr>
          <w:rStyle w:val="30"/>
          <w:rFonts w:hint="default" w:ascii="Times New Roman" w:hAnsi="Times New Roman" w:eastAsia="黑体" w:cs="Times New Roman"/>
          <w:b w:val="0"/>
        </w:rPr>
      </w:pPr>
      <w:r>
        <w:rPr>
          <w:rFonts w:hint="default" w:ascii="Times New Roman" w:hAnsi="Times New Roman" w:eastAsia="黑体" w:cs="Times New Roman"/>
          <w:sz w:val="32"/>
          <w:szCs w:val="32"/>
        </w:rPr>
        <w:t>二、收</w:t>
      </w:r>
      <w:r>
        <w:rPr>
          <w:rStyle w:val="30"/>
          <w:rFonts w:hint="default" w:ascii="Times New Roman" w:hAnsi="Times New Roman" w:eastAsia="黑体" w:cs="Times New Roman"/>
          <w:b w:val="0"/>
        </w:rPr>
        <w:t>入决算情况说明</w:t>
      </w:r>
      <w:bookmarkEnd w:id="33"/>
    </w:p>
    <w:bookmarkEnd w:id="31"/>
    <w:bookmarkEnd w:id="32"/>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年度本年收入合计</w:t>
      </w:r>
      <w:r>
        <w:rPr>
          <w:rFonts w:hint="default" w:ascii="Times New Roman" w:hAnsi="Times New Roman" w:eastAsia="仿宋_GB2312" w:cs="Times New Roman"/>
          <w:color w:val="auto"/>
          <w:sz w:val="32"/>
          <w:szCs w:val="32"/>
          <w:lang w:val="en-US" w:eastAsia="zh-CN"/>
        </w:rPr>
        <w:t>2588.06</w:t>
      </w:r>
      <w:r>
        <w:rPr>
          <w:rFonts w:hint="default" w:ascii="Times New Roman" w:hAnsi="Times New Roman" w:eastAsia="仿宋_GB2312" w:cs="Times New Roman"/>
          <w:color w:val="auto"/>
          <w:sz w:val="32"/>
          <w:szCs w:val="32"/>
        </w:rPr>
        <w:t>万元，其中：</w:t>
      </w:r>
      <w:bookmarkStart w:id="34" w:name="OLE_LINK2"/>
      <w:r>
        <w:rPr>
          <w:rFonts w:hint="default" w:ascii="Times New Roman" w:hAnsi="Times New Roman" w:eastAsia="仿宋_GB2312" w:cs="Times New Roman"/>
          <w:color w:val="auto"/>
          <w:sz w:val="32"/>
          <w:szCs w:val="32"/>
        </w:rPr>
        <w:t>一般公共预算财政拨款收入</w:t>
      </w:r>
      <w:bookmarkEnd w:id="34"/>
      <w:r>
        <w:rPr>
          <w:rFonts w:hint="default" w:ascii="Times New Roman" w:hAnsi="Times New Roman" w:eastAsia="仿宋_GB2312" w:cs="Times New Roman"/>
          <w:color w:val="auto"/>
          <w:sz w:val="32"/>
          <w:szCs w:val="32"/>
          <w:lang w:val="en-US" w:eastAsia="zh-CN"/>
        </w:rPr>
        <w:t>1981.42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76.56</w:t>
      </w:r>
      <w:r>
        <w:rPr>
          <w:rFonts w:hint="default" w:ascii="Times New Roman" w:hAnsi="Times New Roman" w:eastAsia="仿宋_GB2312" w:cs="Times New Roman"/>
          <w:color w:val="auto"/>
          <w:sz w:val="32"/>
          <w:szCs w:val="32"/>
        </w:rPr>
        <w:t>%；</w:t>
      </w:r>
      <w:bookmarkStart w:id="35" w:name="OLE_LINK3"/>
      <w:r>
        <w:rPr>
          <w:rFonts w:hint="default" w:ascii="Times New Roman" w:hAnsi="Times New Roman" w:eastAsia="仿宋_GB2312" w:cs="Times New Roman"/>
          <w:color w:val="auto"/>
          <w:sz w:val="32"/>
          <w:szCs w:val="32"/>
        </w:rPr>
        <w:t>政府性基金预算财政拨款收入</w:t>
      </w:r>
      <w:bookmarkEnd w:id="35"/>
      <w:r>
        <w:rPr>
          <w:rFonts w:hint="default" w:ascii="Times New Roman" w:hAnsi="Times New Roman" w:eastAsia="仿宋_GB2312" w:cs="Times New Roman"/>
          <w:color w:val="auto"/>
          <w:sz w:val="32"/>
          <w:szCs w:val="32"/>
          <w:lang w:val="en-US" w:eastAsia="zh-CN"/>
        </w:rPr>
        <w:t>436.13</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16.85</w:t>
      </w:r>
      <w:r>
        <w:rPr>
          <w:rFonts w:hint="default" w:ascii="Times New Roman" w:hAnsi="Times New Roman" w:eastAsia="仿宋_GB2312" w:cs="Times New Roman"/>
          <w:color w:val="auto"/>
          <w:sz w:val="32"/>
          <w:szCs w:val="32"/>
        </w:rPr>
        <w:t>%；</w:t>
      </w:r>
      <w:bookmarkStart w:id="36" w:name="OLE_LINK4"/>
      <w:r>
        <w:rPr>
          <w:rFonts w:hint="default" w:ascii="Times New Roman" w:hAnsi="Times New Roman" w:eastAsia="仿宋_GB2312" w:cs="Times New Roman"/>
          <w:color w:val="auto"/>
          <w:sz w:val="32"/>
          <w:szCs w:val="32"/>
        </w:rPr>
        <w:t>其他收入</w:t>
      </w:r>
      <w:bookmarkEnd w:id="36"/>
      <w:r>
        <w:rPr>
          <w:rFonts w:hint="default" w:ascii="Times New Roman" w:hAnsi="Times New Roman" w:eastAsia="仿宋_GB2312" w:cs="Times New Roman"/>
          <w:color w:val="auto"/>
          <w:sz w:val="32"/>
          <w:szCs w:val="32"/>
          <w:lang w:val="en-US" w:eastAsia="zh-CN"/>
        </w:rPr>
        <w:t>170.52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6.59</w:t>
      </w:r>
      <w:r>
        <w:rPr>
          <w:rFonts w:hint="default" w:ascii="Times New Roman" w:hAnsi="Times New Roman" w:eastAsia="仿宋_GB2312" w:cs="Times New Roman"/>
          <w:color w:val="auto"/>
          <w:sz w:val="32"/>
          <w:szCs w:val="32"/>
        </w:rPr>
        <w:t>%。</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（图2：收入决算结构图）（饼状图）</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drawing>
          <wp:anchor distT="0" distB="0" distL="114300" distR="114300" simplePos="0" relativeHeight="251666432" behindDoc="1" locked="0" layoutInCell="1" allowOverlap="1">
            <wp:simplePos x="0" y="0"/>
            <wp:positionH relativeFrom="column">
              <wp:posOffset>544195</wp:posOffset>
            </wp:positionH>
            <wp:positionV relativeFrom="page">
              <wp:posOffset>8305800</wp:posOffset>
            </wp:positionV>
            <wp:extent cx="3195320" cy="1397000"/>
            <wp:effectExtent l="4445" t="5080" r="19685" b="762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600" w:lineRule="exact"/>
        <w:rPr>
          <w:rFonts w:hint="default" w:ascii="Times New Roman" w:hAnsi="Times New Roman" w:eastAsia="黑体" w:cs="Times New Roman"/>
          <w:color w:val="000000"/>
          <w:sz w:val="32"/>
          <w:szCs w:val="32"/>
        </w:rPr>
      </w:pPr>
      <w:bookmarkStart w:id="37" w:name="_Toc15396605"/>
      <w:bookmarkStart w:id="38" w:name="_Toc15377207"/>
    </w:p>
    <w:p>
      <w:pPr>
        <w:pageBreakBefore w:val="0"/>
        <w:kinsoku/>
        <w:wordWrap/>
        <w:overflowPunct/>
        <w:topLinePunct w:val="0"/>
        <w:bidi w:val="0"/>
        <w:spacing w:line="600" w:lineRule="exact"/>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600" w:lineRule="exact"/>
        <w:ind w:firstLine="640" w:firstLineChars="200"/>
        <w:outlineLvl w:val="1"/>
        <w:rPr>
          <w:rStyle w:val="30"/>
          <w:rFonts w:hint="default" w:ascii="Times New Roman" w:hAnsi="Times New Roman" w:eastAsia="黑体" w:cs="Times New Roman"/>
          <w:b w:val="0"/>
        </w:rPr>
      </w:pPr>
      <w:bookmarkStart w:id="39" w:name="_Toc8358"/>
      <w:r>
        <w:rPr>
          <w:rFonts w:hint="default" w:ascii="Times New Roman" w:hAnsi="Times New Roman" w:eastAsia="黑体" w:cs="Times New Roman"/>
          <w:color w:val="000000"/>
          <w:sz w:val="32"/>
          <w:szCs w:val="32"/>
        </w:rPr>
        <w:t>三、支</w:t>
      </w:r>
      <w:r>
        <w:rPr>
          <w:rStyle w:val="30"/>
          <w:rFonts w:hint="default" w:ascii="Times New Roman" w:hAnsi="Times New Roman" w:eastAsia="黑体" w:cs="Times New Roman"/>
          <w:b w:val="0"/>
        </w:rPr>
        <w:t>出决算情况说明</w:t>
      </w:r>
      <w:bookmarkEnd w:id="37"/>
      <w:bookmarkEnd w:id="38"/>
      <w:bookmarkEnd w:id="39"/>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年度本年支出合计</w:t>
      </w:r>
      <w:r>
        <w:rPr>
          <w:rFonts w:hint="default" w:ascii="Times New Roman" w:hAnsi="Times New Roman" w:eastAsia="仿宋_GB2312" w:cs="Times New Roman"/>
          <w:sz w:val="32"/>
          <w:szCs w:val="32"/>
          <w:lang w:val="en-US" w:eastAsia="zh-CN"/>
        </w:rPr>
        <w:t>2588.06</w:t>
      </w:r>
      <w:r>
        <w:rPr>
          <w:rFonts w:hint="default" w:ascii="Times New Roman" w:hAnsi="Times New Roman" w:eastAsia="仿宋_GB2312" w:cs="Times New Roman"/>
          <w:sz w:val="32"/>
          <w:szCs w:val="32"/>
        </w:rPr>
        <w:t>万元，其中：</w:t>
      </w:r>
      <w:bookmarkStart w:id="40" w:name="OLE_LINK5"/>
      <w:r>
        <w:rPr>
          <w:rFonts w:hint="default" w:ascii="Times New Roman" w:hAnsi="Times New Roman" w:eastAsia="仿宋_GB2312" w:cs="Times New Roman"/>
          <w:sz w:val="32"/>
          <w:szCs w:val="32"/>
        </w:rPr>
        <w:t>基本支出</w:t>
      </w:r>
      <w:bookmarkEnd w:id="40"/>
      <w:r>
        <w:rPr>
          <w:rFonts w:hint="default" w:ascii="Times New Roman" w:hAnsi="Times New Roman" w:eastAsia="仿宋_GB2312" w:cs="Times New Roman"/>
          <w:sz w:val="32"/>
          <w:szCs w:val="32"/>
          <w:lang w:val="en-US" w:eastAsia="zh-CN"/>
        </w:rPr>
        <w:t>1376.44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53.18</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1211.62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46.82</w:t>
      </w:r>
      <w:r>
        <w:rPr>
          <w:rFonts w:hint="default" w:ascii="Times New Roman" w:hAnsi="Times New Roman" w:eastAsia="仿宋_GB2312" w:cs="Times New Roman"/>
          <w:sz w:val="32"/>
          <w:szCs w:val="32"/>
        </w:rPr>
        <w:t>%。</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（图3：支出决算结构图）（饼状图）</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drawing>
          <wp:anchor distT="0" distB="0" distL="114300" distR="114300" simplePos="0" relativeHeight="251661312" behindDoc="1" locked="0" layoutInCell="1" allowOverlap="1">
            <wp:simplePos x="0" y="0"/>
            <wp:positionH relativeFrom="column">
              <wp:posOffset>458470</wp:posOffset>
            </wp:positionH>
            <wp:positionV relativeFrom="paragraph">
              <wp:posOffset>156210</wp:posOffset>
            </wp:positionV>
            <wp:extent cx="3415665" cy="1821180"/>
            <wp:effectExtent l="4445" t="4445" r="8890" b="22225"/>
            <wp:wrapTight wrapText="bothSides">
              <wp:wrapPolygon>
                <wp:start x="-28" y="-53"/>
                <wp:lineTo x="-28" y="21412"/>
                <wp:lineTo x="21536" y="21412"/>
                <wp:lineTo x="21536" y="-53"/>
                <wp:lineTo x="-28" y="-53"/>
              </wp:wrapPolygon>
            </wp:wrapTight>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FF0000"/>
          <w:sz w:val="32"/>
          <w:szCs w:val="32"/>
        </w:rPr>
      </w:pP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FF0000"/>
          <w:sz w:val="32"/>
          <w:szCs w:val="32"/>
        </w:rPr>
      </w:pP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FF0000"/>
          <w:sz w:val="32"/>
          <w:szCs w:val="32"/>
        </w:rPr>
      </w:pPr>
    </w:p>
    <w:p>
      <w:pPr>
        <w:pageBreakBefore w:val="0"/>
        <w:kinsoku/>
        <w:wordWrap/>
        <w:overflowPunct/>
        <w:topLinePunct w:val="0"/>
        <w:bidi w:val="0"/>
        <w:spacing w:line="600" w:lineRule="exact"/>
        <w:rPr>
          <w:rFonts w:hint="default" w:ascii="Times New Roman" w:hAnsi="Times New Roman" w:eastAsia="仿宋_GB2312" w:cs="Times New Roman"/>
          <w:color w:val="FF0000"/>
          <w:sz w:val="32"/>
          <w:szCs w:val="32"/>
        </w:rPr>
      </w:pPr>
    </w:p>
    <w:p>
      <w:pPr>
        <w:pageBreakBefore w:val="0"/>
        <w:kinsoku/>
        <w:wordWrap/>
        <w:overflowPunct/>
        <w:topLinePunct w:val="0"/>
        <w:bidi w:val="0"/>
        <w:spacing w:line="600" w:lineRule="exact"/>
        <w:ind w:firstLine="640" w:firstLineChars="200"/>
        <w:outlineLvl w:val="1"/>
        <w:rPr>
          <w:rStyle w:val="30"/>
          <w:rFonts w:hint="default" w:ascii="Times New Roman" w:hAnsi="Times New Roman" w:eastAsia="黑体" w:cs="Times New Roman"/>
          <w:b w:val="0"/>
        </w:rPr>
      </w:pPr>
      <w:bookmarkStart w:id="41" w:name="_Toc15396606"/>
      <w:bookmarkStart w:id="42" w:name="_Toc15377208"/>
      <w:bookmarkStart w:id="43" w:name="_Toc13597"/>
      <w:r>
        <w:rPr>
          <w:rFonts w:hint="default" w:ascii="Times New Roman" w:hAnsi="Times New Roman" w:eastAsia="黑体" w:cs="Times New Roman"/>
          <w:color w:val="000000"/>
          <w:sz w:val="32"/>
          <w:szCs w:val="32"/>
        </w:rPr>
        <w:t>四、财</w:t>
      </w:r>
      <w:r>
        <w:rPr>
          <w:rStyle w:val="30"/>
          <w:rFonts w:hint="default" w:ascii="Times New Roman" w:hAnsi="Times New Roman" w:eastAsia="黑体" w:cs="Times New Roman"/>
          <w:b w:val="0"/>
        </w:rPr>
        <w:t>政拨款收入支出决算总体情况说明</w:t>
      </w:r>
      <w:bookmarkEnd w:id="41"/>
      <w:bookmarkEnd w:id="42"/>
      <w:bookmarkEnd w:id="43"/>
    </w:p>
    <w:p>
      <w:pPr>
        <w:pageBreakBefore w:val="0"/>
        <w:kinsoku/>
        <w:wordWrap/>
        <w:overflowPunct/>
        <w:topLinePunct w:val="0"/>
        <w:bidi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w:t>
      </w:r>
      <w:bookmarkStart w:id="44" w:name="OLE_LINK6"/>
      <w:r>
        <w:rPr>
          <w:rFonts w:hint="default" w:ascii="Times New Roman" w:hAnsi="Times New Roman" w:eastAsia="仿宋_GB2312" w:cs="Times New Roman"/>
          <w:sz w:val="32"/>
          <w:szCs w:val="32"/>
        </w:rPr>
        <w:t>财政拨款收、支总计</w:t>
      </w:r>
      <w:bookmarkEnd w:id="44"/>
      <w:r>
        <w:rPr>
          <w:rFonts w:hint="default" w:ascii="Times New Roman" w:hAnsi="Times New Roman" w:eastAsia="仿宋_GB2312" w:cs="Times New Roman"/>
          <w:sz w:val="32"/>
          <w:szCs w:val="32"/>
        </w:rPr>
        <w:t>均为</w:t>
      </w:r>
      <w:r>
        <w:rPr>
          <w:rFonts w:hint="default" w:ascii="Times New Roman" w:hAnsi="Times New Roman" w:eastAsia="仿宋_GB2312" w:cs="Times New Roman"/>
          <w:sz w:val="32"/>
          <w:szCs w:val="32"/>
          <w:lang w:val="en-US" w:eastAsia="zh-CN"/>
        </w:rPr>
        <w:t>2417.55</w:t>
      </w:r>
      <w:r>
        <w:rPr>
          <w:rFonts w:hint="default" w:ascii="Times New Roman" w:hAnsi="Times New Roman" w:eastAsia="仿宋_GB2312" w:cs="Times New Roman"/>
          <w:sz w:val="32"/>
          <w:szCs w:val="32"/>
        </w:rPr>
        <w:t>万元。与202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年度相比，财政拨款收、支总计各增加</w:t>
      </w:r>
      <w:r>
        <w:rPr>
          <w:rFonts w:hint="default" w:ascii="Times New Roman" w:hAnsi="Times New Roman" w:eastAsia="仿宋_GB2312" w:cs="Times New Roman"/>
          <w:sz w:val="32"/>
          <w:szCs w:val="32"/>
          <w:lang w:val="en-US" w:eastAsia="zh-CN"/>
        </w:rPr>
        <w:t>28.56</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1.18</w:t>
      </w:r>
      <w:r>
        <w:rPr>
          <w:rFonts w:hint="default" w:ascii="Times New Roman" w:hAnsi="Times New Roman" w:eastAsia="仿宋_GB2312" w:cs="Times New Roman"/>
          <w:sz w:val="32"/>
          <w:szCs w:val="32"/>
        </w:rPr>
        <w:t>%。主要变动原</w:t>
      </w:r>
      <w:r>
        <w:rPr>
          <w:rFonts w:hint="default" w:ascii="Times New Roman" w:hAnsi="Times New Roman" w:eastAsia="仿宋_GB2312" w:cs="Times New Roman"/>
          <w:sz w:val="32"/>
          <w:szCs w:val="32"/>
          <w:highlight w:val="none"/>
        </w:rPr>
        <w:t>因是202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年项目收入、支出增加。</w:t>
      </w:r>
    </w:p>
    <w:p>
      <w:pPr>
        <w:pageBreakBefore w:val="0"/>
        <w:kinsoku/>
        <w:wordWrap/>
        <w:overflowPunct/>
        <w:topLinePunct w:val="0"/>
        <w:bidi w:val="0"/>
        <w:spacing w:line="60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（图4：财政拨款收、支决算总计变动情况）（柱状图）</w:t>
      </w:r>
    </w:p>
    <w:p>
      <w:pPr>
        <w:pageBreakBefore w:val="0"/>
        <w:kinsoku/>
        <w:wordWrap/>
        <w:overflowPunct/>
        <w:topLinePunct w:val="0"/>
        <w:bidi w:val="0"/>
        <w:spacing w:line="600" w:lineRule="exact"/>
        <w:ind w:firstLine="640"/>
        <w:rPr>
          <w:rFonts w:hint="default" w:ascii="Times New Roman" w:hAnsi="Times New Roman" w:eastAsia="仿宋" w:cs="Times New Roman"/>
          <w:b/>
          <w:color w:val="00B050"/>
          <w:sz w:val="32"/>
          <w:szCs w:val="32"/>
        </w:rPr>
      </w:pPr>
      <w:r>
        <w:rPr>
          <w:rFonts w:hint="default" w:ascii="Times New Roman" w:hAnsi="Times New Roman" w:eastAsia="仿宋" w:cs="Times New Roman"/>
          <w:b/>
          <w:color w:val="00B050"/>
          <w:sz w:val="32"/>
          <w:szCs w:val="32"/>
        </w:rPr>
        <w:drawing>
          <wp:anchor distT="0" distB="0" distL="114300" distR="114300" simplePos="0" relativeHeight="251662336" behindDoc="1" locked="0" layoutInCell="1" allowOverlap="1">
            <wp:simplePos x="0" y="0"/>
            <wp:positionH relativeFrom="column">
              <wp:posOffset>561340</wp:posOffset>
            </wp:positionH>
            <wp:positionV relativeFrom="paragraph">
              <wp:posOffset>155575</wp:posOffset>
            </wp:positionV>
            <wp:extent cx="4490085" cy="2414270"/>
            <wp:effectExtent l="4445" t="4445" r="20320" b="19685"/>
            <wp:wrapTight wrapText="bothSides">
              <wp:wrapPolygon>
                <wp:start x="-21" y="-40"/>
                <wp:lineTo x="-21" y="21435"/>
                <wp:lineTo x="21514" y="21435"/>
                <wp:lineTo x="21514" y="-40"/>
                <wp:lineTo x="-21" y="-40"/>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kinsoku/>
        <w:wordWrap/>
        <w:overflowPunct/>
        <w:topLinePunct w:val="0"/>
        <w:bidi w:val="0"/>
        <w:spacing w:line="600" w:lineRule="exact"/>
        <w:ind w:firstLine="640" w:firstLineChars="200"/>
        <w:rPr>
          <w:rFonts w:hint="default" w:ascii="Times New Roman" w:hAnsi="Times New Roman" w:eastAsia="黑体" w:cs="Times New Roman"/>
          <w:color w:val="000000"/>
          <w:sz w:val="32"/>
          <w:szCs w:val="32"/>
        </w:rPr>
      </w:pPr>
      <w:bookmarkStart w:id="45" w:name="_Toc15396607"/>
      <w:bookmarkStart w:id="46" w:name="_Toc15377209"/>
    </w:p>
    <w:p>
      <w:pPr>
        <w:pageBreakBefore w:val="0"/>
        <w:kinsoku/>
        <w:wordWrap/>
        <w:overflowPunct/>
        <w:topLinePunct w:val="0"/>
        <w:bidi w:val="0"/>
        <w:spacing w:line="600" w:lineRule="exact"/>
        <w:ind w:firstLine="640" w:firstLineChars="200"/>
        <w:rPr>
          <w:rFonts w:hint="default" w:ascii="Times New Roman" w:hAnsi="Times New Roman" w:eastAsia="黑体" w:cs="Times New Roman"/>
          <w:color w:val="000000"/>
          <w:sz w:val="32"/>
          <w:szCs w:val="32"/>
        </w:rPr>
      </w:pPr>
    </w:p>
    <w:p>
      <w:pPr>
        <w:pageBreakBefore w:val="0"/>
        <w:kinsoku/>
        <w:wordWrap/>
        <w:overflowPunct/>
        <w:topLinePunct w:val="0"/>
        <w:bidi w:val="0"/>
        <w:spacing w:line="600" w:lineRule="exact"/>
        <w:rPr>
          <w:rFonts w:hint="default" w:ascii="Times New Roman" w:hAnsi="Times New Roman" w:eastAsia="黑体" w:cs="Times New Roman"/>
          <w:color w:val="000000"/>
          <w:sz w:val="32"/>
          <w:szCs w:val="32"/>
        </w:rPr>
      </w:pPr>
    </w:p>
    <w:p>
      <w:pPr>
        <w:pageBreakBefore w:val="0"/>
        <w:kinsoku/>
        <w:wordWrap/>
        <w:overflowPunct/>
        <w:topLinePunct w:val="0"/>
        <w:bidi w:val="0"/>
        <w:spacing w:line="600" w:lineRule="exact"/>
        <w:ind w:firstLine="640" w:firstLineChars="200"/>
        <w:outlineLvl w:val="1"/>
        <w:rPr>
          <w:rStyle w:val="30"/>
          <w:rFonts w:hint="default" w:ascii="Times New Roman" w:hAnsi="Times New Roman" w:eastAsia="黑体" w:cs="Times New Roman"/>
          <w:b w:val="0"/>
        </w:rPr>
      </w:pPr>
      <w:bookmarkStart w:id="47" w:name="_Toc27220"/>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30"/>
          <w:rFonts w:hint="default" w:ascii="Times New Roman" w:hAnsi="Times New Roman" w:eastAsia="黑体" w:cs="Times New Roman"/>
          <w:b w:val="0"/>
        </w:rPr>
        <w:t>般公共预算财政拨款支出决算情况说明</w:t>
      </w:r>
      <w:bookmarkEnd w:id="45"/>
      <w:bookmarkEnd w:id="46"/>
      <w:bookmarkEnd w:id="47"/>
    </w:p>
    <w:p>
      <w:pPr>
        <w:pageBreakBefore w:val="0"/>
        <w:kinsoku/>
        <w:wordWrap/>
        <w:overflowPunct/>
        <w:topLinePunct w:val="0"/>
        <w:bidi w:val="0"/>
        <w:spacing w:line="600" w:lineRule="exact"/>
        <w:ind w:firstLine="643" w:firstLineChars="200"/>
        <w:outlineLvl w:val="2"/>
        <w:rPr>
          <w:rFonts w:hint="eastAsia" w:ascii="楷体_GB2312" w:hAnsi="楷体_GB2312" w:eastAsia="楷体_GB2312" w:cs="楷体_GB2312"/>
          <w:b/>
          <w:color w:val="000000"/>
          <w:sz w:val="32"/>
          <w:szCs w:val="32"/>
        </w:rPr>
      </w:pPr>
      <w:bookmarkStart w:id="48" w:name="_Toc15377210"/>
      <w:bookmarkStart w:id="49" w:name="_Toc9375"/>
      <w:bookmarkStart w:id="50" w:name="_Toc24006"/>
      <w:r>
        <w:rPr>
          <w:rFonts w:hint="eastAsia" w:ascii="楷体_GB2312" w:hAnsi="楷体_GB2312" w:eastAsia="楷体_GB2312" w:cs="楷体_GB2312"/>
          <w:b/>
          <w:color w:val="000000"/>
          <w:sz w:val="32"/>
          <w:szCs w:val="32"/>
        </w:rPr>
        <w:t>（一）一般公共预算财政拨款支出决算总体情况</w:t>
      </w:r>
      <w:bookmarkEnd w:id="48"/>
      <w:bookmarkEnd w:id="49"/>
      <w:bookmarkEnd w:id="50"/>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年度一般公共预算财政拨款支出</w:t>
      </w:r>
      <w:r>
        <w:rPr>
          <w:rFonts w:hint="default" w:ascii="Times New Roman" w:hAnsi="Times New Roman" w:eastAsia="仿宋_GB2312" w:cs="Times New Roman"/>
          <w:sz w:val="32"/>
          <w:szCs w:val="32"/>
          <w:lang w:val="en-US" w:eastAsia="zh-CN"/>
        </w:rPr>
        <w:t>1981.42</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76.56</w:t>
      </w:r>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年度相比，一般公共预算财政拨款支出</w:t>
      </w:r>
      <w:r>
        <w:rPr>
          <w:rFonts w:hint="default" w:ascii="Times New Roman" w:hAnsi="Times New Roman" w:eastAsia="仿宋_GB2312" w:cs="Times New Roman"/>
          <w:sz w:val="32"/>
          <w:szCs w:val="32"/>
          <w:lang w:val="en-US" w:eastAsia="zh-CN"/>
        </w:rPr>
        <w:t>减少263.69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减少11.75</w:t>
      </w:r>
      <w:r>
        <w:rPr>
          <w:rFonts w:hint="default" w:ascii="Times New Roman" w:hAnsi="Times New Roman" w:eastAsia="仿宋_GB2312" w:cs="Times New Roman"/>
          <w:sz w:val="32"/>
          <w:szCs w:val="32"/>
        </w:rPr>
        <w:t>%。主要变动原</w:t>
      </w:r>
      <w:r>
        <w:rPr>
          <w:rFonts w:hint="default" w:ascii="Times New Roman" w:hAnsi="Times New Roman" w:eastAsia="仿宋_GB2312" w:cs="Times New Roman"/>
          <w:sz w:val="32"/>
          <w:szCs w:val="32"/>
          <w:highlight w:val="none"/>
        </w:rPr>
        <w:t>因是202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年项目支出</w:t>
      </w:r>
      <w:r>
        <w:rPr>
          <w:rFonts w:hint="default" w:ascii="Times New Roman" w:hAnsi="Times New Roman"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rPr>
        <w:t>。</w:t>
      </w: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（图5：一般公共预算财政拨款支出决算变动情况）（柱状图）</w:t>
      </w: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drawing>
          <wp:anchor distT="0" distB="0" distL="114300" distR="114300" simplePos="0" relativeHeight="251663360" behindDoc="1" locked="0" layoutInCell="1" allowOverlap="1">
            <wp:simplePos x="0" y="0"/>
            <wp:positionH relativeFrom="column">
              <wp:posOffset>426085</wp:posOffset>
            </wp:positionH>
            <wp:positionV relativeFrom="paragraph">
              <wp:posOffset>60960</wp:posOffset>
            </wp:positionV>
            <wp:extent cx="4115435" cy="2218055"/>
            <wp:effectExtent l="4445" t="4445" r="13970" b="6350"/>
            <wp:wrapTight wrapText="bothSides">
              <wp:wrapPolygon>
                <wp:start x="-23" y="-43"/>
                <wp:lineTo x="-23" y="21476"/>
                <wp:lineTo x="21573" y="21476"/>
                <wp:lineTo x="21573" y="-43"/>
                <wp:lineTo x="-23" y="-43"/>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pPr>
        <w:pageBreakBefore w:val="0"/>
        <w:kinsoku/>
        <w:wordWrap/>
        <w:overflowPunct/>
        <w:topLinePunct w:val="0"/>
        <w:bidi w:val="0"/>
        <w:spacing w:line="600" w:lineRule="exact"/>
        <w:ind w:firstLine="643" w:firstLineChars="200"/>
        <w:rPr>
          <w:rFonts w:hint="default" w:ascii="Times New Roman" w:hAnsi="Times New Roman" w:eastAsia="仿宋" w:cs="Times New Roman"/>
          <w:b/>
          <w:color w:val="000000"/>
          <w:sz w:val="32"/>
          <w:szCs w:val="32"/>
        </w:rPr>
      </w:pPr>
      <w:bookmarkStart w:id="51" w:name="_Toc15377211"/>
    </w:p>
    <w:p>
      <w:pPr>
        <w:pageBreakBefore w:val="0"/>
        <w:kinsoku/>
        <w:wordWrap/>
        <w:overflowPunct/>
        <w:topLinePunct w:val="0"/>
        <w:bidi w:val="0"/>
        <w:spacing w:line="600" w:lineRule="exact"/>
        <w:ind w:firstLine="643" w:firstLineChars="200"/>
        <w:outlineLvl w:val="2"/>
        <w:rPr>
          <w:rFonts w:hint="eastAsia" w:ascii="楷体_GB2312" w:hAnsi="楷体_GB2312" w:eastAsia="楷体_GB2312" w:cs="楷体_GB2312"/>
          <w:b/>
          <w:color w:val="000000"/>
          <w:sz w:val="32"/>
          <w:szCs w:val="32"/>
        </w:rPr>
      </w:pPr>
      <w:bookmarkStart w:id="52" w:name="_Toc19008"/>
      <w:bookmarkStart w:id="53" w:name="_Toc18783"/>
      <w:r>
        <w:rPr>
          <w:rFonts w:hint="eastAsia" w:ascii="楷体_GB2312" w:hAnsi="楷体_GB2312" w:eastAsia="楷体_GB2312" w:cs="楷体_GB2312"/>
          <w:b/>
          <w:color w:val="000000"/>
          <w:sz w:val="32"/>
          <w:szCs w:val="32"/>
        </w:rPr>
        <w:t>（二）一般公共预算财政拨款支出决算结构情况</w:t>
      </w:r>
      <w:bookmarkEnd w:id="51"/>
      <w:bookmarkEnd w:id="52"/>
      <w:bookmarkEnd w:id="53"/>
    </w:p>
    <w:p>
      <w:pPr>
        <w:pageBreakBefore w:val="0"/>
        <w:kinsoku/>
        <w:wordWrap/>
        <w:overflowPunct/>
        <w:topLinePunct w:val="0"/>
        <w:bidi w:val="0"/>
        <w:spacing w:line="600" w:lineRule="exact"/>
        <w:ind w:firstLine="64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2023年度一般公共预算财政拨款支出</w:t>
      </w:r>
      <w:r>
        <w:rPr>
          <w:rFonts w:hint="default" w:ascii="Times New Roman" w:hAnsi="Times New Roman" w:eastAsia="仿宋_GB2312" w:cs="Times New Roman"/>
          <w:b w:val="0"/>
          <w:bCs w:val="0"/>
          <w:sz w:val="32"/>
          <w:szCs w:val="32"/>
          <w:lang w:val="en-US" w:eastAsia="zh-CN"/>
        </w:rPr>
        <w:t>1981.42</w:t>
      </w:r>
      <w:r>
        <w:rPr>
          <w:rFonts w:hint="default" w:ascii="Times New Roman" w:hAnsi="Times New Roman" w:eastAsia="仿宋_GB2312" w:cs="Times New Roman"/>
          <w:b w:val="0"/>
          <w:bCs w:val="0"/>
          <w:sz w:val="32"/>
          <w:szCs w:val="32"/>
        </w:rPr>
        <w:t>万元，主要用于以下方面:</w:t>
      </w:r>
      <w:bookmarkStart w:id="54" w:name="OLE_LINK7"/>
      <w:r>
        <w:rPr>
          <w:rFonts w:hint="default" w:ascii="Times New Roman" w:hAnsi="Times New Roman" w:eastAsia="仿宋_GB2312" w:cs="Times New Roman"/>
          <w:b w:val="0"/>
          <w:bCs w:val="0"/>
          <w:sz w:val="32"/>
          <w:szCs w:val="32"/>
        </w:rPr>
        <w:t>社会保障和就业支出</w:t>
      </w:r>
      <w:bookmarkEnd w:id="54"/>
      <w:r>
        <w:rPr>
          <w:rFonts w:hint="default" w:ascii="Times New Roman" w:hAnsi="Times New Roman" w:eastAsia="仿宋_GB2312" w:cs="Times New Roman"/>
          <w:b w:val="0"/>
          <w:bCs w:val="0"/>
          <w:sz w:val="32"/>
          <w:szCs w:val="32"/>
        </w:rPr>
        <w:t>22</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06</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11.21</w:t>
      </w:r>
      <w:r>
        <w:rPr>
          <w:rFonts w:hint="default" w:ascii="Times New Roman" w:hAnsi="Times New Roman" w:eastAsia="仿宋_GB2312" w:cs="Times New Roman"/>
          <w:b w:val="0"/>
          <w:bCs w:val="0"/>
          <w:sz w:val="32"/>
          <w:szCs w:val="32"/>
        </w:rPr>
        <w:t>%；</w:t>
      </w:r>
      <w:bookmarkStart w:id="55" w:name="OLE_LINK8"/>
      <w:r>
        <w:rPr>
          <w:rFonts w:hint="default" w:ascii="Times New Roman" w:hAnsi="Times New Roman" w:eastAsia="仿宋_GB2312" w:cs="Times New Roman"/>
          <w:b w:val="0"/>
          <w:bCs w:val="0"/>
          <w:sz w:val="32"/>
          <w:szCs w:val="32"/>
        </w:rPr>
        <w:t>卫生健康支出</w:t>
      </w:r>
      <w:bookmarkEnd w:id="55"/>
      <w:r>
        <w:rPr>
          <w:rFonts w:hint="default" w:ascii="Times New Roman" w:hAnsi="Times New Roman" w:eastAsia="仿宋_GB2312" w:cs="Times New Roman"/>
          <w:b w:val="0"/>
          <w:bCs w:val="0"/>
          <w:sz w:val="32"/>
          <w:szCs w:val="32"/>
          <w:lang w:val="en-US" w:eastAsia="zh-CN"/>
        </w:rPr>
        <w:t>63.19</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3.19</w:t>
      </w:r>
      <w:r>
        <w:rPr>
          <w:rFonts w:hint="default" w:ascii="Times New Roman" w:hAnsi="Times New Roman" w:eastAsia="仿宋_GB2312" w:cs="Times New Roman"/>
          <w:b w:val="0"/>
          <w:bCs w:val="0"/>
          <w:sz w:val="32"/>
          <w:szCs w:val="32"/>
        </w:rPr>
        <w:t>%；</w:t>
      </w:r>
      <w:bookmarkStart w:id="56" w:name="OLE_LINK9"/>
      <w:r>
        <w:rPr>
          <w:rFonts w:hint="default" w:ascii="Times New Roman" w:hAnsi="Times New Roman" w:eastAsia="仿宋_GB2312" w:cs="Times New Roman"/>
          <w:b w:val="0"/>
          <w:bCs w:val="0"/>
          <w:sz w:val="32"/>
          <w:szCs w:val="32"/>
        </w:rPr>
        <w:t>农林水支出</w:t>
      </w:r>
      <w:bookmarkEnd w:id="56"/>
      <w:r>
        <w:rPr>
          <w:rFonts w:hint="default" w:ascii="Times New Roman" w:hAnsi="Times New Roman" w:eastAsia="仿宋_GB2312" w:cs="Times New Roman"/>
          <w:b w:val="0"/>
          <w:bCs w:val="0"/>
          <w:sz w:val="32"/>
          <w:szCs w:val="32"/>
          <w:lang w:val="en-US" w:eastAsia="zh-CN"/>
        </w:rPr>
        <w:t>92.8</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4.68</w:t>
      </w:r>
      <w:r>
        <w:rPr>
          <w:rFonts w:hint="default" w:ascii="Times New Roman" w:hAnsi="Times New Roman" w:eastAsia="仿宋_GB2312" w:cs="Times New Roman"/>
          <w:b w:val="0"/>
          <w:bCs w:val="0"/>
          <w:sz w:val="32"/>
          <w:szCs w:val="32"/>
        </w:rPr>
        <w:t>%；</w:t>
      </w:r>
      <w:bookmarkStart w:id="57" w:name="OLE_LINK10"/>
      <w:r>
        <w:rPr>
          <w:rFonts w:hint="default" w:ascii="Times New Roman" w:hAnsi="Times New Roman" w:eastAsia="仿宋_GB2312" w:cs="Times New Roman"/>
          <w:b w:val="0"/>
          <w:bCs w:val="0"/>
          <w:sz w:val="32"/>
          <w:szCs w:val="32"/>
        </w:rPr>
        <w:t>交通运输支出</w:t>
      </w:r>
      <w:bookmarkEnd w:id="57"/>
      <w:r>
        <w:rPr>
          <w:rFonts w:hint="default" w:ascii="Times New Roman" w:hAnsi="Times New Roman" w:eastAsia="仿宋_GB2312" w:cs="Times New Roman"/>
          <w:b w:val="0"/>
          <w:bCs w:val="0"/>
          <w:sz w:val="32"/>
          <w:szCs w:val="32"/>
          <w:lang w:val="en-US" w:eastAsia="zh-CN"/>
        </w:rPr>
        <w:t>1506.75</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76.04</w:t>
      </w:r>
      <w:r>
        <w:rPr>
          <w:rFonts w:hint="default" w:ascii="Times New Roman" w:hAnsi="Times New Roman" w:eastAsia="仿宋_GB2312" w:cs="Times New Roman"/>
          <w:b w:val="0"/>
          <w:bCs w:val="0"/>
          <w:sz w:val="32"/>
          <w:szCs w:val="32"/>
        </w:rPr>
        <w:t>%；</w:t>
      </w:r>
      <w:bookmarkStart w:id="58" w:name="OLE_LINK11"/>
      <w:r>
        <w:rPr>
          <w:rFonts w:hint="default" w:ascii="Times New Roman" w:hAnsi="Times New Roman" w:eastAsia="仿宋_GB2312" w:cs="Times New Roman"/>
          <w:b w:val="0"/>
          <w:bCs w:val="0"/>
          <w:sz w:val="32"/>
          <w:szCs w:val="32"/>
        </w:rPr>
        <w:t>住房保障支出</w:t>
      </w:r>
      <w:bookmarkEnd w:id="58"/>
      <w:r>
        <w:rPr>
          <w:rFonts w:hint="default" w:ascii="Times New Roman" w:hAnsi="Times New Roman" w:eastAsia="仿宋_GB2312" w:cs="Times New Roman"/>
          <w:b w:val="0"/>
          <w:bCs w:val="0"/>
          <w:sz w:val="32"/>
          <w:szCs w:val="32"/>
          <w:lang w:val="en-US" w:eastAsia="zh-CN"/>
        </w:rPr>
        <w:t>96.62</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4.88</w:t>
      </w:r>
      <w:r>
        <w:rPr>
          <w:rFonts w:hint="default" w:ascii="Times New Roman" w:hAnsi="Times New Roman" w:eastAsia="仿宋_GB2312" w:cs="Times New Roman"/>
          <w:b w:val="0"/>
          <w:bCs w:val="0"/>
          <w:sz w:val="32"/>
          <w:szCs w:val="32"/>
        </w:rPr>
        <w:t>%。</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drawing>
          <wp:anchor distT="0" distB="0" distL="114300" distR="114300" simplePos="0" relativeHeight="251665408" behindDoc="1" locked="0" layoutInCell="1" allowOverlap="1">
            <wp:simplePos x="0" y="0"/>
            <wp:positionH relativeFrom="column">
              <wp:posOffset>582930</wp:posOffset>
            </wp:positionH>
            <wp:positionV relativeFrom="paragraph">
              <wp:posOffset>363855</wp:posOffset>
            </wp:positionV>
            <wp:extent cx="3579495" cy="1271905"/>
            <wp:effectExtent l="4445" t="4445" r="16510" b="19050"/>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default" w:ascii="Times New Roman" w:hAnsi="Times New Roman" w:eastAsia="仿宋_GB2312" w:cs="Times New Roman"/>
          <w:b w:val="0"/>
          <w:bCs w:val="0"/>
          <w:color w:val="000000"/>
          <w:sz w:val="32"/>
          <w:szCs w:val="32"/>
        </w:rPr>
        <w:t>（图6：一般公共预算财政拨款支出决算结构）（饼状图）</w:t>
      </w:r>
    </w:p>
    <w:p>
      <w:pPr>
        <w:pageBreakBefore w:val="0"/>
        <w:kinsoku/>
        <w:wordWrap/>
        <w:overflowPunct/>
        <w:topLinePunct w:val="0"/>
        <w:bidi w:val="0"/>
        <w:spacing w:line="600" w:lineRule="exact"/>
        <w:ind w:firstLine="640" w:firstLineChars="200"/>
        <w:rPr>
          <w:rFonts w:hint="default" w:ascii="Times New Roman" w:hAnsi="Times New Roman" w:eastAsia="仿宋" w:cs="Times New Roman"/>
          <w:color w:val="000000"/>
          <w:sz w:val="32"/>
          <w:szCs w:val="32"/>
        </w:rPr>
      </w:pPr>
    </w:p>
    <w:p>
      <w:pPr>
        <w:pageBreakBefore w:val="0"/>
        <w:kinsoku/>
        <w:wordWrap/>
        <w:overflowPunct/>
        <w:topLinePunct w:val="0"/>
        <w:bidi w:val="0"/>
        <w:spacing w:line="600" w:lineRule="exact"/>
        <w:rPr>
          <w:rFonts w:hint="eastAsia" w:ascii="楷体_GB2312" w:hAnsi="楷体_GB2312" w:eastAsia="楷体_GB2312" w:cs="楷体_GB2312"/>
          <w:b/>
          <w:color w:val="000000"/>
          <w:sz w:val="32"/>
          <w:szCs w:val="32"/>
        </w:rPr>
      </w:pPr>
      <w:bookmarkStart w:id="59" w:name="_Toc15377212"/>
    </w:p>
    <w:p>
      <w:pPr>
        <w:pStyle w:val="2"/>
        <w:rPr>
          <w:rFonts w:hint="eastAsia"/>
        </w:rPr>
      </w:pPr>
    </w:p>
    <w:p>
      <w:pPr>
        <w:pageBreakBefore w:val="0"/>
        <w:kinsoku/>
        <w:wordWrap/>
        <w:overflowPunct/>
        <w:topLinePunct w:val="0"/>
        <w:bidi w:val="0"/>
        <w:spacing w:line="600" w:lineRule="exact"/>
        <w:ind w:firstLine="472" w:firstLineChars="147"/>
        <w:outlineLvl w:val="2"/>
        <w:rPr>
          <w:rFonts w:hint="eastAsia" w:ascii="楷体_GB2312" w:hAnsi="楷体_GB2312" w:eastAsia="楷体_GB2312" w:cs="楷体_GB2312"/>
          <w:b/>
          <w:color w:val="000000"/>
          <w:sz w:val="32"/>
          <w:szCs w:val="32"/>
        </w:rPr>
      </w:pPr>
      <w:bookmarkStart w:id="60" w:name="_Toc21331"/>
      <w:bookmarkStart w:id="61" w:name="_Toc30522"/>
      <w:r>
        <w:rPr>
          <w:rFonts w:hint="eastAsia" w:ascii="楷体_GB2312" w:hAnsi="楷体_GB2312" w:eastAsia="楷体_GB2312" w:cs="楷体_GB2312"/>
          <w:b/>
          <w:color w:val="000000"/>
          <w:sz w:val="32"/>
          <w:szCs w:val="32"/>
        </w:rPr>
        <w:t>（三）一般公共预算财政拨款支出决算具体情况</w:t>
      </w:r>
      <w:bookmarkEnd w:id="59"/>
      <w:bookmarkEnd w:id="60"/>
      <w:bookmarkEnd w:id="61"/>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b w:val="0"/>
          <w:bCs/>
          <w:color w:val="FF0000"/>
          <w:sz w:val="32"/>
          <w:szCs w:val="32"/>
        </w:rPr>
      </w:pPr>
      <w:bookmarkStart w:id="62" w:name="_Toc15377213"/>
      <w:bookmarkStart w:id="63" w:name="_Toc15378460"/>
      <w:bookmarkStart w:id="64" w:name="_Toc15377444"/>
      <w:r>
        <w:rPr>
          <w:rFonts w:hint="default" w:ascii="Times New Roman" w:hAnsi="Times New Roman" w:eastAsia="仿宋_GB2312" w:cs="Times New Roman"/>
          <w:b w:val="0"/>
          <w:bCs/>
          <w:color w:val="000000" w:themeColor="text1"/>
          <w:sz w:val="32"/>
          <w:szCs w:val="32"/>
          <w14:textFill>
            <w14:solidFill>
              <w14:schemeClr w14:val="tx1"/>
            </w14:solidFill>
          </w14:textFill>
        </w:rPr>
        <w:t>202</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color w:val="000000" w:themeColor="text1"/>
          <w:sz w:val="32"/>
          <w:szCs w:val="32"/>
          <w14:textFill>
            <w14:solidFill>
              <w14:schemeClr w14:val="tx1"/>
            </w14:solidFill>
          </w14:textFill>
        </w:rPr>
        <w:t>年一般公共预算支出决算数为</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1981.42</w:t>
      </w:r>
      <w:r>
        <w:rPr>
          <w:rFonts w:hint="default" w:ascii="Times New Roman" w:hAnsi="Times New Roman" w:eastAsia="仿宋_GB2312" w:cs="Times New Roman"/>
          <w:b w:val="0"/>
          <w:bCs/>
          <w:color w:val="000000" w:themeColor="text1"/>
          <w:sz w:val="32"/>
          <w:szCs w:val="32"/>
          <w14:textFill>
            <w14:solidFill>
              <w14:schemeClr w14:val="tx1"/>
            </w14:solidFill>
          </w14:textFill>
        </w:rPr>
        <w:t>万元，</w:t>
      </w:r>
      <w:r>
        <w:rPr>
          <w:rStyle w:val="19"/>
          <w:rFonts w:hint="default" w:ascii="Times New Roman" w:hAnsi="Times New Roman" w:eastAsia="仿宋_GB2312" w:cs="Times New Roman"/>
          <w:b w:val="0"/>
          <w:bCs/>
          <w:color w:val="000000" w:themeColor="text1"/>
          <w:sz w:val="32"/>
          <w:szCs w:val="32"/>
          <w14:textFill>
            <w14:solidFill>
              <w14:schemeClr w14:val="tx1"/>
            </w14:solidFill>
          </w14:textFill>
        </w:rPr>
        <w:t>完成</w:t>
      </w:r>
      <w:r>
        <w:rPr>
          <w:rStyle w:val="19"/>
          <w:rFonts w:hint="default" w:ascii="Times New Roman" w:hAnsi="Times New Roman" w:eastAsia="仿宋_GB2312" w:cs="Times New Roman"/>
          <w:b w:val="0"/>
          <w:bCs/>
          <w:color w:val="000000"/>
          <w:sz w:val="32"/>
          <w:szCs w:val="32"/>
        </w:rPr>
        <w:t>预算</w:t>
      </w:r>
      <w:r>
        <w:rPr>
          <w:rStyle w:val="19"/>
          <w:rFonts w:hint="default" w:ascii="Times New Roman" w:hAnsi="Times New Roman" w:eastAsia="仿宋_GB2312" w:cs="Times New Roman"/>
          <w:b w:val="0"/>
          <w:bCs/>
          <w:color w:val="000000"/>
          <w:sz w:val="32"/>
          <w:szCs w:val="32"/>
          <w:lang w:val="en-US" w:eastAsia="zh-CN"/>
        </w:rPr>
        <w:t>1981.42万元</w:t>
      </w:r>
      <w:r>
        <w:rPr>
          <w:rStyle w:val="19"/>
          <w:rFonts w:hint="default" w:ascii="Times New Roman" w:hAnsi="Times New Roman" w:eastAsia="仿宋_GB2312" w:cs="Times New Roman"/>
          <w:b w:val="0"/>
          <w:bCs/>
          <w:color w:val="000000"/>
          <w:sz w:val="32"/>
          <w:szCs w:val="32"/>
        </w:rPr>
        <w:t>的100%。其中：</w:t>
      </w:r>
    </w:p>
    <w:p>
      <w:pPr>
        <w:pageBreakBefore w:val="0"/>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1．社会保障和就业支出（类）行政事业单位养老支出（款）机关事业单位基本养老保险缴费支出（项）：支出决算为</w:t>
      </w:r>
      <w:r>
        <w:rPr>
          <w:rStyle w:val="19"/>
          <w:rFonts w:hint="default" w:ascii="Times New Roman" w:hAnsi="Times New Roman" w:eastAsia="仿宋_GB2312" w:cs="Times New Roman"/>
          <w:b w:val="0"/>
          <w:bCs/>
          <w:color w:val="000000"/>
          <w:sz w:val="32"/>
          <w:szCs w:val="32"/>
          <w:lang w:val="en-US" w:eastAsia="zh-CN"/>
        </w:rPr>
        <w:t>116.97</w:t>
      </w:r>
      <w:r>
        <w:rPr>
          <w:rStyle w:val="19"/>
          <w:rFonts w:hint="default" w:ascii="Times New Roman" w:hAnsi="Times New Roman" w:eastAsia="仿宋_GB2312" w:cs="Times New Roman"/>
          <w:b w:val="0"/>
          <w:bCs/>
          <w:color w:val="000000"/>
          <w:sz w:val="32"/>
          <w:szCs w:val="32"/>
        </w:rPr>
        <w:t>万元，完成预算100%。</w:t>
      </w:r>
    </w:p>
    <w:p>
      <w:pPr>
        <w:pageBreakBefore w:val="0"/>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2．社会保障和就业支出（类）行政事业单位养老支出（款）机关事业单位职业年金缴费支出（项）：支出决算为</w:t>
      </w:r>
      <w:r>
        <w:rPr>
          <w:rStyle w:val="19"/>
          <w:rFonts w:hint="default" w:ascii="Times New Roman" w:hAnsi="Times New Roman" w:eastAsia="仿宋_GB2312" w:cs="Times New Roman"/>
          <w:b w:val="0"/>
          <w:bCs/>
          <w:color w:val="000000"/>
          <w:sz w:val="32"/>
          <w:szCs w:val="32"/>
          <w:lang w:val="en-US" w:eastAsia="zh-CN"/>
        </w:rPr>
        <w:t>45.60</w:t>
      </w:r>
      <w:r>
        <w:rPr>
          <w:rStyle w:val="19"/>
          <w:rFonts w:hint="default" w:ascii="Times New Roman" w:hAnsi="Times New Roman" w:eastAsia="仿宋_GB2312" w:cs="Times New Roman"/>
          <w:b w:val="0"/>
          <w:bCs/>
          <w:color w:val="000000"/>
          <w:sz w:val="32"/>
          <w:szCs w:val="32"/>
        </w:rPr>
        <w:t>万元，完成预算100%。</w:t>
      </w:r>
    </w:p>
    <w:p>
      <w:pPr>
        <w:pageBreakBefore w:val="0"/>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3．社会保障和就业支出（类）行政事业单位养老（款）其他行政事业单位养老支出（项）：支出决算为</w:t>
      </w:r>
      <w:r>
        <w:rPr>
          <w:rStyle w:val="19"/>
          <w:rFonts w:hint="default" w:ascii="Times New Roman" w:hAnsi="Times New Roman" w:eastAsia="仿宋_GB2312" w:cs="Times New Roman"/>
          <w:b w:val="0"/>
          <w:bCs/>
          <w:color w:val="000000"/>
          <w:sz w:val="32"/>
          <w:szCs w:val="32"/>
          <w:lang w:val="en-US" w:eastAsia="zh-CN"/>
        </w:rPr>
        <w:t>24.54</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社会保障和就业支出（类）抚恤（款）死亡抚恤（项）：支出决算为</w:t>
      </w:r>
      <w:r>
        <w:rPr>
          <w:rStyle w:val="19"/>
          <w:rFonts w:hint="default" w:ascii="Times New Roman" w:hAnsi="Times New Roman" w:eastAsia="仿宋_GB2312" w:cs="Times New Roman"/>
          <w:b w:val="0"/>
          <w:bCs/>
          <w:color w:val="000000"/>
          <w:sz w:val="32"/>
          <w:szCs w:val="32"/>
          <w:lang w:val="en-US" w:eastAsia="zh-CN"/>
        </w:rPr>
        <w:t>20.93</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社会保障和就业支出（类）其他社会保障和就业支出（款）其他社会保障和就业支出（项）：支出决算为</w:t>
      </w:r>
      <w:r>
        <w:rPr>
          <w:rStyle w:val="19"/>
          <w:rFonts w:hint="default" w:ascii="Times New Roman" w:hAnsi="Times New Roman" w:eastAsia="仿宋_GB2312" w:cs="Times New Roman"/>
          <w:b w:val="0"/>
          <w:bCs/>
          <w:color w:val="000000"/>
          <w:sz w:val="32"/>
          <w:szCs w:val="32"/>
          <w:lang w:val="en-US" w:eastAsia="zh-CN"/>
        </w:rPr>
        <w:t>14.03</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bookmarkStart w:id="65" w:name="OLE_LINK12"/>
      <w:r>
        <w:rPr>
          <w:rStyle w:val="19"/>
          <w:rFonts w:hint="default" w:ascii="Times New Roman" w:hAnsi="Times New Roman" w:eastAsia="仿宋_GB2312" w:cs="Times New Roman"/>
          <w:b w:val="0"/>
          <w:bCs/>
          <w:color w:val="000000"/>
          <w:sz w:val="32"/>
          <w:szCs w:val="32"/>
        </w:rPr>
        <w:t>卫生健康支出（类）行政事业单位医疗（款）事业单位医疗（项）：支出决算为</w:t>
      </w:r>
      <w:r>
        <w:rPr>
          <w:rStyle w:val="19"/>
          <w:rFonts w:hint="default" w:ascii="Times New Roman" w:hAnsi="Times New Roman" w:eastAsia="仿宋_GB2312" w:cs="Times New Roman"/>
          <w:b w:val="0"/>
          <w:bCs/>
          <w:color w:val="000000"/>
          <w:sz w:val="32"/>
          <w:szCs w:val="32"/>
          <w:lang w:val="en-US" w:eastAsia="zh-CN"/>
        </w:rPr>
        <w:t>44.61</w:t>
      </w:r>
      <w:r>
        <w:rPr>
          <w:rStyle w:val="19"/>
          <w:rFonts w:hint="default" w:ascii="Times New Roman" w:hAnsi="Times New Roman" w:eastAsia="仿宋_GB2312" w:cs="Times New Roman"/>
          <w:b w:val="0"/>
          <w:bCs/>
          <w:color w:val="000000"/>
          <w:sz w:val="32"/>
          <w:szCs w:val="32"/>
        </w:rPr>
        <w:t>万元，完成预算100%。</w:t>
      </w:r>
    </w:p>
    <w:bookmarkEnd w:id="65"/>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卫生健康支出（类）行政事业单位医疗（款）</w:t>
      </w:r>
      <w:r>
        <w:rPr>
          <w:rStyle w:val="19"/>
          <w:rFonts w:hint="default" w:ascii="Times New Roman" w:hAnsi="Times New Roman" w:eastAsia="仿宋_GB2312" w:cs="Times New Roman"/>
          <w:b w:val="0"/>
          <w:bCs/>
          <w:color w:val="000000"/>
          <w:sz w:val="32"/>
          <w:szCs w:val="32"/>
          <w:lang w:val="en-US" w:eastAsia="zh-CN"/>
        </w:rPr>
        <w:t>公务员医疗补助</w:t>
      </w:r>
      <w:r>
        <w:rPr>
          <w:rStyle w:val="19"/>
          <w:rFonts w:hint="default" w:ascii="Times New Roman" w:hAnsi="Times New Roman" w:eastAsia="仿宋_GB2312" w:cs="Times New Roman"/>
          <w:b w:val="0"/>
          <w:bCs/>
          <w:color w:val="000000"/>
          <w:sz w:val="32"/>
          <w:szCs w:val="32"/>
        </w:rPr>
        <w:t>（项）：支出决算为</w:t>
      </w:r>
      <w:r>
        <w:rPr>
          <w:rStyle w:val="19"/>
          <w:rFonts w:hint="default" w:ascii="Times New Roman" w:hAnsi="Times New Roman" w:eastAsia="仿宋_GB2312" w:cs="Times New Roman"/>
          <w:b w:val="0"/>
          <w:bCs/>
          <w:color w:val="000000"/>
          <w:sz w:val="32"/>
          <w:szCs w:val="32"/>
          <w:lang w:val="en-US" w:eastAsia="zh-CN"/>
        </w:rPr>
        <w:t>18.58</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农林水支出（类）巩固脱贫攻坚成果衔接乡村振兴（款）农村基础设施建设（项）：支出决算为</w:t>
      </w:r>
      <w:r>
        <w:rPr>
          <w:rStyle w:val="19"/>
          <w:rFonts w:hint="default" w:ascii="Times New Roman" w:hAnsi="Times New Roman" w:eastAsia="仿宋_GB2312" w:cs="Times New Roman"/>
          <w:b w:val="0"/>
          <w:bCs/>
          <w:color w:val="000000"/>
          <w:sz w:val="32"/>
          <w:szCs w:val="32"/>
          <w:lang w:val="en-US" w:eastAsia="zh-CN"/>
        </w:rPr>
        <w:t>92.80</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交通运输支出（类）公路水路运输（款）公路建设（项）：支出决算为</w:t>
      </w:r>
      <w:r>
        <w:rPr>
          <w:rStyle w:val="19"/>
          <w:rFonts w:hint="default" w:ascii="Times New Roman" w:hAnsi="Times New Roman" w:eastAsia="仿宋_GB2312" w:cs="Times New Roman"/>
          <w:b w:val="0"/>
          <w:bCs/>
          <w:color w:val="000000"/>
          <w:sz w:val="32"/>
          <w:szCs w:val="32"/>
          <w:lang w:val="en-US" w:eastAsia="zh-CN"/>
        </w:rPr>
        <w:t>148.02</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交通运输支出（类）公路水路运输（款）公路养护（项）：支出决算为</w:t>
      </w:r>
      <w:r>
        <w:rPr>
          <w:rStyle w:val="19"/>
          <w:rFonts w:hint="default" w:ascii="Times New Roman" w:hAnsi="Times New Roman" w:eastAsia="仿宋_GB2312" w:cs="Times New Roman"/>
          <w:b w:val="0"/>
          <w:bCs/>
          <w:color w:val="000000"/>
          <w:sz w:val="32"/>
          <w:szCs w:val="32"/>
          <w:lang w:val="en-US" w:eastAsia="zh-CN"/>
        </w:rPr>
        <w:t>348</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交通运输支出（类）公路水路运输（款）其他公路水路运输支出（项）：支出决算为</w:t>
      </w:r>
      <w:r>
        <w:rPr>
          <w:rStyle w:val="19"/>
          <w:rFonts w:hint="default" w:ascii="Times New Roman" w:hAnsi="Times New Roman" w:eastAsia="仿宋_GB2312" w:cs="Times New Roman"/>
          <w:b w:val="0"/>
          <w:bCs/>
          <w:color w:val="000000"/>
          <w:sz w:val="32"/>
          <w:szCs w:val="32"/>
          <w:lang w:val="en-US" w:eastAsia="zh-CN"/>
        </w:rPr>
        <w:t>1010.73</w:t>
      </w:r>
      <w:r>
        <w:rPr>
          <w:rStyle w:val="19"/>
          <w:rFonts w:hint="default" w:ascii="Times New Roman" w:hAnsi="Times New Roman" w:eastAsia="仿宋_GB2312" w:cs="Times New Roman"/>
          <w:b w:val="0"/>
          <w:bCs/>
          <w:color w:val="000000"/>
          <w:sz w:val="32"/>
          <w:szCs w:val="32"/>
        </w:rPr>
        <w:t>万元，完成预算100%。</w:t>
      </w:r>
    </w:p>
    <w:p>
      <w:pPr>
        <w:pageBreakBefore w:val="0"/>
        <w:numPr>
          <w:ilvl w:val="0"/>
          <w:numId w:val="1"/>
        </w:numPr>
        <w:kinsoku/>
        <w:wordWrap/>
        <w:overflowPunct/>
        <w:topLinePunct w:val="0"/>
        <w:bidi w:val="0"/>
        <w:spacing w:line="600" w:lineRule="exact"/>
        <w:ind w:firstLine="640" w:firstLineChars="200"/>
        <w:rPr>
          <w:rFonts w:hint="default" w:ascii="Times New Roman" w:hAnsi="Times New Roman" w:eastAsia="仿宋" w:cs="Times New Roman"/>
          <w:b w:val="0"/>
          <w:bCs/>
          <w:sz w:val="32"/>
          <w:szCs w:val="32"/>
        </w:rPr>
      </w:pPr>
      <w:r>
        <w:rPr>
          <w:rStyle w:val="19"/>
          <w:rFonts w:hint="default" w:ascii="Times New Roman" w:hAnsi="Times New Roman" w:eastAsia="仿宋_GB2312" w:cs="Times New Roman"/>
          <w:b w:val="0"/>
          <w:bCs/>
          <w:color w:val="000000"/>
          <w:sz w:val="32"/>
          <w:szCs w:val="32"/>
        </w:rPr>
        <w:t>住房保障支出（类）住房改革支出（款）住房公积金（项）：支出决算为</w:t>
      </w:r>
      <w:r>
        <w:rPr>
          <w:rStyle w:val="19"/>
          <w:rFonts w:hint="default" w:ascii="Times New Roman" w:hAnsi="Times New Roman" w:eastAsia="仿宋_GB2312" w:cs="Times New Roman"/>
          <w:b w:val="0"/>
          <w:bCs/>
          <w:color w:val="000000"/>
          <w:sz w:val="32"/>
          <w:szCs w:val="32"/>
          <w:lang w:val="en-US" w:eastAsia="zh-CN"/>
        </w:rPr>
        <w:t>96.62</w:t>
      </w:r>
      <w:r>
        <w:rPr>
          <w:rStyle w:val="19"/>
          <w:rFonts w:hint="default" w:ascii="Times New Roman" w:hAnsi="Times New Roman" w:eastAsia="仿宋_GB2312" w:cs="Times New Roman"/>
          <w:b w:val="0"/>
          <w:bCs/>
          <w:color w:val="000000"/>
          <w:sz w:val="32"/>
          <w:szCs w:val="32"/>
        </w:rPr>
        <w:t>万元，完成预算100%。</w:t>
      </w:r>
    </w:p>
    <w:bookmarkEnd w:id="62"/>
    <w:bookmarkEnd w:id="63"/>
    <w:bookmarkEnd w:id="64"/>
    <w:p>
      <w:pPr>
        <w:keepNext w:val="0"/>
        <w:keepLines w:val="0"/>
        <w:pageBreakBefore w:val="0"/>
        <w:tabs>
          <w:tab w:val="right" w:pos="8306"/>
        </w:tabs>
        <w:kinsoku/>
        <w:wordWrap/>
        <w:overflowPunct/>
        <w:topLinePunct w:val="0"/>
        <w:autoSpaceDE/>
        <w:autoSpaceDN/>
        <w:bidi w:val="0"/>
        <w:spacing w:line="600" w:lineRule="exact"/>
        <w:ind w:firstLine="640"/>
        <w:textAlignment w:val="auto"/>
        <w:outlineLvl w:val="1"/>
        <w:rPr>
          <w:rStyle w:val="30"/>
          <w:rFonts w:hint="default" w:ascii="Times New Roman" w:hAnsi="Times New Roman" w:cs="Times New Roman"/>
        </w:rPr>
      </w:pPr>
      <w:bookmarkStart w:id="66" w:name="_Toc15377214"/>
      <w:bookmarkStart w:id="67" w:name="_Toc15396608"/>
      <w:bookmarkStart w:id="68" w:name="_Toc5222"/>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66"/>
      <w:bookmarkEnd w:id="67"/>
      <w:bookmarkEnd w:id="68"/>
      <w:r>
        <w:rPr>
          <w:rStyle w:val="30"/>
          <w:rFonts w:hint="default" w:ascii="Times New Roman" w:hAnsi="Times New Roman" w:eastAsia="黑体" w:cs="Times New Roman"/>
          <w:b w:val="0"/>
        </w:rPr>
        <w:tab/>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sz w:val="32"/>
          <w:szCs w:val="32"/>
        </w:rPr>
        <w:t>202</w:t>
      </w:r>
      <w:r>
        <w:rPr>
          <w:rFonts w:hint="default" w:ascii="Times New Roman" w:hAnsi="Times New Roman" w:eastAsia="仿宋" w:cs="Times New Roman"/>
          <w:color w:val="000000"/>
          <w:sz w:val="32"/>
          <w:szCs w:val="32"/>
          <w:lang w:val="en-US" w:eastAsia="zh-CN"/>
        </w:rPr>
        <w:t>4</w:t>
      </w:r>
      <w:r>
        <w:rPr>
          <w:rFonts w:hint="default" w:ascii="Times New Roman" w:hAnsi="Times New Roman" w:eastAsia="仿宋" w:cs="Times New Roman"/>
          <w:color w:val="000000"/>
          <w:sz w:val="32"/>
          <w:szCs w:val="32"/>
        </w:rPr>
        <w:t>年度一般公共预算财政拨款基本支出</w:t>
      </w:r>
      <w:r>
        <w:rPr>
          <w:rFonts w:hint="default" w:ascii="Times New Roman" w:hAnsi="Times New Roman" w:eastAsia="仿宋" w:cs="Times New Roman"/>
          <w:color w:val="auto"/>
          <w:sz w:val="32"/>
          <w:szCs w:val="32"/>
          <w:lang w:val="en-US" w:eastAsia="zh-CN"/>
        </w:rPr>
        <w:t>1376.44</w:t>
      </w:r>
      <w:r>
        <w:rPr>
          <w:rFonts w:hint="default" w:ascii="Times New Roman" w:hAnsi="Times New Roman" w:eastAsia="仿宋" w:cs="Times New Roman"/>
          <w:color w:val="000000"/>
          <w:sz w:val="32"/>
          <w:szCs w:val="32"/>
        </w:rPr>
        <w:t>万元，其中：</w:t>
      </w:r>
      <w:r>
        <w:rPr>
          <w:rFonts w:hint="default" w:ascii="Times New Roman" w:hAnsi="Times New Roman" w:eastAsia="仿宋" w:cs="Times New Roman"/>
          <w:sz w:val="32"/>
          <w:szCs w:val="32"/>
        </w:rPr>
        <w:t>人员经费</w:t>
      </w:r>
      <w:r>
        <w:rPr>
          <w:rFonts w:hint="default" w:ascii="Times New Roman" w:hAnsi="Times New Roman" w:eastAsia="仿宋" w:cs="Times New Roman"/>
          <w:sz w:val="32"/>
          <w:szCs w:val="32"/>
          <w:lang w:val="en-US" w:eastAsia="zh-CN"/>
        </w:rPr>
        <w:t>1283.96</w:t>
      </w:r>
      <w:r>
        <w:rPr>
          <w:rFonts w:hint="default" w:ascii="Times New Roman" w:hAnsi="Times New Roman" w:eastAsia="仿宋" w:cs="Times New Roman"/>
          <w:sz w:val="32"/>
          <w:szCs w:val="32"/>
        </w:rPr>
        <w:t>万元，主要包括：基本工资、津贴补贴、奖金、绩效工资、机关事业单位基本养老保险缴费、职业年金缴费、职工基本医疗保险缴费、</w:t>
      </w:r>
      <w:r>
        <w:rPr>
          <w:rFonts w:hint="default" w:ascii="Times New Roman" w:hAnsi="Times New Roman" w:eastAsia="仿宋" w:cs="Times New Roman"/>
          <w:sz w:val="32"/>
          <w:szCs w:val="32"/>
          <w:lang w:val="en-US" w:eastAsia="zh-CN"/>
        </w:rPr>
        <w:t>公务员</w:t>
      </w:r>
      <w:r>
        <w:rPr>
          <w:rFonts w:hint="default" w:ascii="Times New Roman" w:hAnsi="Times New Roman" w:eastAsia="仿宋" w:cs="Times New Roman"/>
          <w:sz w:val="32"/>
          <w:szCs w:val="32"/>
        </w:rPr>
        <w:t>医疗补助</w:t>
      </w:r>
      <w:r>
        <w:rPr>
          <w:rFonts w:hint="default" w:ascii="Times New Roman" w:hAnsi="Times New Roman" w:eastAsia="仿宋" w:cs="Times New Roman"/>
          <w:sz w:val="32"/>
          <w:szCs w:val="32"/>
          <w:lang w:val="en-US" w:eastAsia="zh-CN"/>
        </w:rPr>
        <w:t>缴费</w:t>
      </w:r>
      <w:r>
        <w:rPr>
          <w:rFonts w:hint="default" w:ascii="Times New Roman" w:hAnsi="Times New Roman" w:eastAsia="仿宋" w:cs="Times New Roman"/>
          <w:sz w:val="32"/>
          <w:szCs w:val="32"/>
        </w:rPr>
        <w:t>、其他社会保障缴费、住房公积金、其他工资福利支出、抚恤金、生活补助、奖励金、其他对个人和家庭的补助等。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公用经费</w:t>
      </w:r>
      <w:r>
        <w:rPr>
          <w:rFonts w:hint="default" w:ascii="Times New Roman" w:hAnsi="Times New Roman" w:eastAsia="仿宋" w:cs="Times New Roman"/>
          <w:sz w:val="32"/>
          <w:szCs w:val="32"/>
          <w:lang w:val="en-US" w:eastAsia="zh-CN"/>
        </w:rPr>
        <w:t>92.48</w:t>
      </w:r>
      <w:r>
        <w:rPr>
          <w:rFonts w:hint="default" w:ascii="Times New Roman" w:hAnsi="Times New Roman" w:eastAsia="仿宋" w:cs="Times New Roman"/>
          <w:sz w:val="32"/>
          <w:szCs w:val="32"/>
        </w:rPr>
        <w:t>万元，主要包括：办公费、水费、电费、邮电费、差旅费、维修（护）费、租赁费、培训费、公务接待费、专用材料费、专用燃料费、委托业务费、工会经费、福利费、公务用车运行维护费、其他交通费</w:t>
      </w:r>
      <w:r>
        <w:rPr>
          <w:rFonts w:hint="default" w:ascii="Times New Roman" w:hAnsi="Times New Roman" w:eastAsia="仿宋" w:cs="Times New Roman"/>
          <w:sz w:val="32"/>
          <w:szCs w:val="32"/>
          <w:lang w:val="en-US" w:eastAsia="zh-CN"/>
        </w:rPr>
        <w:t>用</w:t>
      </w:r>
      <w:r>
        <w:rPr>
          <w:rFonts w:hint="default" w:ascii="Times New Roman" w:hAnsi="Times New Roman" w:eastAsia="仿宋" w:cs="Times New Roman"/>
          <w:sz w:val="32"/>
          <w:szCs w:val="32"/>
        </w:rPr>
        <w:t>、办公设备购置等。</w:t>
      </w:r>
    </w:p>
    <w:p>
      <w:pPr>
        <w:pageBreakBefore w:val="0"/>
        <w:kinsoku/>
        <w:wordWrap/>
        <w:overflowPunct/>
        <w:topLinePunct w:val="0"/>
        <w:bidi w:val="0"/>
        <w:spacing w:line="600" w:lineRule="exact"/>
        <w:ind w:firstLine="640"/>
        <w:outlineLvl w:val="1"/>
        <w:rPr>
          <w:rStyle w:val="30"/>
          <w:rFonts w:hint="default" w:ascii="Times New Roman" w:hAnsi="Times New Roman" w:eastAsia="黑体" w:cs="Times New Roman"/>
          <w:b w:val="0"/>
        </w:rPr>
      </w:pPr>
      <w:bookmarkStart w:id="69" w:name="_Toc15377215"/>
      <w:bookmarkStart w:id="70" w:name="_Toc15396609"/>
      <w:bookmarkStart w:id="71" w:name="_Toc7834"/>
      <w:r>
        <w:rPr>
          <w:rFonts w:hint="default" w:ascii="Times New Roman" w:hAnsi="Times New Roman" w:eastAsia="黑体" w:cs="Times New Roman"/>
          <w:color w:val="000000"/>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69"/>
      <w:bookmarkEnd w:id="70"/>
      <w:bookmarkEnd w:id="71"/>
    </w:p>
    <w:p>
      <w:pPr>
        <w:pageBreakBefore w:val="0"/>
        <w:kinsoku/>
        <w:wordWrap/>
        <w:overflowPunct/>
        <w:topLinePunct w:val="0"/>
        <w:bidi w:val="0"/>
        <w:spacing w:line="600" w:lineRule="exact"/>
        <w:ind w:firstLine="640"/>
        <w:outlineLvl w:val="2"/>
        <w:rPr>
          <w:rFonts w:hint="eastAsia" w:ascii="楷体_GB2312" w:hAnsi="楷体_GB2312" w:eastAsia="楷体_GB2312" w:cs="楷体_GB2312"/>
          <w:b/>
          <w:color w:val="000000"/>
          <w:sz w:val="32"/>
          <w:szCs w:val="32"/>
        </w:rPr>
      </w:pPr>
      <w:bookmarkStart w:id="72" w:name="_Toc15377216"/>
      <w:bookmarkStart w:id="73" w:name="_Toc19092"/>
      <w:bookmarkStart w:id="74" w:name="_Toc6401"/>
      <w:r>
        <w:rPr>
          <w:rFonts w:hint="eastAsia" w:ascii="楷体_GB2312" w:hAnsi="楷体_GB2312" w:eastAsia="楷体_GB2312" w:cs="楷体_GB2312"/>
          <w:b/>
          <w:color w:val="000000"/>
          <w:sz w:val="32"/>
          <w:szCs w:val="32"/>
        </w:rPr>
        <w:t>（一）“三公”经费财政拨款支出决算总体情况说明</w:t>
      </w:r>
      <w:bookmarkEnd w:id="72"/>
      <w:bookmarkEnd w:id="73"/>
      <w:bookmarkEnd w:id="74"/>
    </w:p>
    <w:p>
      <w:pPr>
        <w:pageBreakBefore w:val="0"/>
        <w:kinsoku/>
        <w:wordWrap/>
        <w:overflowPunct/>
        <w:topLinePunct w:val="0"/>
        <w:bidi w:val="0"/>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w:t>
      </w:r>
      <w:bookmarkStart w:id="75" w:name="OLE_LINK13"/>
      <w:r>
        <w:rPr>
          <w:rFonts w:hint="default" w:ascii="Times New Roman" w:hAnsi="Times New Roman" w:eastAsia="仿宋_GB2312" w:cs="Times New Roman"/>
          <w:sz w:val="32"/>
          <w:szCs w:val="32"/>
        </w:rPr>
        <w:t>“三公”经费财政拨款支出</w:t>
      </w:r>
      <w:bookmarkEnd w:id="75"/>
      <w:r>
        <w:rPr>
          <w:rFonts w:hint="default" w:ascii="Times New Roman" w:hAnsi="Times New Roman" w:eastAsia="仿宋_GB2312" w:cs="Times New Roman"/>
          <w:sz w:val="32"/>
          <w:szCs w:val="32"/>
        </w:rPr>
        <w:t>决算为</w:t>
      </w:r>
      <w:r>
        <w:rPr>
          <w:rFonts w:hint="default" w:ascii="Times New Roman" w:hAnsi="Times New Roman" w:eastAsia="仿宋_GB2312" w:cs="Times New Roman"/>
          <w:sz w:val="32"/>
          <w:szCs w:val="32"/>
          <w:lang w:val="en-US" w:eastAsia="zh-CN"/>
        </w:rPr>
        <w:t>2.92</w:t>
      </w:r>
      <w:r>
        <w:rPr>
          <w:rFonts w:hint="default" w:ascii="Times New Roman" w:hAnsi="Times New Roman" w:eastAsia="仿宋_GB2312" w:cs="Times New Roman"/>
          <w:sz w:val="32"/>
          <w:szCs w:val="32"/>
        </w:rPr>
        <w:t>万元，完成预算100%，较上年度</w:t>
      </w:r>
      <w:r>
        <w:rPr>
          <w:rFonts w:hint="default" w:ascii="Times New Roman" w:hAnsi="Times New Roman" w:eastAsia="仿宋_GB2312" w:cs="Times New Roman"/>
          <w:sz w:val="32"/>
          <w:szCs w:val="32"/>
          <w:lang w:val="en-US" w:eastAsia="zh-CN"/>
        </w:rPr>
        <w:t>减少0.44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下降13.10</w:t>
      </w:r>
      <w:r>
        <w:rPr>
          <w:rFonts w:hint="default" w:ascii="Times New Roman" w:hAnsi="Times New Roman" w:eastAsia="仿宋_GB2312" w:cs="Times New Roman"/>
          <w:sz w:val="32"/>
          <w:szCs w:val="32"/>
        </w:rPr>
        <w:t>%。与预算数持平的主要原因是</w:t>
      </w:r>
      <w:r>
        <w:rPr>
          <w:rFonts w:hint="default" w:ascii="Times New Roman" w:hAnsi="Times New Roman" w:eastAsia="仿宋_GB2312" w:cs="Times New Roman"/>
          <w:color w:val="000000"/>
          <w:sz w:val="32"/>
          <w:szCs w:val="32"/>
        </w:rPr>
        <w:t>严格按照《沐川县贯彻〈党政机关厉行节约反对浪费条例〉实施细则》（沐委办发〔2014〕10号）精神要求，厉行节约，反对浪费。</w:t>
      </w:r>
      <w:r>
        <w:rPr>
          <w:rFonts w:hint="default" w:ascii="Times New Roman" w:hAnsi="Times New Roman" w:eastAsia="仿宋" w:cs="Times New Roman"/>
          <w:color w:val="FFFFFF" w:themeColor="background1"/>
          <w:sz w:val="32"/>
          <w:szCs w:val="32"/>
          <w14:textFill>
            <w14:solidFill>
              <w14:schemeClr w14:val="bg1"/>
            </w14:solidFill>
          </w14:textFill>
        </w:rPr>
        <w:t>。</w:t>
      </w:r>
    </w:p>
    <w:p>
      <w:pPr>
        <w:pageBreakBefore w:val="0"/>
        <w:kinsoku/>
        <w:wordWrap/>
        <w:overflowPunct/>
        <w:topLinePunct w:val="0"/>
        <w:bidi w:val="0"/>
        <w:spacing w:line="600" w:lineRule="exact"/>
        <w:ind w:firstLine="640"/>
        <w:outlineLvl w:val="2"/>
        <w:rPr>
          <w:rFonts w:hint="eastAsia" w:ascii="楷体_GB2312" w:hAnsi="楷体_GB2312" w:eastAsia="楷体_GB2312" w:cs="楷体_GB2312"/>
          <w:b/>
          <w:color w:val="000000"/>
          <w:sz w:val="32"/>
          <w:szCs w:val="32"/>
        </w:rPr>
      </w:pPr>
      <w:bookmarkStart w:id="76" w:name="_Toc15377217"/>
      <w:bookmarkStart w:id="77" w:name="_Toc1333"/>
      <w:bookmarkStart w:id="78" w:name="_Toc25652"/>
      <w:r>
        <w:rPr>
          <w:rFonts w:hint="eastAsia" w:ascii="楷体_GB2312" w:hAnsi="楷体_GB2312" w:eastAsia="楷体_GB2312" w:cs="楷体_GB2312"/>
          <w:b/>
          <w:color w:val="000000"/>
          <w:sz w:val="32"/>
          <w:szCs w:val="32"/>
        </w:rPr>
        <w:t>（二）“三公”经费财政拨款支出决算具体情况说明</w:t>
      </w:r>
      <w:bookmarkEnd w:id="76"/>
      <w:bookmarkEnd w:id="77"/>
      <w:bookmarkEnd w:id="78"/>
    </w:p>
    <w:p>
      <w:pPr>
        <w:pageBreakBefore w:val="0"/>
        <w:kinsoku/>
        <w:wordWrap/>
        <w:overflowPunct/>
        <w:topLinePunct w:val="0"/>
        <w:bidi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年度“三公”经费财政拨款支出决算中，因公出国（境）费支出决算0万元，占0.00%；</w:t>
      </w:r>
      <w:bookmarkStart w:id="79" w:name="OLE_LINK14"/>
      <w:r>
        <w:rPr>
          <w:rFonts w:hint="default" w:ascii="Times New Roman" w:hAnsi="Times New Roman" w:eastAsia="仿宋_GB2312" w:cs="Times New Roman"/>
          <w:sz w:val="32"/>
          <w:szCs w:val="32"/>
        </w:rPr>
        <w:t>公务用车购置及运行维护费支出</w:t>
      </w:r>
      <w:bookmarkEnd w:id="79"/>
      <w:r>
        <w:rPr>
          <w:rFonts w:hint="default" w:ascii="Times New Roman" w:hAnsi="Times New Roman" w:eastAsia="仿宋_GB2312" w:cs="Times New Roman"/>
          <w:sz w:val="32"/>
          <w:szCs w:val="32"/>
        </w:rPr>
        <w:t>决算</w:t>
      </w:r>
      <w:r>
        <w:rPr>
          <w:rFonts w:hint="default" w:ascii="Times New Roman" w:hAnsi="Times New Roman" w:eastAsia="仿宋_GB2312" w:cs="Times New Roman"/>
          <w:sz w:val="32"/>
          <w:szCs w:val="32"/>
          <w:lang w:val="en-US" w:eastAsia="zh-CN"/>
        </w:rPr>
        <w:t>1.77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60.62</w:t>
      </w:r>
      <w:r>
        <w:rPr>
          <w:rFonts w:hint="default" w:ascii="Times New Roman" w:hAnsi="Times New Roman" w:eastAsia="仿宋_GB2312" w:cs="Times New Roman"/>
          <w:sz w:val="32"/>
          <w:szCs w:val="32"/>
        </w:rPr>
        <w:t>%；</w:t>
      </w:r>
      <w:bookmarkStart w:id="80" w:name="OLE_LINK15"/>
      <w:r>
        <w:rPr>
          <w:rFonts w:hint="default" w:ascii="Times New Roman" w:hAnsi="Times New Roman" w:eastAsia="仿宋_GB2312" w:cs="Times New Roman"/>
          <w:sz w:val="32"/>
          <w:szCs w:val="32"/>
        </w:rPr>
        <w:t>公务接待费支出</w:t>
      </w:r>
      <w:bookmarkEnd w:id="80"/>
      <w:r>
        <w:rPr>
          <w:rFonts w:hint="default" w:ascii="Times New Roman" w:hAnsi="Times New Roman" w:eastAsia="仿宋_GB2312" w:cs="Times New Roman"/>
          <w:sz w:val="32"/>
          <w:szCs w:val="32"/>
        </w:rPr>
        <w:t>决算</w:t>
      </w:r>
      <w:r>
        <w:rPr>
          <w:rFonts w:hint="default" w:ascii="Times New Roman" w:hAnsi="Times New Roman" w:eastAsia="仿宋_GB2312" w:cs="Times New Roman"/>
          <w:sz w:val="32"/>
          <w:szCs w:val="32"/>
          <w:lang w:val="en-US" w:eastAsia="zh-CN"/>
        </w:rPr>
        <w:t>1.15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val="en-US" w:eastAsia="zh-CN"/>
        </w:rPr>
        <w:t>39.38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。具体情况如下：</w:t>
      </w:r>
    </w:p>
    <w:p>
      <w:pPr>
        <w:pageBreakBefore w:val="0"/>
        <w:kinsoku/>
        <w:wordWrap/>
        <w:overflowPunct/>
        <w:topLinePunct w:val="0"/>
        <w:bidi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（图7：“三公”经费财政拨款支出结构）（饼状图）</w:t>
      </w:r>
    </w:p>
    <w:p>
      <w:pPr>
        <w:pageBreakBefore w:val="0"/>
        <w:kinsoku/>
        <w:wordWrap/>
        <w:overflowPunct/>
        <w:topLinePunct w:val="0"/>
        <w:bidi w:val="0"/>
        <w:spacing w:line="600" w:lineRule="exact"/>
        <w:ind w:firstLine="64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drawing>
          <wp:anchor distT="0" distB="0" distL="114300" distR="114300" simplePos="0" relativeHeight="251664384" behindDoc="1" locked="0" layoutInCell="1" allowOverlap="1">
            <wp:simplePos x="0" y="0"/>
            <wp:positionH relativeFrom="column">
              <wp:posOffset>664845</wp:posOffset>
            </wp:positionH>
            <wp:positionV relativeFrom="paragraph">
              <wp:posOffset>120015</wp:posOffset>
            </wp:positionV>
            <wp:extent cx="3722370" cy="1947545"/>
            <wp:effectExtent l="4445" t="5080" r="6985" b="9525"/>
            <wp:wrapTight wrapText="bothSides">
              <wp:wrapPolygon>
                <wp:start x="-26" y="-56"/>
                <wp:lineTo x="-26" y="21494"/>
                <wp:lineTo x="21530" y="21494"/>
                <wp:lineTo x="21530" y="-56"/>
                <wp:lineTo x="-26" y="-56"/>
              </wp:wrapPolygon>
            </wp:wrapTight>
            <wp:docPr id="1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pageBreakBefore w:val="0"/>
        <w:kinsoku/>
        <w:wordWrap/>
        <w:overflowPunct/>
        <w:topLinePunct w:val="0"/>
        <w:bidi w:val="0"/>
        <w:spacing w:line="600" w:lineRule="exact"/>
        <w:ind w:firstLine="640"/>
        <w:rPr>
          <w:rFonts w:hint="default" w:ascii="Times New Roman" w:hAnsi="Times New Roman" w:eastAsia="仿宋" w:cs="Times New Roman"/>
          <w:color w:val="000000"/>
          <w:sz w:val="32"/>
          <w:szCs w:val="32"/>
        </w:rPr>
      </w:pPr>
    </w:p>
    <w:p>
      <w:pPr>
        <w:pageBreakBefore w:val="0"/>
        <w:kinsoku/>
        <w:wordWrap/>
        <w:overflowPunct/>
        <w:topLinePunct w:val="0"/>
        <w:bidi w:val="0"/>
        <w:spacing w:line="600" w:lineRule="exact"/>
        <w:ind w:firstLine="640"/>
        <w:rPr>
          <w:rFonts w:hint="default" w:ascii="Times New Roman" w:hAnsi="Times New Roman" w:eastAsia="仿宋" w:cs="Times New Roman"/>
          <w:color w:val="000000"/>
          <w:sz w:val="32"/>
          <w:szCs w:val="32"/>
        </w:rPr>
      </w:pPr>
    </w:p>
    <w:p>
      <w:pPr>
        <w:pageBreakBefore w:val="0"/>
        <w:kinsoku/>
        <w:wordWrap/>
        <w:overflowPunct/>
        <w:topLinePunct w:val="0"/>
        <w:bidi w:val="0"/>
        <w:spacing w:line="600" w:lineRule="exact"/>
        <w:ind w:firstLine="640"/>
        <w:rPr>
          <w:rFonts w:hint="default" w:ascii="Times New Roman" w:hAnsi="Times New Roman" w:eastAsia="仿宋" w:cs="Times New Roman"/>
          <w:color w:val="000000"/>
          <w:sz w:val="32"/>
          <w:szCs w:val="32"/>
        </w:rPr>
      </w:pPr>
    </w:p>
    <w:p>
      <w:pPr>
        <w:pageBreakBefore w:val="0"/>
        <w:kinsoku/>
        <w:wordWrap/>
        <w:overflowPunct/>
        <w:topLinePunct w:val="0"/>
        <w:bidi w:val="0"/>
        <w:spacing w:line="600" w:lineRule="exact"/>
        <w:ind w:firstLine="640"/>
        <w:rPr>
          <w:rFonts w:hint="default" w:ascii="Times New Roman" w:hAnsi="Times New Roman" w:eastAsia="仿宋" w:cs="Times New Roman"/>
          <w:color w:val="000000"/>
          <w:sz w:val="32"/>
          <w:szCs w:val="32"/>
        </w:rPr>
      </w:pPr>
    </w:p>
    <w:p>
      <w:pPr>
        <w:pageBreakBefore w:val="0"/>
        <w:kinsoku/>
        <w:wordWrap/>
        <w:overflowPunct/>
        <w:topLinePunct w:val="0"/>
        <w:bidi w:val="0"/>
        <w:spacing w:line="600" w:lineRule="exact"/>
        <w:rPr>
          <w:rFonts w:hint="default" w:ascii="Times New Roman" w:hAnsi="Times New Roman" w:eastAsia="仿宋" w:cs="Times New Roman"/>
          <w:color w:val="000000"/>
          <w:sz w:val="32"/>
          <w:szCs w:val="32"/>
        </w:rPr>
      </w:pP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1</w:t>
      </w:r>
      <w:r>
        <w:rPr>
          <w:rFonts w:hint="eastAsia"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因公出国（境）经费支出0万元，完成预算0%。全年安排因公出国（境）团组0次，出国（境）0人。因公出国（境）支出决算比2023年度增加0万元，增长0%。</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2</w:t>
      </w:r>
      <w:r>
        <w:rPr>
          <w:rFonts w:hint="eastAsia"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公务用车购置及运行维护费支出1.77万元,完成预算100%。公务用车购置及运行维护费支出决算比2023年度减少0.73万元，下降29.20%。主要原因是本年度严格用车制度，用车效率提高。</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其中：公务用车购置支出0万元。全年按规定更新购置公务用车0辆，其中：轿车0辆、金额0万元，越野车0辆、金额0万元，载客汽车0辆、金额0万元。截至2024年12月31日，单位共有公务用车</w:t>
      </w:r>
      <w:r>
        <w:rPr>
          <w:rFonts w:hint="eastAsia"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lang w:val="en-US" w:eastAsia="zh-CN"/>
        </w:rPr>
        <w:t>辆，其他用车5辆</w:t>
      </w:r>
      <w:r>
        <w:rPr>
          <w:rFonts w:hint="eastAsia" w:ascii="Times New Roman" w:hAnsi="Times New Roman" w:eastAsia="仿宋_GB2312" w:cs="Times New Roman"/>
          <w:b w:val="0"/>
          <w:bCs/>
          <w:color w:val="auto"/>
          <w:sz w:val="32"/>
          <w:szCs w:val="32"/>
          <w:highlight w:val="none"/>
          <w:lang w:val="en-US" w:eastAsia="zh-CN"/>
        </w:rPr>
        <w:t>，2024年10月报废轿车1辆</w:t>
      </w:r>
      <w:r>
        <w:rPr>
          <w:rFonts w:hint="default" w:ascii="Times New Roman" w:hAnsi="Times New Roman" w:eastAsia="仿宋_GB2312" w:cs="Times New Roman"/>
          <w:b w:val="0"/>
          <w:bCs/>
          <w:color w:val="auto"/>
          <w:sz w:val="32"/>
          <w:szCs w:val="32"/>
          <w:highlight w:val="none"/>
          <w:lang w:val="en-US" w:eastAsia="zh-CN"/>
        </w:rPr>
        <w:t>。</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公务用车运行维护费支出1.77万元。主要用于公路抢险、保洁、因公出行、五指山隧道管理等所需的公务用车燃料费、维修费、过路过桥费、保险费等支出。</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3.公务接待费支出1.15万元，完成预算100%。公务接待费支出决算比2023年度增加0.29万元，增长33.72%。主要原因是2024年省、市公路主管部门对沐川县公路路况督导检测情况较多，接待人数及批次增加。其中：</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国内公务接待支出1.15万元，主要用于开展业务活动开支的用餐费等。国内公务接待12批次，129人次（不包括陪同人员），共计支出1.15万元，具体内容包括：（2023年度普通公路养护绩效考核暨四季度农村公路综合指导公务接待、金额592元；美姑县养护事业发展中心来沐交流学习养护工程项目管理公务接待，金额880元；市交通局农村公路隐患公务接待，金额350元；市公路中心督查公路地质灾害隐患安全生产工作公务接待，金额600元；一季度国省干线暨农村公路综合指导公务接待，金额1280元；市公路中心检测G213线、五犍沐快速路路况公务接待，金额1490元；省市公路主管部门督导部评公务接待，金额1390元；2024年度农村公路自动化检测评定公务接待，金额2380元；省公路局对我县省道310自动化检测公务接待，金额484元；检测国道213线路况公务接待，金额900元；市公路中心检测五指山隧道公务接待，金额1180元）。</w:t>
      </w:r>
    </w:p>
    <w:p>
      <w:pPr>
        <w:pageBreakBefore w:val="0"/>
        <w:suppressAutoHyphens/>
        <w:kinsoku/>
        <w:wordWrap/>
        <w:overflowPunct/>
        <w:topLinePunct w:val="0"/>
        <w:autoSpaceDE/>
        <w:autoSpaceDN/>
        <w:bidi w:val="0"/>
        <w:snapToGrid/>
        <w:spacing w:line="600" w:lineRule="exact"/>
        <w:ind w:firstLine="64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外事接待支出0万元。外事接待0批次，0人次（不包括陪同人员），共计支出0万元。</w:t>
      </w:r>
    </w:p>
    <w:p>
      <w:pPr>
        <w:pageBreakBefore w:val="0"/>
        <w:kinsoku/>
        <w:wordWrap/>
        <w:overflowPunct/>
        <w:topLinePunct w:val="0"/>
        <w:bidi w:val="0"/>
        <w:spacing w:line="600" w:lineRule="exact"/>
        <w:ind w:firstLine="640"/>
        <w:outlineLvl w:val="1"/>
        <w:rPr>
          <w:rStyle w:val="30"/>
          <w:rFonts w:hint="default" w:ascii="Times New Roman" w:hAnsi="Times New Roman" w:eastAsia="黑体" w:cs="Times New Roman"/>
        </w:rPr>
      </w:pPr>
      <w:bookmarkStart w:id="81" w:name="_Toc15396610"/>
      <w:bookmarkStart w:id="82" w:name="_Toc15377218"/>
      <w:bookmarkStart w:id="83" w:name="_Toc788"/>
      <w:r>
        <w:rPr>
          <w:rFonts w:hint="default" w:ascii="Times New Roman" w:hAnsi="Times New Roman" w:eastAsia="黑体" w:cs="Times New Roman"/>
          <w:color w:val="000000"/>
          <w:sz w:val="32"/>
          <w:szCs w:val="32"/>
        </w:rPr>
        <w:t>八、</w:t>
      </w:r>
      <w:r>
        <w:rPr>
          <w:rStyle w:val="30"/>
          <w:rFonts w:hint="default" w:ascii="Times New Roman" w:hAnsi="Times New Roman" w:eastAsia="黑体" w:cs="Times New Roman"/>
          <w:b w:val="0"/>
        </w:rPr>
        <w:t>政府性基金预算支出决算情况说明</w:t>
      </w:r>
      <w:bookmarkEnd w:id="81"/>
      <w:bookmarkEnd w:id="82"/>
      <w:bookmarkEnd w:id="83"/>
    </w:p>
    <w:p>
      <w:pPr>
        <w:pageBreakBefore w:val="0"/>
        <w:kinsoku/>
        <w:wordWrap/>
        <w:overflowPunct/>
        <w:topLinePunct w:val="0"/>
        <w:bidi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年度政府性基金预算财政拨款支出</w:t>
      </w:r>
      <w:r>
        <w:rPr>
          <w:rFonts w:hint="default" w:ascii="Times New Roman" w:hAnsi="Times New Roman" w:eastAsia="仿宋_GB2312" w:cs="Times New Roman"/>
          <w:sz w:val="32"/>
          <w:szCs w:val="32"/>
          <w:lang w:val="en-US" w:eastAsia="zh-CN"/>
        </w:rPr>
        <w:t>436.13</w:t>
      </w:r>
      <w:r>
        <w:rPr>
          <w:rFonts w:hint="default" w:ascii="Times New Roman" w:hAnsi="Times New Roman" w:eastAsia="仿宋_GB2312" w:cs="Times New Roman"/>
          <w:sz w:val="32"/>
          <w:szCs w:val="32"/>
        </w:rPr>
        <w:t>万元。</w:t>
      </w:r>
    </w:p>
    <w:p>
      <w:pPr>
        <w:pageBreakBefore w:val="0"/>
        <w:numPr>
          <w:ilvl w:val="0"/>
          <w:numId w:val="2"/>
        </w:numPr>
        <w:kinsoku/>
        <w:wordWrap/>
        <w:overflowPunct/>
        <w:topLinePunct w:val="0"/>
        <w:bidi w:val="0"/>
        <w:spacing w:line="600" w:lineRule="exact"/>
        <w:ind w:firstLine="640"/>
        <w:outlineLvl w:val="1"/>
        <w:rPr>
          <w:rStyle w:val="30"/>
          <w:rFonts w:hint="default" w:ascii="Times New Roman" w:hAnsi="Times New Roman" w:eastAsia="黑体" w:cs="Times New Roman"/>
          <w:b w:val="0"/>
        </w:rPr>
      </w:pPr>
      <w:bookmarkStart w:id="84" w:name="_Toc15396611"/>
      <w:bookmarkStart w:id="85" w:name="_Toc15377219"/>
      <w:bookmarkStart w:id="86" w:name="_Toc22013"/>
      <w:r>
        <w:rPr>
          <w:rStyle w:val="30"/>
          <w:rFonts w:hint="default" w:ascii="Times New Roman" w:hAnsi="Times New Roman" w:eastAsia="黑体" w:cs="Times New Roman"/>
          <w:b w:val="0"/>
        </w:rPr>
        <w:t>国有资本经营预算支出决算情况说明</w:t>
      </w:r>
      <w:bookmarkEnd w:id="84"/>
      <w:bookmarkEnd w:id="85"/>
      <w:bookmarkEnd w:id="86"/>
    </w:p>
    <w:p>
      <w:pPr>
        <w:pageBreakBefore w:val="0"/>
        <w:kinsoku/>
        <w:wordWrap/>
        <w:overflowPunct/>
        <w:topLinePunct w:val="0"/>
        <w:bidi w:val="0"/>
        <w:spacing w:line="600" w:lineRule="exact"/>
        <w:ind w:firstLine="640"/>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年度国有资本经营预算财政拨款支出0万元。</w:t>
      </w:r>
    </w:p>
    <w:p>
      <w:pPr>
        <w:pageBreakBefore w:val="0"/>
        <w:kinsoku/>
        <w:wordWrap/>
        <w:overflowPunct/>
        <w:topLinePunct w:val="0"/>
        <w:bidi w:val="0"/>
        <w:spacing w:line="600" w:lineRule="exact"/>
        <w:ind w:firstLine="800" w:firstLineChars="250"/>
        <w:outlineLvl w:val="1"/>
        <w:rPr>
          <w:rStyle w:val="30"/>
          <w:rFonts w:hint="default" w:ascii="Times New Roman" w:hAnsi="Times New Roman" w:eastAsia="黑体" w:cs="Times New Roman"/>
        </w:rPr>
      </w:pPr>
      <w:bookmarkStart w:id="87" w:name="_Toc15396612"/>
      <w:bookmarkStart w:id="88" w:name="_Toc15377221"/>
      <w:bookmarkStart w:id="89" w:name="_Toc31703"/>
      <w:r>
        <w:rPr>
          <w:rFonts w:hint="default" w:ascii="Times New Roman" w:hAnsi="Times New Roman" w:eastAsia="黑体" w:cs="Times New Roman"/>
          <w:color w:val="000000"/>
          <w:sz w:val="32"/>
          <w:szCs w:val="32"/>
        </w:rPr>
        <w:t>十</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其他重要事项的情况说明</w:t>
      </w:r>
      <w:bookmarkEnd w:id="87"/>
      <w:bookmarkEnd w:id="88"/>
      <w:bookmarkEnd w:id="89"/>
    </w:p>
    <w:p>
      <w:pPr>
        <w:pageBreakBefore w:val="0"/>
        <w:kinsoku/>
        <w:wordWrap/>
        <w:overflowPunct/>
        <w:topLinePunct w:val="0"/>
        <w:bidi w:val="0"/>
        <w:spacing w:line="600" w:lineRule="exact"/>
        <w:ind w:firstLine="643" w:firstLineChars="200"/>
        <w:outlineLvl w:val="2"/>
        <w:rPr>
          <w:rFonts w:hint="eastAsia" w:ascii="楷体_GB2312" w:hAnsi="楷体_GB2312" w:eastAsia="楷体_GB2312" w:cs="楷体_GB2312"/>
          <w:color w:val="000000"/>
          <w:sz w:val="32"/>
          <w:szCs w:val="32"/>
        </w:rPr>
      </w:pPr>
      <w:bookmarkStart w:id="90" w:name="_Toc15377222"/>
      <w:bookmarkStart w:id="91" w:name="_Toc19489"/>
      <w:bookmarkStart w:id="92" w:name="_Toc26367"/>
      <w:r>
        <w:rPr>
          <w:rFonts w:hint="eastAsia" w:ascii="楷体_GB2312" w:hAnsi="楷体_GB2312" w:eastAsia="楷体_GB2312" w:cs="楷体_GB2312"/>
          <w:b/>
          <w:color w:val="000000"/>
          <w:sz w:val="32"/>
          <w:szCs w:val="32"/>
        </w:rPr>
        <w:t>（一）机关运行经费支出情况</w:t>
      </w:r>
      <w:bookmarkEnd w:id="90"/>
      <w:bookmarkEnd w:id="91"/>
      <w:bookmarkEnd w:id="92"/>
    </w:p>
    <w:p>
      <w:pPr>
        <w:pageBreakBefore w:val="0"/>
        <w:kinsoku/>
        <w:wordWrap/>
        <w:overflowPunct/>
        <w:topLinePunct w:val="0"/>
        <w:bidi w:val="0"/>
        <w:spacing w:line="600" w:lineRule="exact"/>
        <w:ind w:firstLine="640" w:firstLineChars="200"/>
        <w:rPr>
          <w:rFonts w:hint="default" w:ascii="Times New Roman" w:hAnsi="Times New Roman" w:eastAsia="仿宋" w:cs="Times New Roman"/>
          <w:b/>
          <w:color w:val="FF0000"/>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年度，沐川县公路建设服务中心机关运行经费支出0万元，比202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年度增加0万元，增长0%。</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93" w:name="_Toc15377223"/>
      <w:bookmarkStart w:id="94" w:name="_Toc18256"/>
      <w:bookmarkStart w:id="95" w:name="_Toc9749"/>
      <w:r>
        <w:rPr>
          <w:rFonts w:hint="eastAsia" w:ascii="楷体_GB2312" w:hAnsi="楷体_GB2312" w:eastAsia="楷体_GB2312" w:cs="楷体_GB2312"/>
          <w:b/>
          <w:color w:val="000000"/>
          <w:sz w:val="32"/>
          <w:szCs w:val="32"/>
        </w:rPr>
        <w:t>（二）政府采购支出情况</w:t>
      </w:r>
      <w:bookmarkEnd w:id="93"/>
      <w:bookmarkEnd w:id="94"/>
      <w:bookmarkEnd w:id="95"/>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沐川县公路建设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ageBreakBefore w:val="0"/>
        <w:kinsoku/>
        <w:wordWrap/>
        <w:overflowPunct/>
        <w:topLinePunct w:val="0"/>
        <w:bidi w:val="0"/>
        <w:spacing w:line="600" w:lineRule="exact"/>
        <w:ind w:firstLine="643" w:firstLineChars="200"/>
        <w:outlineLvl w:val="2"/>
        <w:rPr>
          <w:rFonts w:hint="eastAsia" w:ascii="楷体_GB2312" w:hAnsi="楷体_GB2312" w:eastAsia="楷体_GB2312" w:cs="楷体_GB2312"/>
          <w:b/>
          <w:color w:val="000000"/>
          <w:sz w:val="32"/>
          <w:szCs w:val="32"/>
        </w:rPr>
      </w:pPr>
      <w:bookmarkStart w:id="96" w:name="_Toc15377224"/>
      <w:bookmarkStart w:id="97" w:name="_Toc17537"/>
      <w:bookmarkStart w:id="98" w:name="_Toc25367"/>
      <w:r>
        <w:rPr>
          <w:rFonts w:hint="eastAsia" w:ascii="楷体_GB2312" w:hAnsi="楷体_GB2312" w:eastAsia="楷体_GB2312" w:cs="楷体_GB2312"/>
          <w:b/>
          <w:color w:val="000000"/>
          <w:sz w:val="32"/>
          <w:szCs w:val="32"/>
        </w:rPr>
        <w:t>（三）国有资产占有使用情况</w:t>
      </w:r>
      <w:bookmarkEnd w:id="96"/>
      <w:bookmarkEnd w:id="97"/>
      <w:bookmarkEnd w:id="98"/>
    </w:p>
    <w:p>
      <w:pPr>
        <w:pageBreakBefore w:val="0"/>
        <w:kinsoku/>
        <w:wordWrap/>
        <w:overflowPunct/>
        <w:topLinePunct w:val="0"/>
        <w:autoSpaceDE w:val="0"/>
        <w:autoSpaceDN w:val="0"/>
        <w:bidi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年12月31日，沐川县公路建设服务中心共有车辆</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辆，其他用车5辆，</w:t>
      </w:r>
      <w:r>
        <w:rPr>
          <w:rFonts w:hint="eastAsia" w:eastAsia="仿宋_GB2312" w:cs="Times New Roman"/>
          <w:sz w:val="32"/>
          <w:szCs w:val="32"/>
          <w:lang w:val="en-US" w:eastAsia="zh-CN"/>
        </w:rPr>
        <w:t>2024年10月报废轿车一辆，</w:t>
      </w:r>
      <w:r>
        <w:rPr>
          <w:rFonts w:hint="default" w:ascii="Times New Roman" w:hAnsi="Times New Roman" w:eastAsia="仿宋_GB2312" w:cs="Times New Roman"/>
          <w:sz w:val="32"/>
          <w:szCs w:val="32"/>
        </w:rPr>
        <w:t>其他用车主要是用于</w:t>
      </w:r>
      <w:r>
        <w:rPr>
          <w:rFonts w:hint="default" w:ascii="Times New Roman" w:hAnsi="Times New Roman" w:eastAsia="仿宋" w:cs="Times New Roman"/>
          <w:color w:val="000000"/>
          <w:sz w:val="32"/>
          <w:szCs w:val="32"/>
        </w:rPr>
        <w:t>公路抢险、保洁、因公出行、五指山隧道管理等所需的公务用车</w:t>
      </w:r>
      <w:r>
        <w:rPr>
          <w:rFonts w:hint="default" w:ascii="Times New Roman" w:hAnsi="Times New Roman" w:eastAsia="仿宋_GB2312" w:cs="Times New Roman"/>
          <w:sz w:val="32"/>
          <w:szCs w:val="32"/>
        </w:rPr>
        <w:t>。单价50万元以上通用设备0台（套），单价100万元以上专用设备（不含车辆）0台（套）。</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hint="eastAsia" w:ascii="楷体_GB2312" w:hAnsi="楷体_GB2312" w:eastAsia="楷体_GB2312" w:cs="楷体_GB2312"/>
          <w:b/>
          <w:sz w:val="32"/>
          <w:szCs w:val="32"/>
          <w:highlight w:val="none"/>
        </w:rPr>
      </w:pPr>
      <w:bookmarkStart w:id="99" w:name="_Toc28899"/>
      <w:bookmarkStart w:id="100" w:name="_Toc2416"/>
      <w:r>
        <w:rPr>
          <w:rFonts w:hint="eastAsia" w:ascii="楷体_GB2312" w:hAnsi="楷体_GB2312" w:eastAsia="楷体_GB2312" w:cs="楷体_GB2312"/>
          <w:b/>
          <w:sz w:val="32"/>
          <w:szCs w:val="32"/>
          <w:highlight w:val="none"/>
        </w:rPr>
        <w:t>（四）预算绩效管理情况</w:t>
      </w:r>
      <w:bookmarkEnd w:id="99"/>
      <w:bookmarkEnd w:id="100"/>
    </w:p>
    <w:p>
      <w:pPr>
        <w:pStyle w:val="2"/>
        <w:pageBreakBefore w:val="0"/>
        <w:kinsoku/>
        <w:wordWrap/>
        <w:overflowPunct/>
        <w:topLinePunct w:val="0"/>
        <w:bidi w:val="0"/>
        <w:spacing w:before="93" w:line="600" w:lineRule="exact"/>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根据预算绩效管理要求，本单位在202</w:t>
      </w: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年度预算编制阶段，组织对县国省</w:t>
      </w:r>
      <w:bookmarkStart w:id="101" w:name="OLE_LINK1"/>
      <w:r>
        <w:rPr>
          <w:rFonts w:hint="default" w:ascii="Times New Roman" w:hAnsi="Times New Roman" w:cs="Times New Roman"/>
          <w:sz w:val="32"/>
          <w:szCs w:val="32"/>
          <w:highlight w:val="none"/>
        </w:rPr>
        <w:t>招标养护</w:t>
      </w:r>
      <w:bookmarkEnd w:id="101"/>
      <w:r>
        <w:rPr>
          <w:rFonts w:hint="default" w:ascii="Times New Roman" w:hAnsi="Times New Roman" w:cs="Times New Roman"/>
          <w:sz w:val="32"/>
          <w:szCs w:val="32"/>
          <w:highlight w:val="none"/>
        </w:rPr>
        <w:t>、县乡道招标养护</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rPr>
        <w:t>快速通道管养经费</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五指山隧道养护</w:t>
      </w:r>
      <w:r>
        <w:rPr>
          <w:rFonts w:hint="default" w:ascii="Times New Roman" w:hAnsi="Times New Roman" w:cs="Times New Roman"/>
          <w:sz w:val="32"/>
          <w:szCs w:val="32"/>
          <w:highlight w:val="none"/>
        </w:rPr>
        <w:t>等</w:t>
      </w: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个项目开展了预算事前绩效评估，对</w:t>
      </w: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个项目编制了绩效目标，预算执行过程中，选取</w:t>
      </w: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个项目开展绩效监控，组织对</w:t>
      </w: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个项目开展绩效自评，绩效自评表详见第四部分附件</w:t>
      </w:r>
    </w:p>
    <w:p>
      <w:pPr>
        <w:pageBreakBefore w:val="0"/>
        <w:widowControl/>
        <w:kinsoku/>
        <w:wordWrap/>
        <w:overflowPunct/>
        <w:topLinePunct w:val="0"/>
        <w:bidi w:val="0"/>
        <w:spacing w:line="600" w:lineRule="exact"/>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br w:type="page"/>
      </w:r>
    </w:p>
    <w:p>
      <w:pPr>
        <w:pStyle w:val="3"/>
        <w:keepNext/>
        <w:keepLines/>
        <w:pageBreakBefore w:val="0"/>
        <w:widowControl w:val="0"/>
        <w:suppressAutoHyphens/>
        <w:kinsoku/>
        <w:wordWrap/>
        <w:overflowPunct/>
        <w:topLinePunct w:val="0"/>
        <w:autoSpaceDE/>
        <w:autoSpaceDN/>
        <w:bidi w:val="0"/>
        <w:adjustRightInd/>
        <w:snapToGrid/>
        <w:spacing w:before="0" w:after="0" w:line="600" w:lineRule="exact"/>
        <w:jc w:val="center"/>
        <w:textAlignment w:val="auto"/>
        <w:rPr>
          <w:rFonts w:hint="default" w:ascii="Times New Roman" w:hAnsi="Times New Roman" w:eastAsia="黑体" w:cs="Times New Roman"/>
          <w:color w:val="auto"/>
          <w:sz w:val="32"/>
          <w:szCs w:val="32"/>
          <w:lang w:eastAsia="zh-CN"/>
        </w:rPr>
      </w:pPr>
      <w:bookmarkStart w:id="102" w:name="_Toc15396613"/>
      <w:bookmarkStart w:id="103" w:name="_Toc15377225"/>
      <w:r>
        <w:rPr>
          <w:rFonts w:hint="eastAsia" w:ascii="Times New Roman" w:hAnsi="Times New Roman" w:eastAsia="黑体" w:cs="Times New Roman"/>
          <w:color w:val="auto"/>
          <w:sz w:val="32"/>
          <w:szCs w:val="32"/>
          <w:lang w:val="en-US" w:eastAsia="zh-CN"/>
        </w:rPr>
        <w:t xml:space="preserve">第三部分  </w:t>
      </w:r>
      <w:bookmarkStart w:id="104" w:name="_Toc22964"/>
      <w:r>
        <w:rPr>
          <w:rFonts w:hint="default" w:ascii="Times New Roman" w:hAnsi="Times New Roman" w:eastAsia="黑体" w:cs="Times New Roman"/>
          <w:color w:val="auto"/>
          <w:sz w:val="32"/>
          <w:szCs w:val="32"/>
          <w:lang w:eastAsia="zh-CN"/>
        </w:rPr>
        <w:t>名词解释</w:t>
      </w:r>
      <w:bookmarkEnd w:id="102"/>
      <w:bookmarkEnd w:id="103"/>
      <w:bookmarkEnd w:id="104"/>
    </w:p>
    <w:p>
      <w:pPr>
        <w:pStyle w:val="27"/>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财政拨款收入：指单位从同级财政部门取得的财政预算资金。</w:t>
      </w:r>
    </w:p>
    <w:p>
      <w:pPr>
        <w:pStyle w:val="27"/>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Style w:val="27"/>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年末结转和结余：指单位按有关规定结转到下年或以后年度继续使用的资金。</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社会保障和就业支出（类）行政事业单位养老支出（款）机关事业单位基本养老保险缴费支出（项）：反映机关事业单位实施养老保险制度由单位缴纳的基本养老保险费支出。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社会保障和就业支出（类）行政事业单位养老支出（款）机关事业单位职业年金缴费支出（项）：反映机关事业单位实施养老保险制度由单位实际缴纳的职业年金支出。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社会保障和就业支出（类）行政事业单位养老支出（款）其他行政事业单位养老支出（项）：反映机关事业单位支付的一次性退休补贴支出。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社会保障和就业支出（类）抚恤（款）死亡抚恤（项）：反映按规定用于烈士和牺牲、病故人员家属的一次性和定期抚恤金以及丧葬补助费。</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社会保障和就业支出（类）抚恤（款）伤残抚恤（项）：反映按规定用于伤残人员的抚恤金和按规定开支的各种伤残补助费。</w:t>
      </w:r>
    </w:p>
    <w:p>
      <w:pPr>
        <w:pageBreakBefore w:val="0"/>
        <w:widowControl/>
        <w:shd w:val="clear" w:color="auto" w:fill="FFFFFF"/>
        <w:kinsoku/>
        <w:wordWrap/>
        <w:overflowPunct/>
        <w:topLinePunct w:val="0"/>
        <w:bidi w:val="0"/>
        <w:spacing w:line="600" w:lineRule="exact"/>
        <w:ind w:firstLine="672" w:firstLineChars="21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9</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卫生健康支出（类）行政事业单位医疗（款）事业单位医疗（项）：反映财政部门安排的事业单位基本医疗保险缴费经费，未参加医疗保险的事业单位的公费医疗经费，按国家规定享受离休人员待遇的医疗经费。</w:t>
      </w:r>
    </w:p>
    <w:p>
      <w:pPr>
        <w:pageBreakBefore w:val="0"/>
        <w:widowControl/>
        <w:shd w:val="clear" w:color="auto" w:fill="FFFFFF"/>
        <w:kinsoku/>
        <w:wordWrap/>
        <w:overflowPunct/>
        <w:topLinePunct w:val="0"/>
        <w:bidi w:val="0"/>
        <w:spacing w:line="600" w:lineRule="exact"/>
        <w:ind w:firstLine="672" w:firstLineChars="21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10</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卫生健康支出（类）行政事业单位医疗（款）公务员医疗补助（项）：反映公务员医疗补助和大病医疗保险缴费。</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eastAsia" w:ascii="仿宋_GB2312" w:hAnsi="仿宋_GB2312" w:eastAsia="仿宋_GB2312" w:cs="仿宋_GB2312"/>
          <w:b w:val="0"/>
          <w:bCs/>
          <w:kern w:val="0"/>
          <w:sz w:val="32"/>
          <w:szCs w:val="32"/>
        </w:rPr>
        <w:t>11.</w:t>
      </w:r>
      <w:r>
        <w:rPr>
          <w:rFonts w:hint="default" w:ascii="Times New Roman" w:hAnsi="Times New Roman" w:eastAsia="仿宋_GB2312" w:cs="Times New Roman"/>
          <w:kern w:val="0"/>
          <w:sz w:val="32"/>
          <w:szCs w:val="32"/>
        </w:rPr>
        <w:t>交通运输支出（类）公路水路运输（款）公路建设（项）：反映新建公路支出，公路改建支出，特大型桥梁建设支出，公路客货运站（场）建设支出。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kern w:val="0"/>
          <w:sz w:val="32"/>
          <w:szCs w:val="32"/>
        </w:rPr>
        <w:t>12</w:t>
      </w:r>
      <w:r>
        <w:rPr>
          <w:rFonts w:hint="eastAsia" w:ascii="仿宋_GB2312" w:hAnsi="仿宋_GB2312" w:eastAsia="仿宋_GB2312" w:cs="仿宋_GB2312"/>
          <w:b w:val="0"/>
          <w:bCs/>
          <w:kern w:val="0"/>
          <w:sz w:val="32"/>
          <w:szCs w:val="32"/>
        </w:rPr>
        <w:t>.</w:t>
      </w:r>
      <w:r>
        <w:rPr>
          <w:rFonts w:hint="default" w:ascii="Times New Roman" w:hAnsi="Times New Roman" w:eastAsia="仿宋_GB2312" w:cs="Times New Roman"/>
          <w:kern w:val="0"/>
          <w:sz w:val="32"/>
          <w:szCs w:val="32"/>
        </w:rPr>
        <w:t>交通运输支出（类）公路水路运输（款）公路养护（项）：反映公路养护支出。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13</w:t>
      </w:r>
      <w:r>
        <w:rPr>
          <w:rFonts w:hint="eastAsia"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交通运输支出（类）公路水路运输（款）其他公路水路运输支出（项）：反映除上述项目以外其他用于公路水路运输方面的支出。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14</w:t>
      </w:r>
      <w:r>
        <w:rPr>
          <w:rFonts w:hint="eastAsia"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住房保障支出（类）住房改革支出（款）住房公积金（项）：反映行政事业单位按人力资源和社会保障部、财政部规定的基本工资和津贴补贴以及规定比例为职工缴纳的住房公积金。</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15</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pageBreakBefore w:val="0"/>
        <w:kinsoku/>
        <w:wordWrap/>
        <w:overflowPunct/>
        <w:topLinePunct w:val="0"/>
        <w:bidi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w:t>
      </w:r>
      <w:r>
        <w:rPr>
          <w:rFonts w:hint="eastAsia" w:ascii="仿宋_GB2312" w:hAnsi="仿宋_GB2312" w:eastAsia="仿宋_GB2312" w:cs="仿宋_GB2312"/>
          <w:color w:val="000000"/>
          <w:sz w:val="32"/>
          <w:szCs w:val="32"/>
        </w:rPr>
        <w:t>.</w:t>
      </w:r>
      <w:r>
        <w:rPr>
          <w:rFonts w:hint="default" w:ascii="Times New Roman" w:hAnsi="Times New Roman" w:eastAsia="仿宋_GB2312" w:cs="Times New Roman"/>
          <w:color w:val="000000"/>
          <w:sz w:val="32"/>
          <w:szCs w:val="32"/>
        </w:rPr>
        <w:t>项目支出：指在基本支出之外为完成特定行政任务和事业发展目标所发生的支出。</w:t>
      </w:r>
    </w:p>
    <w:p>
      <w:pPr>
        <w:pStyle w:val="27"/>
        <w:pageBreakBefore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pageBreakBefore w:val="0"/>
        <w:numPr>
          <w:numId w:val="0"/>
        </w:numPr>
        <w:kinsoku/>
        <w:wordWrap/>
        <w:overflowPunct/>
        <w:topLinePunct w:val="0"/>
        <w:bidi w:val="0"/>
        <w:spacing w:line="600" w:lineRule="exact"/>
        <w:ind w:leftChars="150"/>
        <w:jc w:val="center"/>
        <w:outlineLvl w:val="0"/>
        <w:rPr>
          <w:rFonts w:hint="default" w:ascii="Times New Roman" w:hAnsi="Times New Roman" w:eastAsia="黑体" w:cs="Times New Roman"/>
          <w:sz w:val="32"/>
          <w:szCs w:val="32"/>
          <w:highlight w:val="none"/>
        </w:rPr>
      </w:pPr>
      <w:bookmarkStart w:id="105" w:name="_Toc19626"/>
      <w:r>
        <w:rPr>
          <w:rFonts w:hint="eastAsia" w:eastAsia="黑体" w:cs="Times New Roman"/>
          <w:sz w:val="32"/>
          <w:szCs w:val="32"/>
          <w:highlight w:val="none"/>
          <w:lang w:val="en-US" w:eastAsia="zh-CN"/>
        </w:rPr>
        <w:t xml:space="preserve">第四部分  </w:t>
      </w:r>
      <w:r>
        <w:rPr>
          <w:rFonts w:hint="default" w:ascii="Times New Roman" w:hAnsi="Times New Roman" w:eastAsia="黑体" w:cs="Times New Roman"/>
          <w:sz w:val="32"/>
          <w:szCs w:val="32"/>
          <w:highlight w:val="none"/>
        </w:rPr>
        <w:t>附件</w:t>
      </w:r>
      <w:bookmarkEnd w:id="12"/>
      <w:bookmarkEnd w:id="105"/>
    </w:p>
    <w:p>
      <w:pPr>
        <w:pStyle w:val="13"/>
        <w:pageBreakBefore w:val="0"/>
        <w:kinsoku/>
        <w:wordWrap/>
        <w:overflowPunct/>
        <w:topLinePunct w:val="0"/>
        <w:bidi w:val="0"/>
        <w:spacing w:line="600" w:lineRule="exact"/>
        <w:rPr>
          <w:rFonts w:hint="default"/>
        </w:rPr>
      </w:pPr>
      <w:r>
        <w:rPr>
          <w:rFonts w:hint="eastAsia" w:ascii="Times New Roman" w:hAnsi="Times New Roman" w:eastAsia="黑体" w:cs="Times New Roman"/>
          <w:color w:val="auto"/>
          <w:kern w:val="2"/>
          <w:sz w:val="32"/>
          <w:szCs w:val="32"/>
          <w:lang w:val="en-US" w:eastAsia="zh-CN" w:bidi="ar-SA"/>
        </w:rPr>
        <w:t>附件1</w:t>
      </w:r>
    </w:p>
    <w:p>
      <w:pPr>
        <w:pageBreakBefore w:val="0"/>
        <w:widowControl/>
        <w:kinsoku/>
        <w:wordWrap/>
        <w:overflowPunct/>
        <w:topLinePunct w:val="0"/>
        <w:autoSpaceDE/>
        <w:autoSpaceDN/>
        <w:bidi w:val="0"/>
        <w:spacing w:line="600" w:lineRule="exact"/>
        <w:contextualSpacing/>
        <w:jc w:val="center"/>
        <w:rPr>
          <w:rFonts w:hint="default" w:ascii="Times New Roman" w:hAnsi="Times New Roman" w:eastAsia="方正小标宋简体" w:cs="Times New Roman"/>
          <w:color w:val="auto"/>
          <w:sz w:val="44"/>
          <w:szCs w:val="44"/>
          <w:shd w:val="clear" w:color="auto" w:fill="FFFFFF"/>
          <w:lang w:val="en-US" w:eastAsia="zh-CN"/>
        </w:rPr>
      </w:pPr>
      <w:r>
        <w:rPr>
          <w:rFonts w:hint="eastAsia" w:ascii="Times New Roman" w:hAnsi="Times New Roman" w:eastAsia="方正小标宋简体" w:cs="Times New Roman"/>
          <w:color w:val="auto"/>
          <w:sz w:val="44"/>
          <w:szCs w:val="44"/>
          <w:shd w:val="clear" w:color="auto" w:fill="FFFFFF"/>
          <w:lang w:val="en-US" w:eastAsia="zh-CN"/>
        </w:rPr>
        <w:t>沐川县公路建设服务中心</w:t>
      </w:r>
    </w:p>
    <w:p>
      <w:pPr>
        <w:pageBreakBefore w:val="0"/>
        <w:widowControl/>
        <w:kinsoku/>
        <w:wordWrap/>
        <w:overflowPunct/>
        <w:topLinePunct w:val="0"/>
        <w:autoSpaceDE/>
        <w:autoSpaceDN/>
        <w:bidi w:val="0"/>
        <w:spacing w:line="600" w:lineRule="exact"/>
        <w:contextualSpacing/>
        <w:jc w:val="center"/>
        <w:rPr>
          <w:rFonts w:ascii="宋体" w:hAnsi="宋体"/>
          <w:color w:val="auto"/>
          <w:kern w:val="2"/>
          <w:sz w:val="32"/>
          <w:szCs w:val="32"/>
        </w:rPr>
      </w:pPr>
      <w:r>
        <w:rPr>
          <w:rFonts w:hint="eastAsia" w:ascii="Times New Roman" w:hAnsi="Times New Roman" w:eastAsia="方正小标宋简体" w:cs="Times New Roman"/>
          <w:color w:val="auto"/>
          <w:sz w:val="44"/>
          <w:szCs w:val="44"/>
          <w:shd w:val="clear" w:color="auto" w:fill="FFFFFF"/>
          <w:lang w:val="en-US" w:eastAsia="zh-CN"/>
        </w:rPr>
        <w:t>2024年道路养护经费绩效评价报告</w:t>
      </w:r>
    </w:p>
    <w:p>
      <w:pPr>
        <w:pStyle w:val="4"/>
        <w:keepNext/>
        <w:keepLines/>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Style w:val="30"/>
          <w:rFonts w:hint="eastAsia" w:ascii="Times New Roman" w:hAnsi="Times New Roman" w:eastAsia="黑体" w:cs="Times New Roman"/>
          <w:b w:val="0"/>
          <w:bCs w:val="0"/>
          <w:color w:val="auto"/>
          <w:highlight w:val="none"/>
          <w:lang w:val="zh-CN" w:eastAsia="zh-CN"/>
        </w:rPr>
      </w:pPr>
      <w:bookmarkStart w:id="106" w:name="_Toc19903"/>
      <w:bookmarkStart w:id="107" w:name="_Toc32629"/>
      <w:r>
        <w:rPr>
          <w:rStyle w:val="30"/>
          <w:rFonts w:hint="eastAsia" w:ascii="Times New Roman" w:hAnsi="Times New Roman" w:eastAsia="黑体" w:cs="Times New Roman"/>
          <w:b w:val="0"/>
          <w:bCs w:val="0"/>
          <w:color w:val="auto"/>
          <w:highlight w:val="none"/>
          <w:lang w:val="zh-CN" w:eastAsia="zh-CN"/>
        </w:rPr>
        <w:t>一、项目概况</w:t>
      </w:r>
      <w:bookmarkEnd w:id="106"/>
      <w:bookmarkEnd w:id="107"/>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（一）设立背景及基本情况</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2024年中央、市级、县级下达沐川县公路建设服务中心道路养护经费733.31万元，经县政府批准，主要用于国省道2024年养护费、国省道水毁修复等零星修复项目。</w:t>
      </w:r>
    </w:p>
    <w:p>
      <w:pPr>
        <w:pageBreakBefore w:val="0"/>
        <w:numPr>
          <w:ilvl w:val="0"/>
          <w:numId w:val="3"/>
        </w:numPr>
        <w:kinsoku/>
        <w:wordWrap/>
        <w:overflowPunct/>
        <w:topLinePunct w:val="0"/>
        <w:bidi w:val="0"/>
        <w:spacing w:line="600" w:lineRule="exact"/>
        <w:ind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实施目的及支持方向</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通过对预算项目的绩效评价，了解项目实施进度情况，项目资金使用情况及取得的效果，总结项目建设和专项资金管理的经验，发现项目专项资金管理中存在的问题，为提高资金的使用效益，加强财政支出的规范化管理，健全和完善支出项目和资金使用管理办法，完善预算编制、加强绩效目标管理和绩效考核工作提供重要的参考依据。</w:t>
      </w:r>
    </w:p>
    <w:p>
      <w:pPr>
        <w:pageBreakBefore w:val="0"/>
        <w:widowControl/>
        <w:numPr>
          <w:ilvl w:val="0"/>
          <w:numId w:val="3"/>
        </w:numPr>
        <w:kinsoku/>
        <w:wordWrap/>
        <w:overflowPunct/>
        <w:topLinePunct w:val="0"/>
        <w:bidi w:val="0"/>
        <w:adjustRightInd w:val="0"/>
        <w:snapToGrid w:val="0"/>
        <w:spacing w:line="600" w:lineRule="exact"/>
        <w:ind w:left="0" w:leftChars="0" w:firstLine="640" w:firstLineChars="200"/>
        <w:contextualSpacing/>
        <w:jc w:val="left"/>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预算安排及分配管理</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按项目进度进行预算安排，保障项目顺利实施。项目资金按财政交通专项资金管理办法进行支付。2024年中央、市级、县级专项资金共计733.31万元，已完成支付733.31万元，其中：国省道2024年养护经费360.59万元，国省道零星水毁修复款372.72万元。</w:t>
      </w:r>
    </w:p>
    <w:p>
      <w:pPr>
        <w:pageBreakBefore w:val="0"/>
        <w:numPr>
          <w:ilvl w:val="0"/>
          <w:numId w:val="3"/>
        </w:numPr>
        <w:kinsoku/>
        <w:wordWrap/>
        <w:overflowPunct/>
        <w:topLinePunct w:val="0"/>
        <w:bidi w:val="0"/>
        <w:adjustRightInd w:val="0"/>
        <w:snapToGrid w:val="0"/>
        <w:spacing w:line="600" w:lineRule="exact"/>
        <w:ind w:left="0" w:leftChars="0"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项目绩效目标设置</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主管部门对项目规划、项目预算、资金分配、项目实施、项目质量进行监管，保障资金专款专用，确保项目资金高效、准确、安全使用。按项目具体实施情况，设置项目具体绩效目标，指标体系包括：数量指标、质量指标、时效指标、经济效益指标、社会效益指标、生态效益指标、改善通行服务水平群众满意度和经济成本指标。成立由分管领导牵头的自评工作领导小组，高质量，高效率完成自评工作。</w:t>
      </w:r>
    </w:p>
    <w:p>
      <w:pPr>
        <w:pageBreakBefore w:val="0"/>
        <w:kinsoku/>
        <w:wordWrap/>
        <w:overflowPunct/>
        <w:topLinePunct w:val="0"/>
        <w:bidi w:val="0"/>
        <w:adjustRightInd w:val="0"/>
        <w:snapToGrid w:val="0"/>
        <w:spacing w:line="600" w:lineRule="exact"/>
        <w:ind w:firstLine="640" w:firstLineChars="200"/>
        <w:rPr>
          <w:rStyle w:val="30"/>
          <w:rFonts w:hint="default" w:ascii="Times New Roman" w:hAnsi="Times New Roman" w:eastAsia="黑体" w:cs="Times New Roman"/>
          <w:b w:val="0"/>
          <w:bCs w:val="0"/>
          <w:color w:val="auto"/>
          <w:highlight w:val="none"/>
          <w:lang w:val="zh-CN" w:eastAsia="zh-CN" w:bidi="ar-SA"/>
        </w:rPr>
      </w:pPr>
      <w:bookmarkStart w:id="108" w:name="_Toc21245"/>
      <w:bookmarkStart w:id="109" w:name="_Toc24381"/>
      <w:r>
        <w:rPr>
          <w:rStyle w:val="30"/>
          <w:rFonts w:hint="eastAsia" w:ascii="Times New Roman" w:hAnsi="Times New Roman" w:eastAsia="黑体" w:cs="Times New Roman"/>
          <w:b w:val="0"/>
          <w:bCs w:val="0"/>
          <w:color w:val="auto"/>
          <w:highlight w:val="none"/>
          <w:lang w:val="zh-CN" w:eastAsia="zh-CN" w:bidi="ar-SA"/>
        </w:rPr>
        <w:t>二、评价实施</w:t>
      </w:r>
    </w:p>
    <w:bookmarkEnd w:id="108"/>
    <w:bookmarkEnd w:id="109"/>
    <w:p>
      <w:pPr>
        <w:pStyle w:val="1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textAlignment w:val="auto"/>
        <w:rPr>
          <w:rFonts w:hint="default"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（一）评价目的</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通过对预算项目的绩效评价，了解项目实施进度情况，项目资金使用情况及取得的效果，总结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p>
    <w:p>
      <w:pPr>
        <w:pageBreakBefore w:val="0"/>
        <w:numPr>
          <w:ilvl w:val="0"/>
          <w:numId w:val="4"/>
        </w:numPr>
        <w:kinsoku/>
        <w:wordWrap/>
        <w:overflowPunct/>
        <w:topLinePunct w:val="0"/>
        <w:bidi w:val="0"/>
        <w:adjustRightInd w:val="0"/>
        <w:snapToGrid w:val="0"/>
        <w:spacing w:line="600" w:lineRule="exact"/>
        <w:ind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预设问题及评价重点</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评价重点包括资金支出使用全过程及实施效果，重点关注项目决策、管理、实施和结果四个方面。按照绩效评价指标体系，对资金支出使用全过程及其实施效果进行综合评价和判断。规范项目申报、资金使用合法合规，项目明细清晰，支付资金与预算相符，保证项目资金的专款专用。严格按照财务管理制度，对照项目资金管理办法，对项目资金及时审核支付。财务处理及时，会计核算规范。</w:t>
      </w:r>
    </w:p>
    <w:p>
      <w:pPr>
        <w:pageBreakBefore w:val="0"/>
        <w:numPr>
          <w:ilvl w:val="0"/>
          <w:numId w:val="4"/>
        </w:numPr>
        <w:kinsoku/>
        <w:wordWrap/>
        <w:overflowPunct/>
        <w:topLinePunct w:val="0"/>
        <w:bidi w:val="0"/>
        <w:adjustRightInd w:val="0"/>
        <w:snapToGrid w:val="0"/>
        <w:spacing w:line="600" w:lineRule="exact"/>
        <w:ind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评价选点</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按项目实施全过程，对项目实地开展到项目资金申请、支付全过程进行监督检查。</w:t>
      </w:r>
    </w:p>
    <w:p>
      <w:pPr>
        <w:pageBreakBefore w:val="0"/>
        <w:numPr>
          <w:ilvl w:val="0"/>
          <w:numId w:val="4"/>
        </w:numPr>
        <w:kinsoku/>
        <w:wordWrap/>
        <w:overflowPunct/>
        <w:topLinePunct w:val="0"/>
        <w:bidi w:val="0"/>
        <w:spacing w:line="600" w:lineRule="exact"/>
        <w:ind w:left="0" w:leftChars="0"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评价方法</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根据项目情况和评价重点，用来收集相关材料和开展具体评价的方法。包括：采用单位自评法、实地勘察法、问卷调查法、座谈调研法等多种方法。</w:t>
      </w:r>
    </w:p>
    <w:p>
      <w:pPr>
        <w:pageBreakBefore w:val="0"/>
        <w:numPr>
          <w:ilvl w:val="0"/>
          <w:numId w:val="4"/>
        </w:numPr>
        <w:kinsoku/>
        <w:wordWrap/>
        <w:overflowPunct/>
        <w:topLinePunct w:val="0"/>
        <w:bidi w:val="0"/>
        <w:adjustRightInd w:val="0"/>
        <w:snapToGrid w:val="0"/>
        <w:spacing w:line="600" w:lineRule="exact"/>
        <w:ind w:firstLine="640" w:firstLineChars="200"/>
        <w:rPr>
          <w:rFonts w:hint="eastAsia" w:ascii="Times New Roman" w:hAnsi="Times New Roman" w:eastAsia="楷体_GB2312" w:cs="Times New Roman"/>
          <w:kern w:val="2"/>
          <w:sz w:val="32"/>
          <w:szCs w:val="32"/>
          <w:lang w:val="zh-CN" w:eastAsia="zh-CN" w:bidi="ar-SA"/>
        </w:rPr>
      </w:pPr>
      <w:r>
        <w:rPr>
          <w:rFonts w:hint="eastAsia" w:ascii="Times New Roman" w:hAnsi="Times New Roman" w:eastAsia="楷体_GB2312" w:cs="Times New Roman"/>
          <w:kern w:val="2"/>
          <w:sz w:val="32"/>
          <w:szCs w:val="32"/>
          <w:lang w:val="zh-CN" w:eastAsia="zh-CN" w:bidi="ar-SA"/>
        </w:rPr>
        <w:t>评价组织</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我中心开展绩效自评分两个步骤：一是准备阶段，主要是收集评价项目的基础资料；二是自评阶段，按照相关要求，撰写项目自评报告。我中心成立了项目绩效评价小组，负责项目的绩效自评工作。</w:t>
      </w:r>
    </w:p>
    <w:p>
      <w:pPr>
        <w:pageBreakBefore w:val="0"/>
        <w:kinsoku/>
        <w:wordWrap/>
        <w:overflowPunct/>
        <w:topLinePunct w:val="0"/>
        <w:bidi w:val="0"/>
        <w:adjustRightInd w:val="0"/>
        <w:snapToGrid w:val="0"/>
        <w:spacing w:line="600" w:lineRule="exact"/>
        <w:ind w:firstLine="640" w:firstLineChars="200"/>
        <w:rPr>
          <w:rFonts w:ascii="仿宋_GB2312" w:hAnsi="宋体"/>
          <w:sz w:val="32"/>
          <w:szCs w:val="32"/>
          <w:lang w:val="zh-CN"/>
        </w:rPr>
      </w:pPr>
      <w:bookmarkStart w:id="110" w:name="_Toc28104"/>
      <w:bookmarkStart w:id="111" w:name="_Toc17882"/>
      <w:r>
        <w:rPr>
          <w:rStyle w:val="30"/>
          <w:rFonts w:hint="eastAsia" w:ascii="Times New Roman" w:hAnsi="Times New Roman" w:eastAsia="黑体" w:cs="Times New Roman"/>
          <w:b w:val="0"/>
          <w:bCs w:val="0"/>
          <w:color w:val="auto"/>
          <w:sz w:val="32"/>
          <w:szCs w:val="32"/>
          <w:highlight w:val="none"/>
          <w:lang w:val="zh-CN" w:eastAsia="zh-CN" w:bidi="ar-SA"/>
        </w:rPr>
        <w:t>三、绩效分析</w:t>
      </w:r>
      <w:bookmarkEnd w:id="110"/>
      <w:bookmarkEnd w:id="111"/>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color w:val="auto"/>
          <w:sz w:val="32"/>
          <w:szCs w:val="32"/>
          <w:highlight w:val="none"/>
          <w:u w:val="none"/>
          <w:lang w:val="zh-CN" w:eastAsia="zh-CN"/>
        </w:rPr>
      </w:pPr>
      <w:r>
        <w:rPr>
          <w:rFonts w:hint="eastAsia" w:ascii="Times New Roman" w:hAnsi="Times New Roman" w:eastAsia="楷体_GB2312" w:cs="Times New Roman"/>
          <w:b w:val="0"/>
          <w:bCs/>
          <w:color w:val="auto"/>
          <w:sz w:val="32"/>
          <w:szCs w:val="32"/>
          <w:highlight w:val="none"/>
          <w:u w:val="none"/>
          <w:lang w:val="zh-CN" w:eastAsia="zh-CN"/>
        </w:rPr>
        <w:t>（一）通用指标</w:t>
      </w:r>
      <w:r>
        <w:rPr>
          <w:rFonts w:hint="default" w:ascii="Times New Roman" w:hAnsi="Times New Roman" w:eastAsia="楷体_GB2312" w:cs="Times New Roman"/>
          <w:b w:val="0"/>
          <w:bCs/>
          <w:color w:val="auto"/>
          <w:sz w:val="32"/>
          <w:szCs w:val="32"/>
          <w:highlight w:val="none"/>
          <w:u w:val="none"/>
          <w:lang w:val="zh-CN" w:eastAsia="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1.项目决策。项目程序规范，规划论证充分，资金投向准确。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2.项目管理。按相关财政文件执行，制度建全。资金分配科学合理。绩效监管有效。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3.项目实施。项目预算执行良好，资金使用合规。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4.项目结果。目标完成率高，完成时效符合预期。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color w:val="auto"/>
          <w:sz w:val="32"/>
          <w:szCs w:val="32"/>
          <w:highlight w:val="none"/>
          <w:u w:val="none"/>
          <w:lang w:val="zh-CN" w:eastAsia="zh-CN"/>
        </w:rPr>
      </w:pPr>
      <w:r>
        <w:rPr>
          <w:rFonts w:hint="eastAsia" w:ascii="Times New Roman" w:hAnsi="Times New Roman" w:eastAsia="楷体_GB2312" w:cs="Times New Roman"/>
          <w:b w:val="0"/>
          <w:bCs/>
          <w:color w:val="auto"/>
          <w:sz w:val="32"/>
          <w:szCs w:val="32"/>
          <w:highlight w:val="none"/>
          <w:u w:val="none"/>
          <w:lang w:val="zh-CN" w:eastAsia="zh-CN"/>
        </w:rPr>
        <w:t>（二）专用指标</w:t>
      </w:r>
      <w:r>
        <w:rPr>
          <w:rFonts w:hint="default" w:ascii="Times New Roman" w:hAnsi="Times New Roman" w:eastAsia="楷体_GB2312" w:cs="Times New Roman"/>
          <w:b w:val="0"/>
          <w:bCs/>
          <w:color w:val="auto"/>
          <w:sz w:val="32"/>
          <w:szCs w:val="32"/>
          <w:highlight w:val="none"/>
          <w:u w:val="none"/>
          <w:lang w:val="zh-CN" w:eastAsia="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1.产业发展。符合区域经济发展需求，成长性和经济性显著。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民生保障。</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区域均衡性良好，对象精准，标准便，群众满意度高。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3.基础设施。在建工程进度和资金拨付符合计划，建成项目验收合格，功能实现良好，后续管护到位。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行政运转。</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用途、程序和标准均符合规定。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四、评价结论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我中心2024年</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中央、市级、县级</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道路养护经费</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733.31</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万元，实现支付</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733.31</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万元，完成支付占比</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100</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%。项目按预算进度实施，项目建设有序进行，项目资金使用、拨付符合国家财经法规、财务管理制度及有关专项资金管理制度办法规定和审批程序。经自评领导小组评审，自评得分为</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98</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五、存在主要问题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我县国省道</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路</w:t>
      </w: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管养</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里程</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长达183.976公里，</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管理养护点多、面广，</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全</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县地属山区，坡陡、弯急，</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洪期公路水毁严重，</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修复整治成本增加，</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公路养护经费以及水毁工程抢修等资金</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需求缺口较大</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val="zh-CN" w:eastAsia="zh-CN"/>
        </w:rPr>
      </w:pPr>
      <w:r>
        <w:rPr>
          <w:rFonts w:hint="eastAsia" w:ascii="Times New Roman" w:hAnsi="Times New Roman" w:eastAsia="黑体" w:cs="Times New Roman"/>
          <w:bCs/>
          <w:sz w:val="32"/>
          <w:szCs w:val="32"/>
          <w:lang w:val="zh-CN" w:eastAsia="zh-CN"/>
        </w:rPr>
        <w:t>六、改进建议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pPr>
      <w:bookmarkStart w:id="112" w:name="_Hlk110546638"/>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加强项目资金控制，提高预算管理水平。争取县政府和上级主管部门政策支持，加大项目资金投入，加强与县财政沟通协调，及时了解项目需求，准确及时足额拨付项目资金，确保项目顺利实施完成，进一步提高项目资金使用效率。</w:t>
      </w:r>
      <w:bookmarkEnd w:id="112"/>
    </w:p>
    <w:p>
      <w:pPr>
        <w:pStyle w:val="2"/>
        <w:pageBreakBefore w:val="0"/>
        <w:kinsoku/>
        <w:wordWrap/>
        <w:overflowPunct/>
        <w:topLinePunct w:val="0"/>
        <w:bidi w:val="0"/>
        <w:spacing w:line="600" w:lineRule="exact"/>
        <w:rPr>
          <w:rFonts w:hint="eastAsia"/>
          <w:lang w:val="zh-CN"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附表：专项预算项目绩效目标完成情况自评表</w:t>
      </w:r>
    </w:p>
    <w:p>
      <w:pPr>
        <w:pageBreakBefore w:val="0"/>
        <w:kinsoku/>
        <w:wordWrap/>
        <w:overflowPunct/>
        <w:topLinePunct w:val="0"/>
        <w:bidi w:val="0"/>
        <w:snapToGrid w:val="0"/>
        <w:spacing w:line="600" w:lineRule="exact"/>
        <w:ind w:firstLine="420" w:firstLineChars="200"/>
        <w:rPr>
          <w:kern w:val="0"/>
          <w:shd w:val="clear" w:color="auto" w:fill="FFFFFF"/>
          <w:lang w:val="zh-CN"/>
        </w:rPr>
      </w:pPr>
      <w:r>
        <w:rPr>
          <w:rFonts w:hint="eastAsia"/>
          <w:kern w:val="0"/>
          <w:shd w:val="clear" w:color="auto" w:fill="FFFFFF"/>
          <w:lang w:val="zh-CN"/>
        </w:rPr>
        <w:br w:type="page"/>
      </w:r>
    </w:p>
    <w:tbl>
      <w:tblPr>
        <w:tblStyle w:val="16"/>
        <w:tblpPr w:leftFromText="180" w:rightFromText="180" w:vertAnchor="text" w:horzAnchor="page" w:tblpX="862" w:tblpY="-651"/>
        <w:tblOverlap w:val="never"/>
        <w:tblW w:w="10233" w:type="dxa"/>
        <w:tblInd w:w="0" w:type="dxa"/>
        <w:tblLayout w:type="fixed"/>
        <w:tblCellMar>
          <w:top w:w="15" w:type="dxa"/>
          <w:left w:w="15" w:type="dxa"/>
          <w:bottom w:w="15" w:type="dxa"/>
          <w:right w:w="15" w:type="dxa"/>
        </w:tblCellMar>
      </w:tblPr>
      <w:tblGrid>
        <w:gridCol w:w="652"/>
        <w:gridCol w:w="1081"/>
        <w:gridCol w:w="1250"/>
        <w:gridCol w:w="1312"/>
        <w:gridCol w:w="1049"/>
        <w:gridCol w:w="1049"/>
        <w:gridCol w:w="1061"/>
        <w:gridCol w:w="938"/>
        <w:gridCol w:w="1841"/>
      </w:tblGrid>
      <w:tr>
        <w:tblPrEx>
          <w:tblCellMar>
            <w:top w:w="15" w:type="dxa"/>
            <w:left w:w="15" w:type="dxa"/>
            <w:bottom w:w="15" w:type="dxa"/>
            <w:right w:w="15" w:type="dxa"/>
          </w:tblCellMar>
        </w:tblPrEx>
        <w:trPr>
          <w:trHeight w:val="576" w:hRule="atLeast"/>
        </w:trPr>
        <w:tc>
          <w:tcPr>
            <w:tcW w:w="10233" w:type="dxa"/>
            <w:gridSpan w:val="9"/>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br w:type="page"/>
            </w:r>
            <w:r>
              <w:rPr>
                <w:rFonts w:hint="default" w:ascii="Times New Roman" w:hAnsi="Times New Roman" w:eastAsia="仿宋_GB2312" w:cs="Times New Roman"/>
                <w:color w:val="000000"/>
                <w:kern w:val="0"/>
                <w:sz w:val="28"/>
                <w:szCs w:val="28"/>
              </w:rPr>
              <w:t>专项预算项目绩效目标完成情况自评表</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道路养护经费</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沐川县公路建设服务中心</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中央、市级交通专项资金</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中长期规划（名称、文号，仅指常年项目）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421"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tabs>
                <w:tab w:val="left" w:pos="1715"/>
              </w:tabs>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绩效分配方式</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因素法</w:t>
            </w:r>
          </w:p>
        </w:tc>
        <w:tc>
          <w:tcPr>
            <w:tcW w:w="2110"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项目法</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√据实据效</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因素法与项目法相结合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国省道养护费</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2024年</w:t>
            </w:r>
          </w:p>
        </w:tc>
      </w:tr>
      <w:tr>
        <w:tblPrEx>
          <w:tblCellMar>
            <w:top w:w="15" w:type="dxa"/>
            <w:left w:w="15" w:type="dxa"/>
            <w:bottom w:w="15" w:type="dxa"/>
            <w:right w:w="15" w:type="dxa"/>
          </w:tblCellMar>
        </w:tblPrEx>
        <w:trPr>
          <w:trHeight w:val="23" w:hRule="atLeast"/>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项目资金</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733.31</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733.31</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righ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年度目标</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完成交通项目建设、农村公路养护、维修整治，完成农村客运补贴、水运项目建设。</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绩效 指标</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一级指标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三级指标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指标性质</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指标值</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度量单位</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权重</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实际完成指标值</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restart"/>
            <w:tcBorders>
              <w:top w:val="single" w:color="000000" w:sz="4" w:space="0"/>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restart"/>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数量指标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公路灾毁应急抢修保通</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个</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p>
        </w:tc>
      </w:tr>
      <w:tr>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continue"/>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农村公路养护</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183.976</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公里</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183.976</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质量指标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资金使用合规性</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完工项目验收合格率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100%</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100%</w:t>
            </w:r>
          </w:p>
        </w:tc>
      </w:tr>
      <w:tr>
        <w:tblPrEx>
          <w:tblCellMar>
            <w:top w:w="15" w:type="dxa"/>
            <w:left w:w="15" w:type="dxa"/>
            <w:bottom w:w="15" w:type="dxa"/>
            <w:right w:w="15" w:type="dxa"/>
          </w:tblCellMar>
        </w:tblPrEx>
        <w:trPr>
          <w:trHeight w:val="56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时效指标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2024年</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效益指标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经济效益</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推动地方经济的提升，促进城乡共同繁荣</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明显</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明显</w:t>
            </w:r>
          </w:p>
        </w:tc>
      </w:tr>
      <w:tr>
        <w:tblPrEx>
          <w:tblCellMar>
            <w:top w:w="15" w:type="dxa"/>
            <w:left w:w="15" w:type="dxa"/>
            <w:bottom w:w="15" w:type="dxa"/>
            <w:right w:w="15" w:type="dxa"/>
          </w:tblCellMar>
        </w:tblPrEx>
        <w:trPr>
          <w:trHeight w:val="9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社会效益</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确保公路安全、畅通、整洁，确保车辆行人安全出行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提升</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5%</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提升</w:t>
            </w:r>
          </w:p>
        </w:tc>
      </w:tr>
      <w:tr>
        <w:tblPrEx>
          <w:tblCellMar>
            <w:top w:w="15" w:type="dxa"/>
            <w:left w:w="15" w:type="dxa"/>
            <w:bottom w:w="15" w:type="dxa"/>
            <w:right w:w="15" w:type="dxa"/>
          </w:tblCellMar>
        </w:tblPrEx>
        <w:trPr>
          <w:trHeight w:val="724"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生态效益指标</w:t>
            </w:r>
          </w:p>
        </w:tc>
        <w:tc>
          <w:tcPr>
            <w:tcW w:w="1312"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打造绿色交通</w:t>
            </w: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符合</w:t>
            </w:r>
          </w:p>
        </w:tc>
        <w:tc>
          <w:tcPr>
            <w:tcW w:w="1061"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符合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auto"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tcBorders>
              <w:top w:val="single" w:color="auto" w:sz="4" w:space="0"/>
              <w:left w:val="single" w:color="auto"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满意度</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250" w:type="dxa"/>
            <w:tcBorders>
              <w:top w:val="single" w:color="auto"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改善通行服务水平群众满意度</w:t>
            </w:r>
          </w:p>
        </w:tc>
        <w:tc>
          <w:tcPr>
            <w:tcW w:w="1312"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群众满意</w:t>
            </w: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≥80%</w:t>
            </w:r>
          </w:p>
        </w:tc>
        <w:tc>
          <w:tcPr>
            <w:tcW w:w="1061" w:type="dxa"/>
            <w:tcBorders>
              <w:top w:val="single" w:color="auto" w:sz="4" w:space="0"/>
              <w:left w:val="single" w:color="000000" w:sz="4" w:space="0"/>
              <w:bottom w:val="single" w:color="auto" w:sz="4" w:space="0"/>
              <w:right w:val="single" w:color="auto"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auto"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≥90%</w:t>
            </w:r>
          </w:p>
        </w:tc>
      </w:tr>
    </w:tbl>
    <w:p>
      <w:pPr>
        <w:pStyle w:val="13"/>
        <w:pageBreakBefore w:val="0"/>
        <w:kinsoku/>
        <w:wordWrap/>
        <w:overflowPunct/>
        <w:topLinePunct w:val="0"/>
        <w:bidi w:val="0"/>
        <w:spacing w:line="600" w:lineRule="exact"/>
        <w:rPr>
          <w:rFonts w:hint="default" w:ascii="Times New Roman" w:hAnsi="Times New Roman" w:cs="Times New Roman"/>
        </w:rPr>
      </w:pPr>
    </w:p>
    <w:p>
      <w:pPr>
        <w:pageBreakBefore w:val="0"/>
        <w:kinsoku/>
        <w:wordWrap/>
        <w:overflowPunct/>
        <w:topLinePunct w:val="0"/>
        <w:bidi w:val="0"/>
        <w:spacing w:line="600" w:lineRule="exact"/>
        <w:jc w:val="center"/>
        <w:rPr>
          <w:rFonts w:hint="default" w:ascii="Times New Roman" w:hAnsi="Times New Roman" w:eastAsia="宋体" w:cs="Times New Roman"/>
          <w:color w:val="000000"/>
          <w:sz w:val="12"/>
          <w:szCs w:val="12"/>
          <w:lang w:val="en-US" w:eastAsia="zh-CN"/>
        </w:rPr>
      </w:pPr>
      <w:bookmarkStart w:id="113" w:name="_Toc15396618"/>
      <w:r>
        <w:rPr>
          <w:rFonts w:hint="default" w:ascii="Times New Roman" w:hAnsi="Times New Roman" w:eastAsia="宋体" w:cs="Times New Roman"/>
          <w:color w:val="000000"/>
          <w:sz w:val="12"/>
          <w:szCs w:val="12"/>
          <w:lang w:val="en-US" w:eastAsia="zh-CN"/>
        </w:rPr>
        <w:br w:type="page"/>
      </w:r>
    </w:p>
    <w:bookmarkEnd w:id="13"/>
    <w:bookmarkEnd w:id="113"/>
    <w:p>
      <w:pPr>
        <w:pageBreakBefore w:val="0"/>
        <w:kinsoku/>
        <w:wordWrap/>
        <w:overflowPunct/>
        <w:topLinePunct w:val="0"/>
        <w:autoSpaceDE/>
        <w:autoSpaceDN/>
        <w:bidi w:val="0"/>
        <w:spacing w:line="600" w:lineRule="exact"/>
        <w:contextualSpacing/>
        <w:rPr>
          <w:rFonts w:hint="eastAsia" w:ascii="Times New Roman" w:hAnsi="Times New Roman" w:eastAsia="黑体" w:cs="Times New Roman"/>
          <w:b/>
          <w:bCs/>
          <w:color w:val="auto"/>
          <w:kern w:val="0"/>
          <w:sz w:val="32"/>
          <w:szCs w:val="32"/>
          <w:highlight w:val="none"/>
          <w:shd w:val="clear" w:color="auto" w:fill="FFFFFF"/>
          <w:lang w:val="en-US" w:eastAsia="zh-CN"/>
        </w:rPr>
      </w:pPr>
      <w:bookmarkStart w:id="114" w:name="_Toc15396619"/>
      <w:r>
        <w:rPr>
          <w:rFonts w:hint="default" w:ascii="Times New Roman" w:hAnsi="Times New Roman" w:eastAsia="黑体" w:cs="Times New Roman"/>
          <w:color w:val="auto"/>
          <w:sz w:val="32"/>
          <w:szCs w:val="32"/>
          <w:lang w:val="zh-CN"/>
        </w:rPr>
        <w:t>附件</w:t>
      </w:r>
      <w:r>
        <w:rPr>
          <w:rFonts w:hint="eastAsia" w:ascii="Times New Roman" w:hAnsi="Times New Roman" w:eastAsia="黑体" w:cs="Times New Roman"/>
          <w:color w:val="auto"/>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sz w:val="44"/>
          <w:szCs w:val="44"/>
          <w:lang w:val="en-US" w:eastAsia="zh-CN"/>
        </w:rPr>
      </w:pPr>
      <w:r>
        <w:rPr>
          <w:rFonts w:hint="eastAsia" w:ascii="Times New Roman" w:hAnsi="Times New Roman" w:eastAsia="方正小标宋简体" w:cs="Times New Roman"/>
          <w:b w:val="0"/>
          <w:bCs/>
          <w:sz w:val="44"/>
          <w:szCs w:val="44"/>
          <w:lang w:val="en-US" w:eastAsia="zh-CN"/>
        </w:rPr>
        <w:t>沐川县公路建设服务中心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color w:val="auto"/>
          <w:kern w:val="2"/>
          <w:sz w:val="44"/>
          <w:szCs w:val="44"/>
          <w:lang w:val="en-US"/>
        </w:rPr>
      </w:pPr>
      <w:r>
        <w:rPr>
          <w:rFonts w:hint="eastAsia" w:ascii="Times New Roman" w:hAnsi="Times New Roman" w:eastAsia="方正小标宋简体" w:cs="Times New Roman"/>
          <w:b w:val="0"/>
          <w:bCs/>
          <w:sz w:val="44"/>
          <w:szCs w:val="44"/>
          <w:lang w:val="en-US" w:eastAsia="zh-CN"/>
        </w:rPr>
        <w:t>2024年五沐快速管养经费绩效评价报告</w:t>
      </w:r>
    </w:p>
    <w:p>
      <w:pPr>
        <w:pStyle w:val="35"/>
        <w:pageBreakBefore w:val="0"/>
        <w:kinsoku/>
        <w:wordWrap/>
        <w:overflowPunct/>
        <w:topLinePunct w:val="0"/>
        <w:bidi w:val="0"/>
        <w:spacing w:line="600" w:lineRule="exact"/>
        <w:ind w:firstLine="640"/>
        <w:jc w:val="center"/>
        <w:rPr>
          <w:rFonts w:ascii="宋体" w:hAnsi="宋体"/>
          <w:color w:val="auto"/>
          <w:kern w:val="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val="zh-CN"/>
        </w:rPr>
      </w:pPr>
      <w:r>
        <w:rPr>
          <w:rFonts w:hint="eastAsia" w:ascii="Times New Roman" w:hAnsi="Times New Roman" w:eastAsia="黑体" w:cs="Times New Roman"/>
          <w:bCs/>
          <w:sz w:val="32"/>
          <w:szCs w:val="32"/>
        </w:rPr>
        <w:t>一、</w:t>
      </w:r>
      <w:r>
        <w:rPr>
          <w:rFonts w:hint="eastAsia" w:ascii="Times New Roman" w:hAnsi="Times New Roman" w:eastAsia="黑体" w:cs="Times New Roman"/>
          <w:bCs/>
          <w:sz w:val="32"/>
          <w:szCs w:val="32"/>
          <w:lang w:val="zh-CN"/>
        </w:rPr>
        <w:t>项目概况</w:t>
      </w:r>
    </w:p>
    <w:p>
      <w:pPr>
        <w:pageBreakBefore w:val="0"/>
        <w:widowControl/>
        <w:kinsoku/>
        <w:wordWrap/>
        <w:overflowPunct/>
        <w:topLinePunct w:val="0"/>
        <w:bidi w:val="0"/>
        <w:adjustRightInd w:val="0"/>
        <w:snapToGrid w:val="0"/>
        <w:spacing w:line="600" w:lineRule="exact"/>
        <w:ind w:firstLine="640" w:firstLineChars="200"/>
        <w:contextualSpacing/>
        <w:jc w:val="left"/>
        <w:rPr>
          <w:rFonts w:hint="eastAsia" w:ascii="Times New Roman" w:hAnsi="Times New Roman" w:eastAsia="楷体_GB2312" w:cs="Times New Roman"/>
          <w:b w:val="0"/>
          <w:bCs w:val="0"/>
          <w:sz w:val="32"/>
          <w:szCs w:val="32"/>
          <w:lang w:val="zh-CN"/>
        </w:rPr>
      </w:pPr>
      <w:r>
        <w:rPr>
          <w:rFonts w:hint="eastAsia" w:ascii="Times New Roman" w:hAnsi="Times New Roman" w:eastAsia="楷体_GB2312" w:cs="Times New Roman"/>
          <w:b w:val="0"/>
          <w:bCs w:val="0"/>
          <w:sz w:val="32"/>
          <w:szCs w:val="32"/>
          <w:lang w:val="zh-CN"/>
        </w:rPr>
        <w:t>（一）设立背景及基本情况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15" w:name="_Toc5762"/>
      <w:bookmarkStart w:id="116" w:name="_Toc29908"/>
      <w:r>
        <w:rPr>
          <w:rFonts w:hint="eastAsia" w:ascii="Times New Roman" w:hAnsi="Times New Roman" w:eastAsia="仿宋_GB2312" w:cs="Times New Roman"/>
          <w:i w:val="0"/>
          <w:iCs w:val="0"/>
          <w:caps w:val="0"/>
          <w:color w:val="333333"/>
          <w:spacing w:val="0"/>
          <w:sz w:val="32"/>
          <w:szCs w:val="32"/>
          <w:shd w:val="clear" w:color="auto" w:fill="FFFFFF"/>
        </w:rPr>
        <w:t>2024年县级下达沐川县公路建设服务中心五沐快速管养经费40万元，经县政府批准，用于五沐快速管养经费</w:t>
      </w:r>
      <w:r>
        <w:rPr>
          <w:rFonts w:hint="eastAsia" w:ascii="Times New Roman" w:hAnsi="Times New Roman" w:eastAsia="仿宋_GB2312" w:cs="Times New Roman"/>
          <w:i w:val="0"/>
          <w:iCs w:val="0"/>
          <w:caps w:val="0"/>
          <w:color w:val="333333"/>
          <w:spacing w:val="0"/>
          <w:sz w:val="32"/>
          <w:szCs w:val="32"/>
          <w:shd w:val="clear" w:color="auto" w:fill="FFFFFF"/>
          <w:lang w:val="zh-CN"/>
        </w:rPr>
        <w:t>。</w:t>
      </w:r>
      <w:bookmarkEnd w:id="115"/>
      <w:bookmarkEnd w:id="116"/>
    </w:p>
    <w:p>
      <w:pPr>
        <w:pageBreakBefore w:val="0"/>
        <w:numPr>
          <w:ilvl w:val="0"/>
          <w:numId w:val="5"/>
        </w:numPr>
        <w:kinsoku/>
        <w:wordWrap/>
        <w:overflowPunct/>
        <w:topLinePunct w:val="0"/>
        <w:bidi w:val="0"/>
        <w:spacing w:line="600" w:lineRule="exact"/>
        <w:ind w:firstLine="640" w:firstLineChars="200"/>
        <w:rPr>
          <w:rFonts w:hint="eastAsia" w:ascii="Times New Roman" w:hAnsi="Times New Roman" w:eastAsia="楷体_GB2312" w:cs="Times New Roman"/>
          <w:b w:val="0"/>
          <w:bCs w:val="0"/>
          <w:sz w:val="32"/>
          <w:szCs w:val="32"/>
          <w:lang w:val="zh-CN"/>
        </w:rPr>
      </w:pPr>
      <w:r>
        <w:rPr>
          <w:rFonts w:hint="eastAsia" w:ascii="Times New Roman" w:hAnsi="Times New Roman" w:eastAsia="楷体_GB2312" w:cs="Times New Roman"/>
          <w:b w:val="0"/>
          <w:bCs w:val="0"/>
          <w:sz w:val="32"/>
          <w:szCs w:val="32"/>
          <w:lang w:val="zh-CN"/>
        </w:rPr>
        <w:t>实施目的及支持方向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lang w:val="zh-CN"/>
        </w:rPr>
      </w:pPr>
      <w:bookmarkStart w:id="117" w:name="_Toc1776"/>
      <w:bookmarkStart w:id="118" w:name="_Toc8551"/>
      <w:r>
        <w:rPr>
          <w:rFonts w:hint="eastAsia" w:ascii="Times New Roman" w:hAnsi="Times New Roman" w:eastAsia="仿宋_GB2312" w:cs="Times New Roman"/>
          <w:i w:val="0"/>
          <w:iCs w:val="0"/>
          <w:caps w:val="0"/>
          <w:color w:val="333333"/>
          <w:spacing w:val="0"/>
          <w:sz w:val="32"/>
          <w:szCs w:val="32"/>
          <w:shd w:val="clear" w:color="auto" w:fill="FFFFFF"/>
          <w:lang w:val="zh-CN"/>
        </w:rPr>
        <w:t>通过对预算项目的绩效评价，了解项目实施进度情况，项目资金使用情况及取得的效果，总结项目建设和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bookmarkEnd w:id="117"/>
      <w:bookmarkEnd w:id="118"/>
    </w:p>
    <w:p>
      <w:pPr>
        <w:pageBreakBefore w:val="0"/>
        <w:numPr>
          <w:ilvl w:val="0"/>
          <w:numId w:val="5"/>
        </w:numPr>
        <w:kinsoku/>
        <w:wordWrap/>
        <w:overflowPunct/>
        <w:topLinePunct w:val="0"/>
        <w:bidi w:val="0"/>
        <w:spacing w:line="600" w:lineRule="exact"/>
        <w:ind w:firstLine="640" w:firstLineChars="200"/>
        <w:rPr>
          <w:rFonts w:hint="eastAsia" w:ascii="Times New Roman" w:hAnsi="Times New Roman" w:eastAsia="楷体_GB2312" w:cs="Times New Roman"/>
          <w:b w:val="0"/>
          <w:bCs w:val="0"/>
          <w:sz w:val="32"/>
          <w:szCs w:val="32"/>
          <w:lang w:val="zh-CN"/>
        </w:rPr>
      </w:pPr>
      <w:r>
        <w:rPr>
          <w:rFonts w:hint="eastAsia" w:ascii="Times New Roman" w:hAnsi="Times New Roman" w:eastAsia="楷体_GB2312" w:cs="Times New Roman"/>
          <w:b w:val="0"/>
          <w:bCs w:val="0"/>
          <w:sz w:val="32"/>
          <w:szCs w:val="32"/>
          <w:lang w:val="zh-CN"/>
        </w:rPr>
        <w:t>预算安排及分配管理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rPr>
      </w:pPr>
      <w:bookmarkStart w:id="119" w:name="_Toc13321"/>
      <w:bookmarkStart w:id="120" w:name="_Toc2396"/>
      <w:r>
        <w:rPr>
          <w:rFonts w:hint="eastAsia" w:ascii="Times New Roman" w:hAnsi="Times New Roman" w:eastAsia="仿宋_GB2312" w:cs="Times New Roman"/>
          <w:i w:val="0"/>
          <w:iCs w:val="0"/>
          <w:caps w:val="0"/>
          <w:color w:val="333333"/>
          <w:spacing w:val="0"/>
          <w:sz w:val="32"/>
          <w:szCs w:val="32"/>
          <w:shd w:val="clear" w:color="auto" w:fill="FFFFFF"/>
          <w:lang w:val="zh-CN"/>
        </w:rPr>
        <w:t>按项目进度进行预算安排，保障项目顺利实施。项目资金</w:t>
      </w:r>
      <w:r>
        <w:rPr>
          <w:rFonts w:hint="eastAsia" w:ascii="Times New Roman" w:hAnsi="Times New Roman" w:eastAsia="仿宋_GB2312" w:cs="Times New Roman"/>
          <w:i w:val="0"/>
          <w:iCs w:val="0"/>
          <w:caps w:val="0"/>
          <w:color w:val="333333"/>
          <w:spacing w:val="0"/>
          <w:sz w:val="32"/>
          <w:szCs w:val="32"/>
          <w:shd w:val="clear" w:color="auto" w:fill="FFFFFF"/>
        </w:rPr>
        <w:t>按财政交通专项资金管理办法进行支付。2024年五沐快速管养经费资金共计40万元，已完成支付34.5万元，余额结转下年，均用于五沐快速管养。</w:t>
      </w:r>
      <w:bookmarkEnd w:id="119"/>
      <w:bookmarkEnd w:id="120"/>
    </w:p>
    <w:p>
      <w:pPr>
        <w:pageBreakBefore w:val="0"/>
        <w:numPr>
          <w:ilvl w:val="0"/>
          <w:numId w:val="5"/>
        </w:numPr>
        <w:kinsoku/>
        <w:wordWrap/>
        <w:overflowPunct/>
        <w:topLinePunct w:val="0"/>
        <w:bidi w:val="0"/>
        <w:spacing w:line="600" w:lineRule="exact"/>
        <w:ind w:firstLine="640" w:firstLineChars="200"/>
        <w:rPr>
          <w:rFonts w:hint="eastAsia" w:ascii="Times New Roman" w:hAnsi="Times New Roman" w:eastAsia="楷体_GB2312" w:cs="Times New Roman"/>
          <w:b w:val="0"/>
          <w:bCs w:val="0"/>
          <w:sz w:val="32"/>
          <w:szCs w:val="32"/>
          <w:lang w:val="zh-CN"/>
        </w:rPr>
      </w:pPr>
      <w:r>
        <w:rPr>
          <w:rFonts w:hint="eastAsia" w:ascii="Times New Roman" w:hAnsi="Times New Roman" w:eastAsia="楷体_GB2312" w:cs="Times New Roman"/>
          <w:b w:val="0"/>
          <w:bCs w:val="0"/>
          <w:sz w:val="32"/>
          <w:szCs w:val="32"/>
          <w:lang w:val="zh-CN"/>
        </w:rPr>
        <w:t>项目绩效目标设置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lang w:val="zh-CN"/>
        </w:rPr>
      </w:pPr>
      <w:bookmarkStart w:id="121" w:name="_Toc14084"/>
      <w:bookmarkStart w:id="122" w:name="_Toc31205"/>
      <w:r>
        <w:rPr>
          <w:rFonts w:hint="eastAsia" w:ascii="Times New Roman" w:hAnsi="Times New Roman" w:eastAsia="仿宋_GB2312" w:cs="Times New Roman"/>
          <w:i w:val="0"/>
          <w:iCs w:val="0"/>
          <w:caps w:val="0"/>
          <w:color w:val="333333"/>
          <w:spacing w:val="0"/>
          <w:sz w:val="32"/>
          <w:szCs w:val="32"/>
          <w:shd w:val="clear" w:color="auto" w:fill="FFFFFF"/>
        </w:rPr>
        <w:t>主管部门对项目规划、项目预算、资金分配、项目实施、项目质量进行监管，保障资金专款专用，确保项目资金高效、准确、安全使用。</w:t>
      </w:r>
      <w:r>
        <w:rPr>
          <w:rFonts w:hint="eastAsia" w:ascii="Times New Roman" w:hAnsi="Times New Roman" w:eastAsia="仿宋_GB2312" w:cs="Times New Roman"/>
          <w:i w:val="0"/>
          <w:iCs w:val="0"/>
          <w:caps w:val="0"/>
          <w:color w:val="333333"/>
          <w:spacing w:val="0"/>
          <w:sz w:val="32"/>
          <w:szCs w:val="32"/>
          <w:shd w:val="clear" w:color="auto" w:fill="FFFFFF"/>
          <w:lang w:val="zh-CN"/>
        </w:rPr>
        <w:t>按项目具体实施情况，设置项目具体绩效目标，指标体系</w:t>
      </w:r>
      <w:r>
        <w:rPr>
          <w:rFonts w:hint="eastAsia" w:ascii="Times New Roman" w:hAnsi="Times New Roman" w:eastAsia="仿宋_GB2312" w:cs="Times New Roman"/>
          <w:i w:val="0"/>
          <w:iCs w:val="0"/>
          <w:caps w:val="0"/>
          <w:color w:val="333333"/>
          <w:spacing w:val="0"/>
          <w:sz w:val="32"/>
          <w:szCs w:val="32"/>
          <w:shd w:val="clear" w:color="auto" w:fill="FFFFFF"/>
        </w:rPr>
        <w:t>包括：数量指标、质量指标、时效指标、经济效益指标、社会效益指标、生态效益指标、改善通行服务水平群众满意度和经济成本指标。</w:t>
      </w:r>
      <w:r>
        <w:rPr>
          <w:rFonts w:hint="eastAsia" w:ascii="Times New Roman" w:hAnsi="Times New Roman" w:eastAsia="仿宋_GB2312" w:cs="Times New Roman"/>
          <w:i w:val="0"/>
          <w:iCs w:val="0"/>
          <w:caps w:val="0"/>
          <w:color w:val="333333"/>
          <w:spacing w:val="0"/>
          <w:sz w:val="32"/>
          <w:szCs w:val="32"/>
          <w:shd w:val="clear" w:color="auto" w:fill="FFFFFF"/>
          <w:lang w:val="zh-CN"/>
        </w:rPr>
        <w:t>成立由分管领导牵头的自评工作领导小组，高质量，高效率完成自评工作。</w:t>
      </w:r>
      <w:bookmarkEnd w:id="121"/>
      <w:bookmarkEnd w:id="12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rPr>
        <w:t>二、评价实施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楷体_GB2312" w:cs="Times New Roman"/>
          <w:b w:val="0"/>
          <w:bCs w:val="0"/>
          <w:sz w:val="32"/>
          <w:szCs w:val="32"/>
          <w:lang w:val="zh-CN"/>
        </w:rPr>
      </w:pPr>
      <w:bookmarkStart w:id="123" w:name="_Toc16107"/>
      <w:bookmarkStart w:id="124" w:name="_Toc6852"/>
      <w:r>
        <w:rPr>
          <w:rFonts w:hint="eastAsia" w:ascii="Times New Roman" w:hAnsi="Times New Roman" w:eastAsia="楷体_GB2312" w:cs="Times New Roman"/>
          <w:b w:val="0"/>
          <w:bCs w:val="0"/>
          <w:sz w:val="32"/>
          <w:szCs w:val="32"/>
          <w:lang w:val="zh-CN"/>
        </w:rPr>
        <w:t>（一）评价目的</w:t>
      </w:r>
      <w:bookmarkEnd w:id="123"/>
      <w:bookmarkEnd w:id="12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rPr>
      </w:pPr>
      <w:bookmarkStart w:id="125" w:name="_Toc9633"/>
      <w:bookmarkStart w:id="126" w:name="_Toc23974"/>
      <w:r>
        <w:rPr>
          <w:rFonts w:hint="eastAsia" w:ascii="Times New Roman" w:hAnsi="Times New Roman" w:eastAsia="仿宋_GB2312" w:cs="Times New Roman"/>
          <w:i w:val="0"/>
          <w:iCs w:val="0"/>
          <w:caps w:val="0"/>
          <w:color w:val="333333"/>
          <w:spacing w:val="0"/>
          <w:sz w:val="32"/>
          <w:szCs w:val="32"/>
          <w:shd w:val="clear" w:color="auto" w:fill="FFFFFF"/>
          <w:lang w:val="zh-CN"/>
        </w:rPr>
        <w:t>通过对预算项目的绩效评价，了解项目实施进度情况，项目资金使用情况及取得的效果，总结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bookmarkEnd w:id="125"/>
      <w:bookmarkEnd w:id="126"/>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27" w:name="_Toc9075"/>
      <w:bookmarkStart w:id="128" w:name="_Toc28078"/>
      <w:r>
        <w:rPr>
          <w:rFonts w:hint="eastAsia" w:ascii="Times New Roman" w:hAnsi="Times New Roman" w:eastAsia="楷体_GB2312" w:cs="Times New Roman"/>
          <w:b w:val="0"/>
          <w:bCs w:val="0"/>
          <w:sz w:val="32"/>
          <w:szCs w:val="32"/>
          <w:lang w:val="zh-CN"/>
        </w:rPr>
        <w:t>预设问题及评价重点</w:t>
      </w:r>
      <w:bookmarkEnd w:id="127"/>
      <w:bookmarkEnd w:id="12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lang w:val="zh-CN"/>
        </w:rPr>
      </w:pPr>
      <w:bookmarkStart w:id="129" w:name="_Toc19603"/>
      <w:bookmarkStart w:id="130" w:name="_Toc6140"/>
      <w:r>
        <w:rPr>
          <w:rFonts w:hint="eastAsia" w:ascii="Times New Roman" w:hAnsi="Times New Roman" w:eastAsia="仿宋_GB2312" w:cs="Times New Roman"/>
          <w:i w:val="0"/>
          <w:iCs w:val="0"/>
          <w:caps w:val="0"/>
          <w:color w:val="333333"/>
          <w:spacing w:val="0"/>
          <w:sz w:val="32"/>
          <w:szCs w:val="32"/>
          <w:shd w:val="clear" w:color="auto" w:fill="FFFFFF"/>
          <w:lang w:val="zh-CN"/>
        </w:rPr>
        <w:t>评价重点包括资金支出使用全过程及实施效果，重点关注项目决策、管理、实施和结果四个方面。按照绩效评价指标体系，对资金支出使用全过程及其实施效果进行综合评价和判断。规范项目申报、资金使用合法合规，项目明细清晰，支付资金与预算相符，保证项目资金的专款专用。严格按照财务管理制度，对照项目资金管理办法，对项目资金及时审核支付。财务处理及时，会计核算规范。</w:t>
      </w:r>
      <w:bookmarkEnd w:id="129"/>
      <w:bookmarkEnd w:id="130"/>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31" w:name="_Toc33"/>
      <w:bookmarkStart w:id="132" w:name="_Toc7315"/>
      <w:r>
        <w:rPr>
          <w:rFonts w:hint="eastAsia" w:ascii="Times New Roman" w:hAnsi="Times New Roman" w:eastAsia="楷体_GB2312" w:cs="Times New Roman"/>
          <w:b w:val="0"/>
          <w:bCs w:val="0"/>
          <w:sz w:val="32"/>
          <w:szCs w:val="32"/>
          <w:lang w:val="zh-CN"/>
        </w:rPr>
        <w:t>评价选点</w:t>
      </w:r>
      <w:bookmarkEnd w:id="131"/>
      <w:bookmarkEnd w:id="132"/>
    </w:p>
    <w:p>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leftChars="0" w:firstLine="640" w:firstLineChars="200"/>
        <w:textAlignment w:val="auto"/>
        <w:rPr>
          <w:rFonts w:hint="eastAsia" w:ascii="Times New Roman" w:hAnsi="Times New Roman" w:eastAsia="仿宋_GB2312" w:cs="Times New Roman"/>
          <w:i w:val="0"/>
          <w:iCs w:val="0"/>
          <w:caps w:val="0"/>
          <w:color w:val="333333"/>
          <w:spacing w:val="0"/>
          <w:sz w:val="32"/>
          <w:szCs w:val="32"/>
          <w:shd w:val="clear" w:color="auto" w:fill="FFFFFF"/>
          <w:lang w:val="zh-CN"/>
        </w:rPr>
      </w:pPr>
      <w:r>
        <w:rPr>
          <w:rFonts w:hint="eastAsia" w:ascii="Times New Roman" w:hAnsi="Times New Roman" w:eastAsia="仿宋_GB2312" w:cs="Times New Roman"/>
          <w:i w:val="0"/>
          <w:iCs w:val="0"/>
          <w:caps w:val="0"/>
          <w:color w:val="333333"/>
          <w:spacing w:val="0"/>
          <w:sz w:val="32"/>
          <w:szCs w:val="32"/>
          <w:shd w:val="clear" w:color="auto" w:fill="FFFFFF"/>
          <w:lang w:val="zh-CN"/>
        </w:rPr>
        <w:t>按项目实施全过程，对项目实地开展到项目资金申请、支付全过程进行监督检查。</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33" w:name="_Toc21660"/>
      <w:bookmarkStart w:id="134" w:name="_Toc3130"/>
      <w:r>
        <w:rPr>
          <w:rFonts w:hint="eastAsia" w:ascii="Times New Roman" w:hAnsi="Times New Roman" w:eastAsia="楷体_GB2312" w:cs="Times New Roman"/>
          <w:b w:val="0"/>
          <w:bCs w:val="0"/>
          <w:sz w:val="32"/>
          <w:szCs w:val="32"/>
          <w:lang w:val="zh-CN"/>
        </w:rPr>
        <w:t>评价方法</w:t>
      </w:r>
      <w:bookmarkEnd w:id="133"/>
      <w:bookmarkEnd w:id="134"/>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0" w:firstLineChars="200"/>
        <w:textAlignment w:val="auto"/>
        <w:rPr>
          <w:rFonts w:hint="eastAsia" w:ascii="Times New Roman" w:hAnsi="Times New Roman" w:eastAsia="仿宋_GB2312" w:cs="Times New Roman"/>
          <w:i w:val="0"/>
          <w:iCs w:val="0"/>
          <w:caps w:val="0"/>
          <w:color w:val="333333"/>
          <w:spacing w:val="0"/>
          <w:sz w:val="32"/>
          <w:szCs w:val="32"/>
          <w:shd w:val="clear" w:color="auto" w:fill="FFFFFF"/>
          <w:lang w:val="zh-CN"/>
        </w:rPr>
      </w:pPr>
      <w:r>
        <w:rPr>
          <w:rFonts w:hint="eastAsia" w:ascii="Times New Roman" w:hAnsi="Times New Roman" w:eastAsia="仿宋_GB2312" w:cs="Times New Roman"/>
          <w:i w:val="0"/>
          <w:iCs w:val="0"/>
          <w:caps w:val="0"/>
          <w:color w:val="333333"/>
          <w:spacing w:val="0"/>
          <w:sz w:val="32"/>
          <w:szCs w:val="32"/>
          <w:shd w:val="clear" w:color="auto" w:fill="FFFFFF"/>
          <w:lang w:val="zh-CN"/>
        </w:rPr>
        <w:t>根据项目情况和评价重点，用来收集相关材料和开展具体评价的方法。包括：采用单位自评法、实地勘察法、问卷调查法、座谈调研法等多种方法。</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35" w:name="_Toc21995"/>
      <w:bookmarkStart w:id="136" w:name="_Toc27951"/>
      <w:r>
        <w:rPr>
          <w:rFonts w:hint="eastAsia" w:ascii="Times New Roman" w:hAnsi="Times New Roman" w:eastAsia="楷体_GB2312" w:cs="Times New Roman"/>
          <w:b w:val="0"/>
          <w:bCs w:val="0"/>
          <w:sz w:val="32"/>
          <w:szCs w:val="32"/>
          <w:lang w:val="zh-CN"/>
        </w:rPr>
        <w:t>评价组织</w:t>
      </w:r>
      <w:bookmarkEnd w:id="135"/>
      <w:bookmarkEnd w:id="136"/>
    </w:p>
    <w:p>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leftChars="0" w:firstLine="640" w:firstLineChars="200"/>
        <w:textAlignment w:val="auto"/>
        <w:rPr>
          <w:rFonts w:hint="eastAsia" w:ascii="Times New Roman" w:hAnsi="Times New Roman" w:eastAsia="仿宋_GB2312" w:cs="Times New Roman"/>
          <w:i w:val="0"/>
          <w:iCs w:val="0"/>
          <w:caps w:val="0"/>
          <w:color w:val="333333"/>
          <w:spacing w:val="0"/>
          <w:sz w:val="32"/>
          <w:szCs w:val="32"/>
          <w:shd w:val="clear" w:color="auto" w:fill="FFFFFF"/>
        </w:rPr>
      </w:pPr>
      <w:r>
        <w:rPr>
          <w:rFonts w:hint="eastAsia" w:ascii="Times New Roman" w:hAnsi="Times New Roman" w:eastAsia="仿宋_GB2312" w:cs="Times New Roman"/>
          <w:i w:val="0"/>
          <w:iCs w:val="0"/>
          <w:caps w:val="0"/>
          <w:color w:val="333333"/>
          <w:spacing w:val="0"/>
          <w:sz w:val="32"/>
          <w:szCs w:val="32"/>
          <w:shd w:val="clear" w:color="auto" w:fill="FFFFFF"/>
          <w:lang w:val="zh-CN"/>
        </w:rPr>
        <w:t>我中心开展绩效自评分两个步骤：一是准备阶段，主要是收集评价项目的基础资料；二是自评阶段，按照相关要求，撰写项目自评报告。我中心成立了项目绩效评价小组，负责项目的绩效自评工作。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val="zh-CN"/>
        </w:rPr>
      </w:pPr>
      <w:r>
        <w:rPr>
          <w:rFonts w:hint="eastAsia" w:ascii="Times New Roman" w:hAnsi="Times New Roman" w:eastAsia="黑体" w:cs="Times New Roman"/>
          <w:bCs/>
          <w:sz w:val="32"/>
          <w:szCs w:val="32"/>
        </w:rPr>
        <w:t>三、绩效分析</w:t>
      </w:r>
      <w:r>
        <w:rPr>
          <w:rFonts w:hint="eastAsia" w:ascii="Times New Roman" w:hAnsi="Times New Roman" w:eastAsia="黑体" w:cs="Times New Roman"/>
          <w:bCs/>
          <w:sz w:val="32"/>
          <w:szCs w:val="32"/>
          <w:lang w:val="zh-CN"/>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37" w:name="_Toc12590"/>
      <w:bookmarkStart w:id="138" w:name="_Toc511"/>
      <w:r>
        <w:rPr>
          <w:rFonts w:hint="eastAsia" w:ascii="Times New Roman" w:hAnsi="Times New Roman" w:eastAsia="楷体_GB2312" w:cs="Times New Roman"/>
          <w:b w:val="0"/>
          <w:bCs w:val="0"/>
          <w:sz w:val="32"/>
          <w:szCs w:val="32"/>
          <w:lang w:val="zh-CN"/>
        </w:rPr>
        <w:t>（一）通用指标绩效分析</w:t>
      </w:r>
      <w:bookmarkEnd w:id="137"/>
      <w:bookmarkEnd w:id="13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39" w:name="_Toc12165"/>
      <w:bookmarkStart w:id="140" w:name="_Toc1587"/>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1.项目决策。项目程序规范，规划论证充分，资金投向准确。</w:t>
      </w:r>
      <w:bookmarkEnd w:id="139"/>
      <w:bookmarkEnd w:id="14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41" w:name="_Toc15116"/>
      <w:bookmarkStart w:id="142" w:name="_Toc13467"/>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2.项目管理。按相关财政文件执行，制度建全。资金分配科学合理。绩效监管有效。</w:t>
      </w:r>
      <w:bookmarkEnd w:id="141"/>
      <w:bookmarkEnd w:id="14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43" w:name="_Toc8192"/>
      <w:bookmarkStart w:id="144" w:name="_Toc12167"/>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3.项目实施。项目预算执行良好，资金使用合规。</w:t>
      </w:r>
      <w:bookmarkEnd w:id="143"/>
      <w:bookmarkEnd w:id="14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45" w:name="_Toc18683"/>
      <w:bookmarkStart w:id="146" w:name="_Toc18121"/>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4.项目结果。目标完成率高，完成时效符合预期。</w:t>
      </w:r>
      <w:bookmarkEnd w:id="145"/>
      <w:bookmarkEnd w:id="14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楷体_GB2312" w:cs="Times New Roman"/>
          <w:b w:val="0"/>
          <w:bCs w:val="0"/>
          <w:sz w:val="32"/>
          <w:szCs w:val="32"/>
          <w:lang w:val="zh-CN"/>
        </w:rPr>
      </w:pPr>
      <w:bookmarkStart w:id="147" w:name="_Toc15160"/>
      <w:bookmarkStart w:id="148" w:name="_Toc22950"/>
      <w:r>
        <w:rPr>
          <w:rFonts w:hint="eastAsia" w:ascii="Times New Roman" w:hAnsi="Times New Roman" w:eastAsia="楷体_GB2312" w:cs="Times New Roman"/>
          <w:b w:val="0"/>
          <w:bCs w:val="0"/>
          <w:sz w:val="32"/>
          <w:szCs w:val="32"/>
          <w:lang w:val="zh-CN"/>
        </w:rPr>
        <w:t>（二）</w:t>
      </w:r>
      <w:r>
        <w:rPr>
          <w:rFonts w:hint="eastAsia" w:ascii="Times New Roman" w:hAnsi="Times New Roman" w:eastAsia="楷体_GB2312" w:cs="Times New Roman"/>
          <w:b w:val="0"/>
          <w:bCs w:val="0"/>
          <w:sz w:val="32"/>
          <w:szCs w:val="32"/>
        </w:rPr>
        <w:t>专用指标</w:t>
      </w:r>
      <w:r>
        <w:rPr>
          <w:rFonts w:hint="default" w:ascii="Times New Roman" w:hAnsi="Times New Roman" w:eastAsia="楷体_GB2312" w:cs="Times New Roman"/>
          <w:b w:val="0"/>
          <w:bCs w:val="0"/>
          <w:sz w:val="32"/>
          <w:szCs w:val="32"/>
          <w:lang w:val="zh-CN"/>
        </w:rPr>
        <w:t>绩效分析</w:t>
      </w:r>
      <w:bookmarkEnd w:id="147"/>
      <w:bookmarkEnd w:id="14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49" w:name="_Toc32483"/>
      <w:bookmarkStart w:id="150" w:name="_Toc1303"/>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1.产业发展。符合区域经济发展需求，成长性和经济性显著。</w:t>
      </w:r>
      <w:bookmarkEnd w:id="149"/>
      <w:bookmarkEnd w:id="15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51" w:name="_Toc32496"/>
      <w:bookmarkStart w:id="152" w:name="_Toc19676"/>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民生保障。</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区域均衡性良好，对象精准，标准便，群众满意度高。</w:t>
      </w:r>
      <w:bookmarkEnd w:id="151"/>
      <w:bookmarkEnd w:id="15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53" w:name="_Toc3856"/>
      <w:bookmarkStart w:id="154" w:name="_Toc29874"/>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3.基础设施。在建工程进度和资金拨付符合计划，建成项目验收合格，功能实现良好，后续管护到位。</w:t>
      </w:r>
      <w:bookmarkEnd w:id="153"/>
      <w:bookmarkEnd w:id="15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55" w:name="_Toc6539"/>
      <w:bookmarkStart w:id="156" w:name="_Toc10093"/>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行政运转。</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用途、程序和标准均符合规定。</w:t>
      </w:r>
      <w:bookmarkEnd w:id="155"/>
      <w:bookmarkEnd w:id="15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四、评价结论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我中心2024年</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五沐快速管养经费年初预算40</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万元，实现支付</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34.5</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万元，完成支付占比</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86.25</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%。项目按预算进度实施，项目建设有序进行，项目资金使用、拨付符合国家财经法规、财务管理制度及有关专项资金管理制度办法规定和审批程序。经自评领导小组评审，自评得分为</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97</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五、存在主要问题</w:t>
      </w:r>
    </w:p>
    <w:p>
      <w:pPr>
        <w:pageBreakBefore w:val="0"/>
        <w:kinsoku/>
        <w:wordWrap/>
        <w:overflowPunct/>
        <w:topLinePunct w:val="0"/>
        <w:bidi w:val="0"/>
        <w:spacing w:line="600" w:lineRule="exact"/>
        <w:ind w:firstLine="640" w:firstLineChars="200"/>
        <w:rPr>
          <w:color w:val="FF0000"/>
          <w:kern w:val="0"/>
        </w:rPr>
      </w:pP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五沐快速管养里程16.969</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公里，其中大岩头隧道、峰门山隧道里程公里</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管理养护点多、面广，</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全</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县地属山区，坡陡、弯急，</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洪期公路水毁严重，</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修复整治成本</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养护经费资金</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需求缺口较大</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val="zh-CN" w:eastAsia="zh-CN"/>
        </w:rPr>
      </w:pPr>
      <w:r>
        <w:rPr>
          <w:rFonts w:hint="eastAsia" w:ascii="Times New Roman" w:hAnsi="Times New Roman" w:eastAsia="黑体" w:cs="Times New Roman"/>
          <w:bCs/>
          <w:sz w:val="32"/>
          <w:szCs w:val="32"/>
          <w:lang w:val="zh-CN" w:eastAsia="zh-CN"/>
        </w:rPr>
        <w:t>六、改进建议</w:t>
      </w:r>
    </w:p>
    <w:p>
      <w:pPr>
        <w:pageBreakBefore w:val="0"/>
        <w:kinsoku/>
        <w:wordWrap/>
        <w:overflowPunct/>
        <w:topLinePunct w:val="0"/>
        <w:bidi w:val="0"/>
        <w:spacing w:line="600" w:lineRule="exact"/>
        <w:ind w:firstLine="640" w:firstLineChars="200"/>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加强项目资金控制，提高预算管理水平。争取县政府和上级主管部门政策支持，加大项目资金投入，加强与县财政沟通协调，及时了解项目需求，准确及时足额拨付项目资金，确保项目顺利实施完成，进一步提高项目资金使用效率。</w:t>
      </w:r>
    </w:p>
    <w:p>
      <w:pPr>
        <w:pStyle w:val="2"/>
        <w:pageBreakBefore w:val="0"/>
        <w:kinsoku/>
        <w:wordWrap/>
        <w:overflowPunct/>
        <w:topLinePunct w:val="0"/>
        <w:bidi w:val="0"/>
        <w:spacing w:line="600" w:lineRule="exact"/>
        <w:rPr>
          <w:rFonts w:hint="eastAsia"/>
          <w:lang w:val="zh-CN"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附表：专项预算项目绩效目标完成情况自评表</w:t>
      </w:r>
    </w:p>
    <w:p>
      <w:pPr>
        <w:pageBreakBefore w:val="0"/>
        <w:kinsoku/>
        <w:wordWrap/>
        <w:overflowPunct/>
        <w:topLinePunct w:val="0"/>
        <w:bidi w:val="0"/>
        <w:snapToGrid w:val="0"/>
        <w:spacing w:line="600" w:lineRule="exact"/>
        <w:ind w:firstLine="420" w:firstLineChars="200"/>
        <w:rPr>
          <w:kern w:val="0"/>
          <w:shd w:val="clear" w:color="auto" w:fill="FFFFFF"/>
          <w:lang w:val="zh-CN"/>
        </w:rPr>
      </w:pPr>
      <w:r>
        <w:rPr>
          <w:rFonts w:hint="eastAsia"/>
          <w:kern w:val="0"/>
          <w:shd w:val="clear" w:color="auto" w:fill="FFFFFF"/>
          <w:lang w:val="zh-CN"/>
        </w:rPr>
        <w:br w:type="page"/>
      </w:r>
    </w:p>
    <w:tbl>
      <w:tblPr>
        <w:tblStyle w:val="16"/>
        <w:tblpPr w:leftFromText="180" w:rightFromText="180" w:vertAnchor="text" w:horzAnchor="page" w:tblpX="862" w:tblpY="-651"/>
        <w:tblOverlap w:val="never"/>
        <w:tblW w:w="10233" w:type="dxa"/>
        <w:tblInd w:w="0" w:type="dxa"/>
        <w:tblLayout w:type="fixed"/>
        <w:tblCellMar>
          <w:top w:w="15" w:type="dxa"/>
          <w:left w:w="15" w:type="dxa"/>
          <w:bottom w:w="15" w:type="dxa"/>
          <w:right w:w="15" w:type="dxa"/>
        </w:tblCellMar>
      </w:tblPr>
      <w:tblGrid>
        <w:gridCol w:w="652"/>
        <w:gridCol w:w="1081"/>
        <w:gridCol w:w="1250"/>
        <w:gridCol w:w="1312"/>
        <w:gridCol w:w="1049"/>
        <w:gridCol w:w="1049"/>
        <w:gridCol w:w="1061"/>
        <w:gridCol w:w="938"/>
        <w:gridCol w:w="1841"/>
      </w:tblGrid>
      <w:tr>
        <w:tblPrEx>
          <w:tblCellMar>
            <w:top w:w="15" w:type="dxa"/>
            <w:left w:w="15" w:type="dxa"/>
            <w:bottom w:w="15" w:type="dxa"/>
            <w:right w:w="15" w:type="dxa"/>
          </w:tblCellMar>
        </w:tblPrEx>
        <w:trPr>
          <w:trHeight w:val="576" w:hRule="atLeast"/>
        </w:trPr>
        <w:tc>
          <w:tcPr>
            <w:tcW w:w="10233" w:type="dxa"/>
            <w:gridSpan w:val="9"/>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color w:val="000000"/>
                <w:kern w:val="0"/>
                <w:sz w:val="28"/>
                <w:szCs w:val="28"/>
              </w:rPr>
              <w:t>专项预算项目绩效目标完成情况自评表</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五沐快速管养经费</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沐川县公路建设服务中心</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中长期规划（名称、文号，仅指常年项目）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1"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tabs>
                <w:tab w:val="left" w:pos="1715"/>
              </w:tabs>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绩效分配方式</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因素法</w:t>
            </w:r>
          </w:p>
        </w:tc>
        <w:tc>
          <w:tcPr>
            <w:tcW w:w="2110"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项目法</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√据实据效</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因素法与项目法相结合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五沐快速管养</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2024年</w:t>
            </w:r>
          </w:p>
        </w:tc>
      </w:tr>
      <w:tr>
        <w:tblPrEx>
          <w:tblCellMar>
            <w:top w:w="15" w:type="dxa"/>
            <w:left w:w="15" w:type="dxa"/>
            <w:bottom w:w="15" w:type="dxa"/>
            <w:right w:w="15" w:type="dxa"/>
          </w:tblCellMar>
        </w:tblPrEx>
        <w:trPr>
          <w:trHeight w:val="23" w:hRule="atLeast"/>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项目资金</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40</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34.5</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righ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年度目标</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完成交通项目建设、农村公路养护、维修整治，完成农村客运补贴、水运项目建设。</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绩效 指标</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一级指标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三级指标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指标性质</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指标值</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度量单位</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权重</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实际完成指标值</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restart"/>
            <w:tcBorders>
              <w:top w:val="single" w:color="000000" w:sz="4" w:space="0"/>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全长16.969公里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16.969</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公里</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质量指标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日常保洁、管养、维修</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r>
      <w:tr>
        <w:tblPrEx>
          <w:tblCellMar>
            <w:top w:w="15" w:type="dxa"/>
            <w:left w:w="15" w:type="dxa"/>
            <w:bottom w:w="15" w:type="dxa"/>
            <w:right w:w="15" w:type="dxa"/>
          </w:tblCellMar>
        </w:tblPrEx>
        <w:trPr>
          <w:trHeight w:val="56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时效指标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2024年</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效益指标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经济效益</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推动地方经济的提升，促进城乡共同繁荣</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明显</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明显</w:t>
            </w:r>
          </w:p>
        </w:tc>
      </w:tr>
      <w:tr>
        <w:tblPrEx>
          <w:tblCellMar>
            <w:top w:w="15" w:type="dxa"/>
            <w:left w:w="15" w:type="dxa"/>
            <w:bottom w:w="15" w:type="dxa"/>
            <w:right w:w="15" w:type="dxa"/>
          </w:tblCellMar>
        </w:tblPrEx>
        <w:trPr>
          <w:trHeight w:val="9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社会效益</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确保公路安全、畅通、整洁，确保车辆行人安全出行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提升</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提升</w:t>
            </w:r>
          </w:p>
        </w:tc>
      </w:tr>
      <w:tr>
        <w:tblPrEx>
          <w:tblCellMar>
            <w:top w:w="15" w:type="dxa"/>
            <w:left w:w="15" w:type="dxa"/>
            <w:bottom w:w="15" w:type="dxa"/>
            <w:right w:w="15" w:type="dxa"/>
          </w:tblCellMar>
        </w:tblPrEx>
        <w:trPr>
          <w:trHeight w:val="724"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生态效益指标</w:t>
            </w:r>
          </w:p>
        </w:tc>
        <w:tc>
          <w:tcPr>
            <w:tcW w:w="1312"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打造绿色交通</w:t>
            </w: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符合</w:t>
            </w:r>
          </w:p>
        </w:tc>
        <w:tc>
          <w:tcPr>
            <w:tcW w:w="1061"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符合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auto"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tcBorders>
              <w:top w:val="single" w:color="auto" w:sz="4" w:space="0"/>
              <w:left w:val="single" w:color="auto"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满意度</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250" w:type="dxa"/>
            <w:tcBorders>
              <w:top w:val="single" w:color="auto"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改善通行服务水平群众满意度</w:t>
            </w:r>
          </w:p>
        </w:tc>
        <w:tc>
          <w:tcPr>
            <w:tcW w:w="1312"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群众满意</w:t>
            </w: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≥80%</w:t>
            </w:r>
          </w:p>
        </w:tc>
        <w:tc>
          <w:tcPr>
            <w:tcW w:w="1061" w:type="dxa"/>
            <w:tcBorders>
              <w:top w:val="single" w:color="auto" w:sz="4" w:space="0"/>
              <w:left w:val="single" w:color="000000" w:sz="4" w:space="0"/>
              <w:bottom w:val="single" w:color="auto" w:sz="4" w:space="0"/>
              <w:right w:val="single" w:color="auto"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auto"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≥90%</w:t>
            </w:r>
          </w:p>
        </w:tc>
      </w:tr>
    </w:tbl>
    <w:p>
      <w:pPr>
        <w:pageBreakBefore w:val="0"/>
        <w:kinsoku/>
        <w:wordWrap/>
        <w:overflowPunct/>
        <w:topLinePunct w:val="0"/>
        <w:bidi w:val="0"/>
        <w:spacing w:line="600" w:lineRule="exact"/>
        <w:rPr>
          <w:rFonts w:ascii="黑体" w:hAnsi="黑体" w:eastAsia="黑体" w:cs="黑体"/>
          <w:sz w:val="24"/>
          <w:szCs w:val="24"/>
        </w:rPr>
      </w:pPr>
      <w:r>
        <w:rPr>
          <w:rFonts w:ascii="黑体" w:hAnsi="黑体" w:eastAsia="黑体" w:cs="黑体"/>
          <w:sz w:val="24"/>
          <w:szCs w:val="24"/>
        </w:rPr>
        <w:br w:type="page"/>
      </w:r>
    </w:p>
    <w:p>
      <w:pPr>
        <w:keepNext w:val="0"/>
        <w:keepLines w:val="0"/>
        <w:pageBreakBefore w:val="0"/>
        <w:widowControl w:val="0"/>
        <w:kinsoku/>
        <w:wordWrap/>
        <w:overflowPunct/>
        <w:topLinePunct w:val="0"/>
        <w:autoSpaceDE/>
        <w:autoSpaceDN/>
        <w:bidi w:val="0"/>
        <w:spacing w:line="600" w:lineRule="exact"/>
        <w:textAlignment w:val="auto"/>
        <w:outlineLvl w:val="9"/>
        <w:rPr>
          <w:rFonts w:hint="default" w:ascii="Times New Roman" w:hAnsi="Times New Roman" w:eastAsia="黑体" w:cs="Times New Roman"/>
          <w:color w:val="000000"/>
          <w:sz w:val="44"/>
          <w:szCs w:val="44"/>
        </w:rPr>
      </w:pPr>
      <w:r>
        <w:rPr>
          <w:rFonts w:hint="eastAsia" w:ascii="Times New Roman" w:hAnsi="Times New Roman" w:eastAsia="黑体" w:cs="Times New Roman"/>
          <w:b/>
          <w:bCs/>
          <w:color w:val="auto"/>
          <w:kern w:val="0"/>
          <w:sz w:val="32"/>
          <w:szCs w:val="32"/>
          <w:highlight w:val="none"/>
          <w:shd w:val="clear" w:color="auto" w:fill="FFFFFF"/>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sz w:val="44"/>
          <w:szCs w:val="44"/>
          <w:lang w:val="en-US" w:eastAsia="zh-CN"/>
        </w:rPr>
      </w:pPr>
      <w:r>
        <w:rPr>
          <w:rFonts w:hint="eastAsia" w:ascii="Times New Roman" w:hAnsi="Times New Roman" w:eastAsia="方正小标宋简体" w:cs="Times New Roman"/>
          <w:b w:val="0"/>
          <w:bCs/>
          <w:sz w:val="44"/>
          <w:szCs w:val="44"/>
          <w:lang w:val="en-US" w:eastAsia="zh-CN"/>
        </w:rPr>
        <w:t>沐川县公路建设服务中心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olor w:val="auto"/>
          <w:kern w:val="2"/>
          <w:sz w:val="32"/>
          <w:szCs w:val="32"/>
        </w:rPr>
      </w:pPr>
      <w:r>
        <w:rPr>
          <w:rFonts w:hint="eastAsia" w:ascii="Times New Roman" w:hAnsi="Times New Roman" w:eastAsia="方正小标宋简体" w:cs="Times New Roman"/>
          <w:b w:val="0"/>
          <w:bCs/>
          <w:sz w:val="44"/>
          <w:szCs w:val="44"/>
          <w:lang w:val="en-US" w:eastAsia="zh-CN"/>
        </w:rPr>
        <w:t>2024年农村公路养护经费绩效评价报告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val="zh-CN"/>
        </w:rPr>
      </w:pPr>
      <w:r>
        <w:rPr>
          <w:rFonts w:hint="eastAsia" w:ascii="Times New Roman" w:hAnsi="Times New Roman" w:eastAsia="黑体" w:cs="Times New Roman"/>
          <w:bCs/>
          <w:sz w:val="32"/>
          <w:szCs w:val="32"/>
        </w:rPr>
        <w:t>一、</w:t>
      </w:r>
      <w:r>
        <w:rPr>
          <w:rFonts w:hint="eastAsia" w:ascii="Times New Roman" w:hAnsi="Times New Roman" w:eastAsia="黑体" w:cs="Times New Roman"/>
          <w:bCs/>
          <w:sz w:val="32"/>
          <w:szCs w:val="32"/>
          <w:lang w:val="zh-CN"/>
        </w:rPr>
        <w:t>项目概况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rPr>
      </w:pPr>
      <w:bookmarkStart w:id="157" w:name="_Toc18041"/>
      <w:bookmarkStart w:id="158" w:name="_Toc22899"/>
      <w:r>
        <w:rPr>
          <w:rFonts w:hint="eastAsia" w:ascii="Times New Roman" w:hAnsi="Times New Roman" w:eastAsia="楷体_GB2312" w:cs="Times New Roman"/>
          <w:b w:val="0"/>
          <w:bCs w:val="0"/>
          <w:sz w:val="32"/>
          <w:szCs w:val="32"/>
          <w:lang w:val="zh-CN"/>
        </w:rPr>
        <w:t>（一）设立背景及基本情况</w:t>
      </w:r>
      <w:bookmarkEnd w:id="157"/>
      <w:bookmarkEnd w:id="15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59" w:name="_Toc9150"/>
      <w:bookmarkStart w:id="160" w:name="_Toc18923"/>
      <w:r>
        <w:rPr>
          <w:rFonts w:hint="eastAsia" w:ascii="Times New Roman" w:hAnsi="Times New Roman" w:eastAsia="仿宋_GB2312" w:cs="Times New Roman"/>
          <w:i w:val="0"/>
          <w:iCs w:val="0"/>
          <w:caps w:val="0"/>
          <w:color w:val="333333"/>
          <w:spacing w:val="0"/>
          <w:sz w:val="32"/>
          <w:szCs w:val="32"/>
          <w:shd w:val="clear" w:color="auto" w:fill="FFFFFF"/>
        </w:rPr>
        <w:t>2024年市、县级下达沐川县公路建设服务中农村公路养护经费92.8万元，经县政府批准，用于农村公路2024年养护费</w:t>
      </w:r>
      <w:r>
        <w:rPr>
          <w:rFonts w:hint="eastAsia" w:ascii="Times New Roman" w:hAnsi="Times New Roman" w:eastAsia="仿宋_GB2312" w:cs="Times New Roman"/>
          <w:i w:val="0"/>
          <w:iCs w:val="0"/>
          <w:caps w:val="0"/>
          <w:color w:val="333333"/>
          <w:spacing w:val="0"/>
          <w:sz w:val="32"/>
          <w:szCs w:val="32"/>
          <w:shd w:val="clear" w:color="auto" w:fill="FFFFFF"/>
          <w:lang w:val="zh-CN"/>
        </w:rPr>
        <w:t>。</w:t>
      </w:r>
      <w:bookmarkEnd w:id="159"/>
      <w:bookmarkEnd w:id="16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楷体_GB2312" w:cs="Times New Roman"/>
          <w:b w:val="0"/>
          <w:bCs w:val="0"/>
          <w:sz w:val="32"/>
          <w:szCs w:val="32"/>
        </w:rPr>
      </w:pPr>
      <w:bookmarkStart w:id="161" w:name="_Toc17459"/>
      <w:bookmarkStart w:id="162" w:name="_Toc30040"/>
      <w:r>
        <w:rPr>
          <w:rFonts w:hint="eastAsia" w:ascii="Times New Roman" w:hAnsi="Times New Roman" w:eastAsia="楷体_GB2312" w:cs="Times New Roman"/>
          <w:b w:val="0"/>
          <w:bCs w:val="0"/>
          <w:sz w:val="32"/>
          <w:szCs w:val="32"/>
          <w:lang w:eastAsia="zh-CN"/>
        </w:rPr>
        <w:t>（</w:t>
      </w:r>
      <w:r>
        <w:rPr>
          <w:rFonts w:hint="eastAsia" w:ascii="Times New Roman" w:hAnsi="Times New Roman" w:eastAsia="楷体_GB2312" w:cs="Times New Roman"/>
          <w:b w:val="0"/>
          <w:bCs w:val="0"/>
          <w:sz w:val="32"/>
          <w:szCs w:val="32"/>
          <w:lang w:val="en-US" w:eastAsia="zh-CN"/>
        </w:rPr>
        <w:t>二</w:t>
      </w:r>
      <w:r>
        <w:rPr>
          <w:rFonts w:hint="eastAsia"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rPr>
        <w:t>实施目的及支持方向</w:t>
      </w:r>
      <w:bookmarkEnd w:id="161"/>
      <w:bookmarkEnd w:id="16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lang w:val="zh-CN"/>
        </w:rPr>
      </w:pPr>
      <w:bookmarkStart w:id="163" w:name="_Toc19639"/>
      <w:bookmarkStart w:id="164" w:name="_Toc2884"/>
      <w:r>
        <w:rPr>
          <w:rFonts w:hint="eastAsia" w:ascii="Times New Roman" w:hAnsi="Times New Roman" w:eastAsia="仿宋_GB2312" w:cs="Times New Roman"/>
          <w:i w:val="0"/>
          <w:iCs w:val="0"/>
          <w:caps w:val="0"/>
          <w:color w:val="333333"/>
          <w:spacing w:val="0"/>
          <w:sz w:val="32"/>
          <w:szCs w:val="32"/>
          <w:shd w:val="clear" w:color="auto" w:fill="FFFFFF"/>
          <w:lang w:val="zh-CN"/>
        </w:rPr>
        <w:t>通过对预算项目的绩效评价，了解项目实施进度情况，项目资金使用情况及取得的效果，总结项目建设和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bookmarkEnd w:id="163"/>
      <w:bookmarkEnd w:id="16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eastAsia="zh-CN"/>
        </w:rPr>
      </w:pPr>
      <w:bookmarkStart w:id="165" w:name="_Toc32117"/>
      <w:bookmarkStart w:id="166" w:name="_Toc5333"/>
      <w:r>
        <w:rPr>
          <w:rFonts w:hint="eastAsia" w:ascii="Times New Roman" w:hAnsi="Times New Roman" w:eastAsia="楷体_GB2312" w:cs="Times New Roman"/>
          <w:b w:val="0"/>
          <w:bCs w:val="0"/>
          <w:sz w:val="32"/>
          <w:szCs w:val="32"/>
          <w:lang w:eastAsia="zh-CN"/>
        </w:rPr>
        <w:t>（</w:t>
      </w:r>
      <w:r>
        <w:rPr>
          <w:rFonts w:hint="eastAsia" w:ascii="Times New Roman" w:hAnsi="Times New Roman" w:eastAsia="楷体_GB2312" w:cs="Times New Roman"/>
          <w:b w:val="0"/>
          <w:bCs w:val="0"/>
          <w:sz w:val="32"/>
          <w:szCs w:val="32"/>
          <w:lang w:val="en-US" w:eastAsia="zh-CN"/>
        </w:rPr>
        <w:t>三</w:t>
      </w:r>
      <w:r>
        <w:rPr>
          <w:rFonts w:hint="eastAsia" w:ascii="Times New Roman" w:hAnsi="Times New Roman" w:eastAsia="楷体_GB2312" w:cs="Times New Roman"/>
          <w:b w:val="0"/>
          <w:bCs w:val="0"/>
          <w:sz w:val="32"/>
          <w:szCs w:val="32"/>
          <w:lang w:eastAsia="zh-CN"/>
        </w:rPr>
        <w:t>）预算安排及分配管理</w:t>
      </w:r>
      <w:bookmarkEnd w:id="165"/>
      <w:bookmarkEnd w:id="16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仿宋_GB2312" w:cs="Times New Roman"/>
          <w:i w:val="0"/>
          <w:iCs w:val="0"/>
          <w:caps w:val="0"/>
          <w:color w:val="333333"/>
          <w:spacing w:val="0"/>
          <w:sz w:val="32"/>
          <w:szCs w:val="32"/>
          <w:shd w:val="clear" w:color="auto" w:fill="FFFFFF"/>
        </w:rPr>
      </w:pPr>
      <w:bookmarkStart w:id="167" w:name="_Toc13446"/>
      <w:bookmarkStart w:id="168" w:name="_Toc6743"/>
      <w:r>
        <w:rPr>
          <w:rFonts w:hint="eastAsia" w:ascii="Times New Roman" w:hAnsi="Times New Roman" w:eastAsia="仿宋_GB2312" w:cs="Times New Roman"/>
          <w:i w:val="0"/>
          <w:iCs w:val="0"/>
          <w:caps w:val="0"/>
          <w:color w:val="333333"/>
          <w:spacing w:val="0"/>
          <w:sz w:val="32"/>
          <w:szCs w:val="32"/>
          <w:shd w:val="clear" w:color="auto" w:fill="FFFFFF"/>
          <w:lang w:val="zh-CN"/>
        </w:rPr>
        <w:t>按项目进度进行预算安排，保障项目顺利实施。项目资金</w:t>
      </w:r>
      <w:r>
        <w:rPr>
          <w:rFonts w:hint="eastAsia" w:ascii="Times New Roman" w:hAnsi="Times New Roman" w:eastAsia="仿宋_GB2312" w:cs="Times New Roman"/>
          <w:i w:val="0"/>
          <w:iCs w:val="0"/>
          <w:caps w:val="0"/>
          <w:color w:val="333333"/>
          <w:spacing w:val="0"/>
          <w:sz w:val="32"/>
          <w:szCs w:val="32"/>
          <w:shd w:val="clear" w:color="auto" w:fill="FFFFFF"/>
        </w:rPr>
        <w:t>按财政交通专项资金管理办法进行支付。2024年市、县级农村公路养护经费资金共计92.8万元，已完成支付92.8万元，均用于农村公路养护经费。</w:t>
      </w:r>
      <w:bookmarkEnd w:id="167"/>
      <w:bookmarkEnd w:id="16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楷体_GB2312" w:cs="Times New Roman"/>
          <w:b w:val="0"/>
          <w:bCs w:val="0"/>
          <w:sz w:val="32"/>
          <w:szCs w:val="32"/>
          <w:lang w:val="zh-CN" w:eastAsia="zh-CN"/>
        </w:rPr>
      </w:pPr>
      <w:bookmarkStart w:id="169" w:name="_Toc31459"/>
      <w:bookmarkStart w:id="170" w:name="_Toc22176"/>
      <w:r>
        <w:rPr>
          <w:rFonts w:hint="eastAsia" w:ascii="Times New Roman" w:hAnsi="Times New Roman" w:eastAsia="楷体_GB2312" w:cs="Times New Roman"/>
          <w:b w:val="0"/>
          <w:bCs w:val="0"/>
          <w:sz w:val="32"/>
          <w:szCs w:val="32"/>
          <w:lang w:val="zh-CN" w:eastAsia="zh-CN"/>
        </w:rPr>
        <w:t>（</w:t>
      </w:r>
      <w:r>
        <w:rPr>
          <w:rFonts w:hint="eastAsia" w:ascii="Times New Roman" w:hAnsi="Times New Roman" w:eastAsia="楷体_GB2312" w:cs="Times New Roman"/>
          <w:b w:val="0"/>
          <w:bCs w:val="0"/>
          <w:sz w:val="32"/>
          <w:szCs w:val="32"/>
          <w:lang w:val="en-US" w:eastAsia="zh-CN"/>
        </w:rPr>
        <w:t>四</w:t>
      </w:r>
      <w:r>
        <w:rPr>
          <w:rFonts w:hint="eastAsia" w:ascii="Times New Roman" w:hAnsi="Times New Roman" w:eastAsia="楷体_GB2312" w:cs="Times New Roman"/>
          <w:b w:val="0"/>
          <w:bCs w:val="0"/>
          <w:sz w:val="32"/>
          <w:szCs w:val="32"/>
          <w:lang w:val="zh-CN" w:eastAsia="zh-CN"/>
        </w:rPr>
        <w:t>）项目绩效目标设置</w:t>
      </w:r>
      <w:bookmarkEnd w:id="169"/>
      <w:bookmarkEnd w:id="17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ascii="仿宋_GB2312" w:hAnsi="仿宋_GB2312" w:cs="仿宋_GB2312"/>
          <w:kern w:val="0"/>
          <w:shd w:val="clear" w:color="auto" w:fill="FFFFFF"/>
          <w:lang w:val="zh-CN"/>
        </w:rPr>
      </w:pPr>
      <w:bookmarkStart w:id="171" w:name="_Toc20175"/>
      <w:bookmarkStart w:id="172" w:name="_Toc24844"/>
      <w:r>
        <w:rPr>
          <w:rFonts w:hint="eastAsia" w:ascii="Times New Roman" w:hAnsi="Times New Roman" w:eastAsia="仿宋_GB2312" w:cs="Times New Roman"/>
          <w:i w:val="0"/>
          <w:iCs w:val="0"/>
          <w:caps w:val="0"/>
          <w:color w:val="333333"/>
          <w:spacing w:val="0"/>
          <w:sz w:val="32"/>
          <w:szCs w:val="32"/>
          <w:shd w:val="clear" w:color="auto" w:fill="FFFFFF"/>
        </w:rPr>
        <w:t>主管部门对项目规划、项目预算、资金分配、项目实施、项目质量进行监管，保障资金专款专用，确保项目资金高效、准确、安全使用。</w:t>
      </w:r>
      <w:r>
        <w:rPr>
          <w:rFonts w:hint="eastAsia" w:ascii="Times New Roman" w:hAnsi="Times New Roman" w:eastAsia="仿宋_GB2312" w:cs="Times New Roman"/>
          <w:i w:val="0"/>
          <w:iCs w:val="0"/>
          <w:caps w:val="0"/>
          <w:color w:val="333333"/>
          <w:spacing w:val="0"/>
          <w:sz w:val="32"/>
          <w:szCs w:val="32"/>
          <w:shd w:val="clear" w:color="auto" w:fill="FFFFFF"/>
          <w:lang w:val="zh-CN"/>
        </w:rPr>
        <w:t>按项目具体实施情况，设置项目具体绩效目标，指标体系</w:t>
      </w:r>
      <w:r>
        <w:rPr>
          <w:rFonts w:hint="eastAsia" w:ascii="Times New Roman" w:hAnsi="Times New Roman" w:eastAsia="仿宋_GB2312" w:cs="Times New Roman"/>
          <w:i w:val="0"/>
          <w:iCs w:val="0"/>
          <w:caps w:val="0"/>
          <w:color w:val="333333"/>
          <w:spacing w:val="0"/>
          <w:sz w:val="32"/>
          <w:szCs w:val="32"/>
          <w:shd w:val="clear" w:color="auto" w:fill="FFFFFF"/>
        </w:rPr>
        <w:t>包括：数量指标、质量指标、时效指标、经济效益指标、社会效益指标、生态效益指标、改善通行服务水平群众满意度和经济成本指标。</w:t>
      </w:r>
      <w:r>
        <w:rPr>
          <w:rFonts w:hint="eastAsia" w:ascii="Times New Roman" w:hAnsi="Times New Roman" w:eastAsia="仿宋_GB2312" w:cs="Times New Roman"/>
          <w:i w:val="0"/>
          <w:iCs w:val="0"/>
          <w:caps w:val="0"/>
          <w:color w:val="333333"/>
          <w:spacing w:val="0"/>
          <w:sz w:val="32"/>
          <w:szCs w:val="32"/>
          <w:shd w:val="clear" w:color="auto" w:fill="FFFFFF"/>
          <w:lang w:val="zh-CN"/>
        </w:rPr>
        <w:t>成立由分管领导牵头的自评工作领导小组，高质量，高效率完成自评工作。</w:t>
      </w:r>
      <w:bookmarkEnd w:id="171"/>
      <w:bookmarkEnd w:id="17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rPr>
        <w:t>二、评价实施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楷体_GB2312" w:cs="Times New Roman"/>
          <w:b w:val="0"/>
          <w:bCs w:val="0"/>
          <w:sz w:val="32"/>
          <w:szCs w:val="32"/>
          <w:lang w:val="zh-CN"/>
        </w:rPr>
      </w:pPr>
      <w:bookmarkStart w:id="173" w:name="_Toc24817"/>
      <w:bookmarkStart w:id="174" w:name="_Toc21218"/>
      <w:r>
        <w:rPr>
          <w:rFonts w:hint="eastAsia" w:ascii="Times New Roman" w:hAnsi="Times New Roman" w:eastAsia="楷体_GB2312" w:cs="Times New Roman"/>
          <w:b w:val="0"/>
          <w:bCs w:val="0"/>
          <w:sz w:val="32"/>
          <w:szCs w:val="32"/>
          <w:lang w:val="zh-CN"/>
        </w:rPr>
        <w:t>（一）评价目的</w:t>
      </w:r>
      <w:bookmarkEnd w:id="173"/>
      <w:bookmarkEnd w:id="17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75" w:name="_Toc14350"/>
      <w:bookmarkStart w:id="176" w:name="_Toc7488"/>
      <w:r>
        <w:rPr>
          <w:rFonts w:hint="default" w:ascii="Times New Roman" w:hAnsi="Times New Roman" w:eastAsia="仿宋_GB2312" w:cs="Times New Roman"/>
          <w:i w:val="0"/>
          <w:iCs w:val="0"/>
          <w:caps w:val="0"/>
          <w:color w:val="333333"/>
          <w:spacing w:val="0"/>
          <w:sz w:val="32"/>
          <w:szCs w:val="32"/>
          <w:shd w:val="clear" w:color="auto" w:fill="FFFFFF"/>
          <w:lang w:val="zh-CN"/>
        </w:rPr>
        <w:t>通过对预算项目的绩效评价，了解项目实施进度情况，项目资金使用情况及取得的效果，总结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bookmarkEnd w:id="175"/>
      <w:bookmarkEnd w:id="17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b w:val="0"/>
          <w:bCs w:val="0"/>
          <w:sz w:val="32"/>
          <w:szCs w:val="32"/>
          <w:lang w:val="zh-CN"/>
        </w:rPr>
      </w:pPr>
      <w:bookmarkStart w:id="177" w:name="_Toc9373"/>
      <w:bookmarkStart w:id="178" w:name="_Toc9463"/>
      <w:r>
        <w:rPr>
          <w:rFonts w:hint="eastAsia" w:ascii="楷体_GB2312" w:hAnsi="楷体_GB2312" w:eastAsia="楷体_GB2312" w:cs="楷体_GB2312"/>
          <w:i w:val="0"/>
          <w:iCs w:val="0"/>
          <w:caps w:val="0"/>
          <w:color w:val="333333"/>
          <w:spacing w:val="0"/>
          <w:sz w:val="32"/>
          <w:szCs w:val="32"/>
          <w:shd w:val="clear" w:color="auto" w:fill="FFFFFF"/>
          <w:lang w:val="zh-CN"/>
        </w:rPr>
        <w:t>（</w:t>
      </w:r>
      <w:r>
        <w:rPr>
          <w:rFonts w:hint="eastAsia" w:ascii="楷体_GB2312" w:hAnsi="楷体_GB2312" w:eastAsia="楷体_GB2312" w:cs="楷体_GB2312"/>
          <w:i w:val="0"/>
          <w:iCs w:val="0"/>
          <w:caps w:val="0"/>
          <w:color w:val="333333"/>
          <w:spacing w:val="0"/>
          <w:sz w:val="32"/>
          <w:szCs w:val="32"/>
          <w:shd w:val="clear" w:color="auto" w:fill="FFFFFF"/>
          <w:lang w:val="en-US" w:eastAsia="zh-CN"/>
        </w:rPr>
        <w:t>二</w:t>
      </w:r>
      <w:r>
        <w:rPr>
          <w:rFonts w:hint="eastAsia" w:ascii="楷体_GB2312" w:hAnsi="楷体_GB2312" w:eastAsia="楷体_GB2312" w:cs="楷体_GB2312"/>
          <w:i w:val="0"/>
          <w:iCs w:val="0"/>
          <w:caps w:val="0"/>
          <w:color w:val="333333"/>
          <w:spacing w:val="0"/>
          <w:sz w:val="32"/>
          <w:szCs w:val="32"/>
          <w:shd w:val="clear" w:color="auto" w:fill="FFFFFF"/>
          <w:lang w:val="zh-CN"/>
        </w:rPr>
        <w:t>）</w:t>
      </w:r>
      <w:r>
        <w:rPr>
          <w:rFonts w:hint="eastAsia" w:ascii="楷体_GB2312" w:hAnsi="楷体_GB2312" w:eastAsia="楷体_GB2312" w:cs="楷体_GB2312"/>
          <w:b w:val="0"/>
          <w:bCs w:val="0"/>
          <w:sz w:val="32"/>
          <w:szCs w:val="32"/>
          <w:lang w:val="zh-CN"/>
        </w:rPr>
        <w:t>预设问题及评价重点</w:t>
      </w:r>
      <w:bookmarkEnd w:id="177"/>
      <w:bookmarkEnd w:id="17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79" w:name="_Toc31218"/>
      <w:bookmarkStart w:id="180" w:name="_Toc17929"/>
      <w:r>
        <w:rPr>
          <w:rFonts w:hint="default" w:ascii="Times New Roman" w:hAnsi="Times New Roman" w:eastAsia="仿宋_GB2312" w:cs="Times New Roman"/>
          <w:i w:val="0"/>
          <w:iCs w:val="0"/>
          <w:caps w:val="0"/>
          <w:color w:val="333333"/>
          <w:spacing w:val="0"/>
          <w:sz w:val="32"/>
          <w:szCs w:val="32"/>
          <w:shd w:val="clear" w:color="auto" w:fill="FFFFFF"/>
          <w:lang w:val="zh-CN"/>
        </w:rPr>
        <w:t>评价重点包括资金支出使用全过程及实施效果，重点关注项目决策、管理、实施和结果四个方面。按照绩效评价指标体系，对资金支出使用全过程及其实施效果进行综合评价和判断。规范项目申报、资金使用合法合规，项目明细清晰，支付资金与预算相符，保证项目资金的专款专用。严格按照财务管理制度，对照项目资金管理办法，对项目资金及时审核支付。财务处理及时，会计核算规范。</w:t>
      </w:r>
      <w:bookmarkEnd w:id="179"/>
      <w:bookmarkEnd w:id="18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i w:val="0"/>
          <w:iCs w:val="0"/>
          <w:caps w:val="0"/>
          <w:color w:val="333333"/>
          <w:spacing w:val="0"/>
          <w:sz w:val="32"/>
          <w:szCs w:val="32"/>
          <w:shd w:val="clear" w:color="auto" w:fill="FFFFFF"/>
          <w:lang w:val="zh-CN"/>
        </w:rPr>
      </w:pPr>
      <w:bookmarkStart w:id="181" w:name="_Toc5849"/>
      <w:bookmarkStart w:id="182" w:name="_Toc13347"/>
      <w:r>
        <w:rPr>
          <w:rFonts w:hint="eastAsia" w:ascii="楷体_GB2312" w:hAnsi="楷体_GB2312" w:eastAsia="楷体_GB2312" w:cs="楷体_GB2312"/>
          <w:i w:val="0"/>
          <w:iCs w:val="0"/>
          <w:caps w:val="0"/>
          <w:color w:val="333333"/>
          <w:spacing w:val="0"/>
          <w:sz w:val="32"/>
          <w:szCs w:val="32"/>
          <w:shd w:val="clear" w:color="auto" w:fill="FFFFFF"/>
          <w:lang w:val="zh-CN"/>
        </w:rPr>
        <w:t>（</w:t>
      </w:r>
      <w:r>
        <w:rPr>
          <w:rFonts w:hint="eastAsia" w:ascii="楷体_GB2312" w:hAnsi="楷体_GB2312" w:eastAsia="楷体_GB2312" w:cs="楷体_GB2312"/>
          <w:i w:val="0"/>
          <w:iCs w:val="0"/>
          <w:caps w:val="0"/>
          <w:color w:val="333333"/>
          <w:spacing w:val="0"/>
          <w:sz w:val="32"/>
          <w:szCs w:val="32"/>
          <w:shd w:val="clear" w:color="auto" w:fill="FFFFFF"/>
          <w:lang w:val="en-US" w:eastAsia="zh-CN"/>
        </w:rPr>
        <w:t>三</w:t>
      </w:r>
      <w:r>
        <w:rPr>
          <w:rFonts w:hint="eastAsia" w:ascii="楷体_GB2312" w:hAnsi="楷体_GB2312" w:eastAsia="楷体_GB2312" w:cs="楷体_GB2312"/>
          <w:i w:val="0"/>
          <w:iCs w:val="0"/>
          <w:caps w:val="0"/>
          <w:color w:val="333333"/>
          <w:spacing w:val="0"/>
          <w:sz w:val="32"/>
          <w:szCs w:val="32"/>
          <w:shd w:val="clear" w:color="auto" w:fill="FFFFFF"/>
          <w:lang w:val="zh-CN"/>
        </w:rPr>
        <w:t>）评价选点</w:t>
      </w:r>
      <w:bookmarkEnd w:id="181"/>
      <w:bookmarkEnd w:id="18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83" w:name="_Toc24477"/>
      <w:bookmarkStart w:id="184" w:name="_Toc18456"/>
      <w:r>
        <w:rPr>
          <w:rFonts w:hint="default" w:ascii="Times New Roman" w:hAnsi="Times New Roman" w:eastAsia="仿宋_GB2312" w:cs="Times New Roman"/>
          <w:i w:val="0"/>
          <w:iCs w:val="0"/>
          <w:caps w:val="0"/>
          <w:color w:val="333333"/>
          <w:spacing w:val="0"/>
          <w:sz w:val="32"/>
          <w:szCs w:val="32"/>
          <w:shd w:val="clear" w:color="auto" w:fill="FFFFFF"/>
          <w:lang w:val="zh-CN"/>
        </w:rPr>
        <w:t>按项目实施全过程，对项目实地开展到项目资金申请、支付全过程进行监督检查。</w:t>
      </w:r>
      <w:bookmarkEnd w:id="183"/>
      <w:bookmarkEnd w:id="18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i w:val="0"/>
          <w:iCs w:val="0"/>
          <w:caps w:val="0"/>
          <w:color w:val="333333"/>
          <w:spacing w:val="0"/>
          <w:sz w:val="32"/>
          <w:szCs w:val="32"/>
          <w:shd w:val="clear" w:color="auto" w:fill="FFFFFF"/>
          <w:lang w:val="zh-CN"/>
        </w:rPr>
      </w:pPr>
      <w:bookmarkStart w:id="185" w:name="_Toc1112"/>
      <w:bookmarkStart w:id="186" w:name="_Toc15070"/>
      <w:r>
        <w:rPr>
          <w:rFonts w:hint="eastAsia" w:ascii="楷体_GB2312" w:hAnsi="楷体_GB2312" w:eastAsia="楷体_GB2312" w:cs="楷体_GB2312"/>
          <w:i w:val="0"/>
          <w:iCs w:val="0"/>
          <w:caps w:val="0"/>
          <w:color w:val="333333"/>
          <w:spacing w:val="0"/>
          <w:sz w:val="32"/>
          <w:szCs w:val="32"/>
          <w:shd w:val="clear" w:color="auto" w:fill="FFFFFF"/>
          <w:lang w:val="zh-CN"/>
        </w:rPr>
        <w:t>（</w:t>
      </w:r>
      <w:r>
        <w:rPr>
          <w:rFonts w:hint="eastAsia" w:ascii="楷体_GB2312" w:hAnsi="楷体_GB2312" w:eastAsia="楷体_GB2312" w:cs="楷体_GB2312"/>
          <w:i w:val="0"/>
          <w:iCs w:val="0"/>
          <w:caps w:val="0"/>
          <w:color w:val="333333"/>
          <w:spacing w:val="0"/>
          <w:sz w:val="32"/>
          <w:szCs w:val="32"/>
          <w:shd w:val="clear" w:color="auto" w:fill="FFFFFF"/>
          <w:lang w:val="en-US" w:eastAsia="zh-CN"/>
        </w:rPr>
        <w:t>四</w:t>
      </w:r>
      <w:r>
        <w:rPr>
          <w:rFonts w:hint="eastAsia" w:ascii="楷体_GB2312" w:hAnsi="楷体_GB2312" w:eastAsia="楷体_GB2312" w:cs="楷体_GB2312"/>
          <w:i w:val="0"/>
          <w:iCs w:val="0"/>
          <w:caps w:val="0"/>
          <w:color w:val="333333"/>
          <w:spacing w:val="0"/>
          <w:sz w:val="32"/>
          <w:szCs w:val="32"/>
          <w:shd w:val="clear" w:color="auto" w:fill="FFFFFF"/>
          <w:lang w:val="zh-CN"/>
        </w:rPr>
        <w:t>）评价方法</w:t>
      </w:r>
      <w:bookmarkEnd w:id="185"/>
      <w:bookmarkEnd w:id="18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sz w:val="32"/>
          <w:szCs w:val="32"/>
          <w:shd w:val="clear" w:color="auto" w:fill="FFFFFF"/>
          <w:lang w:val="zh-CN"/>
        </w:rPr>
      </w:pPr>
      <w:bookmarkStart w:id="187" w:name="_Toc16581"/>
      <w:bookmarkStart w:id="188" w:name="_Toc14925"/>
      <w:r>
        <w:rPr>
          <w:rFonts w:hint="default" w:ascii="Times New Roman" w:hAnsi="Times New Roman" w:eastAsia="仿宋_GB2312" w:cs="Times New Roman"/>
          <w:i w:val="0"/>
          <w:iCs w:val="0"/>
          <w:caps w:val="0"/>
          <w:color w:val="333333"/>
          <w:spacing w:val="0"/>
          <w:sz w:val="32"/>
          <w:szCs w:val="32"/>
          <w:shd w:val="clear" w:color="auto" w:fill="FFFFFF"/>
          <w:lang w:val="zh-CN"/>
        </w:rPr>
        <w:t>根据项目情况和评价重点，</w:t>
      </w:r>
      <w:r>
        <w:rPr>
          <w:rFonts w:hint="eastAsia" w:ascii="Times New Roman" w:hAnsi="Times New Roman" w:eastAsia="仿宋_GB2312" w:cs="Times New Roman"/>
          <w:i w:val="0"/>
          <w:iCs w:val="0"/>
          <w:caps w:val="0"/>
          <w:color w:val="333333"/>
          <w:spacing w:val="0"/>
          <w:sz w:val="32"/>
          <w:szCs w:val="32"/>
          <w:shd w:val="clear" w:color="auto" w:fill="FFFFFF"/>
          <w:lang w:val="zh-CN"/>
        </w:rPr>
        <w:t>用来</w:t>
      </w:r>
      <w:r>
        <w:rPr>
          <w:rFonts w:hint="default" w:ascii="Times New Roman" w:hAnsi="Times New Roman" w:eastAsia="仿宋_GB2312" w:cs="Times New Roman"/>
          <w:i w:val="0"/>
          <w:iCs w:val="0"/>
          <w:caps w:val="0"/>
          <w:color w:val="333333"/>
          <w:spacing w:val="0"/>
          <w:sz w:val="32"/>
          <w:szCs w:val="32"/>
          <w:shd w:val="clear" w:color="auto" w:fill="FFFFFF"/>
          <w:lang w:val="zh-CN"/>
        </w:rPr>
        <w:t>收集相关材料和开展具体评价</w:t>
      </w:r>
      <w:r>
        <w:rPr>
          <w:rFonts w:hint="eastAsia" w:ascii="Times New Roman" w:hAnsi="Times New Roman" w:eastAsia="仿宋_GB2312" w:cs="Times New Roman"/>
          <w:i w:val="0"/>
          <w:iCs w:val="0"/>
          <w:caps w:val="0"/>
          <w:color w:val="333333"/>
          <w:spacing w:val="0"/>
          <w:sz w:val="32"/>
          <w:szCs w:val="32"/>
          <w:shd w:val="clear" w:color="auto" w:fill="FFFFFF"/>
          <w:lang w:val="zh-CN"/>
        </w:rPr>
        <w:t>的方法</w:t>
      </w:r>
      <w:r>
        <w:rPr>
          <w:rFonts w:hint="default" w:ascii="Times New Roman" w:hAnsi="Times New Roman" w:eastAsia="仿宋_GB2312" w:cs="Times New Roman"/>
          <w:i w:val="0"/>
          <w:iCs w:val="0"/>
          <w:caps w:val="0"/>
          <w:color w:val="333333"/>
          <w:spacing w:val="0"/>
          <w:sz w:val="32"/>
          <w:szCs w:val="32"/>
          <w:shd w:val="clear" w:color="auto" w:fill="FFFFFF"/>
          <w:lang w:val="zh-CN"/>
        </w:rPr>
        <w:t>。</w:t>
      </w:r>
      <w:r>
        <w:rPr>
          <w:rFonts w:hint="eastAsia" w:ascii="Times New Roman" w:hAnsi="Times New Roman" w:eastAsia="仿宋_GB2312" w:cs="Times New Roman"/>
          <w:i w:val="0"/>
          <w:iCs w:val="0"/>
          <w:caps w:val="0"/>
          <w:color w:val="333333"/>
          <w:spacing w:val="0"/>
          <w:sz w:val="32"/>
          <w:szCs w:val="32"/>
          <w:shd w:val="clear" w:color="auto" w:fill="FFFFFF"/>
          <w:lang w:val="zh-CN"/>
        </w:rPr>
        <w:t>包括：</w:t>
      </w:r>
      <w:r>
        <w:rPr>
          <w:rFonts w:hint="default" w:ascii="Times New Roman" w:hAnsi="Times New Roman" w:eastAsia="仿宋_GB2312" w:cs="Times New Roman"/>
          <w:i w:val="0"/>
          <w:iCs w:val="0"/>
          <w:caps w:val="0"/>
          <w:color w:val="333333"/>
          <w:spacing w:val="0"/>
          <w:sz w:val="32"/>
          <w:szCs w:val="32"/>
          <w:shd w:val="clear" w:color="auto" w:fill="FFFFFF"/>
          <w:lang w:val="zh-CN"/>
        </w:rPr>
        <w:t>采用单位自评法、实地勘察法、问卷调查法、座谈调研法等多种方法</w:t>
      </w:r>
      <w:r>
        <w:rPr>
          <w:rFonts w:hint="eastAsia" w:ascii="Times New Roman" w:hAnsi="Times New Roman" w:eastAsia="仿宋_GB2312" w:cs="Times New Roman"/>
          <w:i w:val="0"/>
          <w:iCs w:val="0"/>
          <w:caps w:val="0"/>
          <w:color w:val="333333"/>
          <w:spacing w:val="0"/>
          <w:sz w:val="32"/>
          <w:szCs w:val="32"/>
          <w:shd w:val="clear" w:color="auto" w:fill="FFFFFF"/>
          <w:lang w:val="zh-CN"/>
        </w:rPr>
        <w:t>。</w:t>
      </w:r>
      <w:bookmarkEnd w:id="187"/>
      <w:bookmarkEnd w:id="18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i w:val="0"/>
          <w:iCs w:val="0"/>
          <w:caps w:val="0"/>
          <w:color w:val="333333"/>
          <w:spacing w:val="0"/>
          <w:sz w:val="32"/>
          <w:szCs w:val="32"/>
          <w:shd w:val="clear" w:color="auto" w:fill="FFFFFF"/>
          <w:lang w:val="zh-CN"/>
        </w:rPr>
      </w:pPr>
      <w:bookmarkStart w:id="189" w:name="_Toc21652"/>
      <w:bookmarkStart w:id="190" w:name="_Toc18861"/>
      <w:r>
        <w:rPr>
          <w:rFonts w:hint="eastAsia" w:ascii="楷体_GB2312" w:hAnsi="楷体_GB2312" w:eastAsia="楷体_GB2312" w:cs="楷体_GB2312"/>
          <w:i w:val="0"/>
          <w:iCs w:val="0"/>
          <w:caps w:val="0"/>
          <w:color w:val="333333"/>
          <w:spacing w:val="0"/>
          <w:sz w:val="32"/>
          <w:szCs w:val="32"/>
          <w:shd w:val="clear" w:color="auto" w:fill="FFFFFF"/>
          <w:lang w:val="zh-CN"/>
        </w:rPr>
        <w:t>（</w:t>
      </w:r>
      <w:r>
        <w:rPr>
          <w:rFonts w:hint="eastAsia" w:ascii="楷体_GB2312" w:hAnsi="楷体_GB2312" w:eastAsia="楷体_GB2312" w:cs="楷体_GB2312"/>
          <w:i w:val="0"/>
          <w:iCs w:val="0"/>
          <w:caps w:val="0"/>
          <w:color w:val="333333"/>
          <w:spacing w:val="0"/>
          <w:sz w:val="32"/>
          <w:szCs w:val="32"/>
          <w:shd w:val="clear" w:color="auto" w:fill="FFFFFF"/>
          <w:lang w:val="en-US" w:eastAsia="zh-CN"/>
        </w:rPr>
        <w:t>五</w:t>
      </w:r>
      <w:r>
        <w:rPr>
          <w:rFonts w:hint="eastAsia" w:ascii="楷体_GB2312" w:hAnsi="楷体_GB2312" w:eastAsia="楷体_GB2312" w:cs="楷体_GB2312"/>
          <w:i w:val="0"/>
          <w:iCs w:val="0"/>
          <w:caps w:val="0"/>
          <w:color w:val="333333"/>
          <w:spacing w:val="0"/>
          <w:sz w:val="32"/>
          <w:szCs w:val="32"/>
          <w:shd w:val="clear" w:color="auto" w:fill="FFFFFF"/>
          <w:lang w:val="zh-CN"/>
        </w:rPr>
        <w:t>）评价组织</w:t>
      </w:r>
      <w:bookmarkEnd w:id="189"/>
      <w:bookmarkEnd w:id="190"/>
    </w:p>
    <w:p>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leftChars="0" w:firstLine="640" w:firstLineChars="200"/>
        <w:textAlignment w:val="auto"/>
        <w:rPr>
          <w:bCs/>
        </w:rPr>
      </w:pPr>
      <w:r>
        <w:rPr>
          <w:rFonts w:hint="default" w:ascii="Times New Roman" w:hAnsi="Times New Roman" w:eastAsia="仿宋_GB2312" w:cs="Times New Roman"/>
          <w:i w:val="0"/>
          <w:iCs w:val="0"/>
          <w:caps w:val="0"/>
          <w:color w:val="333333"/>
          <w:spacing w:val="0"/>
          <w:sz w:val="32"/>
          <w:szCs w:val="32"/>
          <w:shd w:val="clear" w:color="auto" w:fill="FFFFFF"/>
          <w:lang w:val="zh-CN"/>
        </w:rPr>
        <w:t>我中心开展绩效自评分两个步骤：一是准备阶段，主要是收集评价项目的基础资料；二是自评阶段，按照相关要求，撰写项目自评报告。我中心成立了项目绩效评价小组，负责项目的绩效自评工作。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val="zh-CN"/>
        </w:rPr>
      </w:pPr>
      <w:r>
        <w:rPr>
          <w:rFonts w:hint="eastAsia" w:ascii="Times New Roman" w:hAnsi="Times New Roman" w:eastAsia="黑体" w:cs="Times New Roman"/>
          <w:bCs/>
          <w:sz w:val="32"/>
          <w:szCs w:val="32"/>
        </w:rPr>
        <w:t>三、绩效分析</w:t>
      </w:r>
      <w:r>
        <w:rPr>
          <w:rFonts w:hint="eastAsia" w:ascii="Times New Roman" w:hAnsi="Times New Roman" w:eastAsia="黑体" w:cs="Times New Roman"/>
          <w:bCs/>
          <w:sz w:val="32"/>
          <w:szCs w:val="32"/>
          <w:lang w:val="zh-CN"/>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i w:val="0"/>
          <w:iCs w:val="0"/>
          <w:caps w:val="0"/>
          <w:color w:val="333333"/>
          <w:spacing w:val="0"/>
          <w:sz w:val="32"/>
          <w:szCs w:val="32"/>
          <w:shd w:val="clear" w:color="auto" w:fill="FFFFFF"/>
          <w:lang w:val="zh-CN"/>
        </w:rPr>
      </w:pPr>
      <w:bookmarkStart w:id="191" w:name="_Toc8976"/>
      <w:bookmarkStart w:id="192" w:name="_Toc29618"/>
      <w:r>
        <w:rPr>
          <w:rFonts w:hint="eastAsia" w:ascii="楷体_GB2312" w:hAnsi="楷体_GB2312" w:eastAsia="楷体_GB2312" w:cs="楷体_GB2312"/>
          <w:i w:val="0"/>
          <w:iCs w:val="0"/>
          <w:caps w:val="0"/>
          <w:color w:val="333333"/>
          <w:spacing w:val="0"/>
          <w:sz w:val="32"/>
          <w:szCs w:val="32"/>
          <w:shd w:val="clear" w:color="auto" w:fill="FFFFFF"/>
          <w:lang w:val="zh-CN"/>
        </w:rPr>
        <w:t>（一）通用指标绩效分析</w:t>
      </w:r>
      <w:bookmarkEnd w:id="191"/>
      <w:bookmarkEnd w:id="19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93" w:name="_Toc10834"/>
      <w:bookmarkStart w:id="194" w:name="_Toc10661"/>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1.项目决策。项目程序规范，规划论证充分，资金投向准确。</w:t>
      </w:r>
      <w:bookmarkEnd w:id="193"/>
      <w:bookmarkEnd w:id="19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95" w:name="_Toc19232"/>
      <w:bookmarkStart w:id="196" w:name="_Toc30324"/>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2.项目管理。按相关财政文件执行，制度建全。资金分配科学合理。绩效监管有效。</w:t>
      </w:r>
      <w:bookmarkEnd w:id="195"/>
      <w:bookmarkEnd w:id="19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97" w:name="_Toc22759"/>
      <w:bookmarkStart w:id="198" w:name="_Toc25601"/>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3.项目实施。项目预算执行良好，资金使用合规。</w:t>
      </w:r>
      <w:bookmarkEnd w:id="197"/>
      <w:bookmarkEnd w:id="19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199" w:name="_Toc25386"/>
      <w:bookmarkStart w:id="200" w:name="_Toc32668"/>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4.项目结果。目标完成率高，完成时效符合预期。</w:t>
      </w:r>
      <w:bookmarkEnd w:id="199"/>
      <w:bookmarkEnd w:id="20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楷体_GB2312" w:hAnsi="楷体_GB2312" w:eastAsia="楷体_GB2312" w:cs="楷体_GB2312"/>
          <w:i w:val="0"/>
          <w:iCs w:val="0"/>
          <w:caps w:val="0"/>
          <w:color w:val="333333"/>
          <w:spacing w:val="0"/>
          <w:sz w:val="32"/>
          <w:szCs w:val="32"/>
          <w:shd w:val="clear" w:color="auto" w:fill="FFFFFF"/>
          <w:lang w:val="zh-CN"/>
        </w:rPr>
      </w:pPr>
      <w:bookmarkStart w:id="201" w:name="_Toc23822"/>
      <w:bookmarkStart w:id="202" w:name="_Toc8054"/>
      <w:r>
        <w:rPr>
          <w:rFonts w:hint="eastAsia" w:ascii="楷体_GB2312" w:hAnsi="楷体_GB2312" w:eastAsia="楷体_GB2312" w:cs="楷体_GB2312"/>
          <w:i w:val="0"/>
          <w:iCs w:val="0"/>
          <w:caps w:val="0"/>
          <w:color w:val="333333"/>
          <w:spacing w:val="0"/>
          <w:sz w:val="32"/>
          <w:szCs w:val="32"/>
          <w:shd w:val="clear" w:color="auto" w:fill="FFFFFF"/>
          <w:lang w:val="zh-CN"/>
        </w:rPr>
        <w:t>（二）专用指标绩效分析</w:t>
      </w:r>
      <w:bookmarkEnd w:id="201"/>
      <w:bookmarkEnd w:id="20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203" w:name="_Toc19208"/>
      <w:bookmarkStart w:id="204" w:name="_Toc18834"/>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1.产业发展。符合区域经济发展需求，成长性和经济性显著。</w:t>
      </w:r>
      <w:bookmarkEnd w:id="203"/>
      <w:bookmarkEnd w:id="204"/>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205" w:name="_Toc15638"/>
      <w:bookmarkStart w:id="206" w:name="_Toc18737"/>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2.</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民生保障。</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区域均衡性良好，对象精准，标准便，群众满意度高。</w:t>
      </w:r>
      <w:bookmarkEnd w:id="205"/>
      <w:bookmarkEnd w:id="20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207" w:name="_Toc1580"/>
      <w:bookmarkStart w:id="208" w:name="_Toc16303"/>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3.基础设施。在建工程进度和资金拨付符合计划，建成项目验收合格，功能实现良好，后续管护到位。</w:t>
      </w:r>
      <w:bookmarkEnd w:id="207"/>
      <w:bookmarkEnd w:id="20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bookmarkStart w:id="209" w:name="_Toc5021"/>
      <w:bookmarkStart w:id="210" w:name="_Toc28310"/>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4.</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行政运转。</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用途、程序和标准均符合规定。</w:t>
      </w:r>
      <w:bookmarkEnd w:id="209"/>
      <w:bookmarkEnd w:id="21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四、评价结论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我中心2024年</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市、县级农村公路</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养护经费</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92.8</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万元，实现支付</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92.8</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万元，完成支付占比</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100</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%。项目按预算进度实施，项目建设有序进行，项目资金使用、拨付符合国家财经法规、财务管理制度及有关专项资金管理制度办法规定和审批程序。经自评领导小组评审，自评得分为</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97</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五、存在主要问题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我县农村公路管养</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里程</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长达308.557公里，</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管理养护点多、面广，</w:t>
      </w: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全</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县地属山区，坡陡、弯急，</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洪期公路水毁严重，</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修复整治成本增加，</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公路养护经费以及水毁工程抢修等资金</w:t>
      </w:r>
      <w:r>
        <w:rPr>
          <w:rFonts w:hint="default" w:ascii="Times New Roman" w:hAnsi="Times New Roman" w:eastAsia="仿宋_GB2312" w:cs="Times New Roman"/>
          <w:i w:val="0"/>
          <w:iCs w:val="0"/>
          <w:caps w:val="0"/>
          <w:color w:val="333333"/>
          <w:spacing w:val="0"/>
          <w:kern w:val="0"/>
          <w:sz w:val="32"/>
          <w:szCs w:val="32"/>
          <w:shd w:val="clear" w:color="auto" w:fill="FFFFFF"/>
          <w:lang w:val="zh-CN" w:eastAsia="zh-CN" w:bidi="ar-SA"/>
        </w:rPr>
        <w:t>需求缺口较大</w:t>
      </w: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Cs/>
          <w:sz w:val="32"/>
          <w:szCs w:val="32"/>
          <w:lang w:val="zh-CN" w:eastAsia="zh-CN"/>
        </w:rPr>
      </w:pPr>
      <w:r>
        <w:rPr>
          <w:rFonts w:hint="eastAsia" w:ascii="Times New Roman" w:hAnsi="Times New Roman" w:eastAsia="黑体" w:cs="Times New Roman"/>
          <w:bCs/>
          <w:sz w:val="32"/>
          <w:szCs w:val="32"/>
          <w:lang w:val="zh-CN" w:eastAsia="zh-CN"/>
        </w:rPr>
        <w:t>六、改进建议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zh-CN" w:eastAsia="zh-CN" w:bidi="ar-SA"/>
        </w:rPr>
        <w:t>加强项目资金控制，提高预算管理水平。争取县政府和上级主管部门政策支持，加大项目资金投入，加强与县财政沟通协调，及时了解项目需求，准确及时足额拨付项目资金，确保项目顺利实施完成，进一步提高项目资金使用效率。</w:t>
      </w:r>
    </w:p>
    <w:p>
      <w:pPr>
        <w:pStyle w:val="2"/>
        <w:pageBreakBefore w:val="0"/>
        <w:kinsoku/>
        <w:wordWrap/>
        <w:overflowPunct/>
        <w:topLinePunct w:val="0"/>
        <w:bidi w:val="0"/>
        <w:spacing w:line="600" w:lineRule="exact"/>
        <w:rPr>
          <w:rFonts w:hint="eastAsia"/>
          <w:lang w:val="zh-CN"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bidi="ar-SA"/>
        </w:rPr>
      </w:pPr>
      <w:r>
        <w:rPr>
          <w:rFonts w:hint="eastAsia" w:ascii="Times New Roman" w:hAnsi="Times New Roman" w:eastAsia="仿宋_GB2312" w:cs="Times New Roman"/>
          <w:i w:val="0"/>
          <w:iCs w:val="0"/>
          <w:caps w:val="0"/>
          <w:color w:val="333333"/>
          <w:spacing w:val="0"/>
          <w:kern w:val="0"/>
          <w:sz w:val="32"/>
          <w:szCs w:val="32"/>
          <w:shd w:val="clear" w:color="auto" w:fill="FFFFFF"/>
          <w:lang w:val="en-US" w:eastAsia="zh-CN" w:bidi="ar-SA"/>
        </w:rPr>
        <w:t>附表：专项预算项目绩效目标完成情况自评表</w:t>
      </w:r>
    </w:p>
    <w:p>
      <w:pPr>
        <w:pageBreakBefore w:val="0"/>
        <w:kinsoku/>
        <w:wordWrap/>
        <w:overflowPunct/>
        <w:topLinePunct w:val="0"/>
        <w:bidi w:val="0"/>
        <w:snapToGrid w:val="0"/>
        <w:spacing w:line="600" w:lineRule="exact"/>
        <w:ind w:firstLine="420" w:firstLineChars="200"/>
        <w:rPr>
          <w:kern w:val="0"/>
          <w:shd w:val="clear" w:color="auto" w:fill="FFFFFF"/>
          <w:lang w:val="zh-CN"/>
        </w:rPr>
      </w:pPr>
      <w:r>
        <w:rPr>
          <w:rFonts w:hint="eastAsia"/>
          <w:kern w:val="0"/>
          <w:shd w:val="clear" w:color="auto" w:fill="FFFFFF"/>
          <w:lang w:val="zh-CN"/>
        </w:rPr>
        <w:br w:type="page"/>
      </w:r>
    </w:p>
    <w:tbl>
      <w:tblPr>
        <w:tblStyle w:val="16"/>
        <w:tblpPr w:leftFromText="180" w:rightFromText="180" w:vertAnchor="text" w:horzAnchor="page" w:tblpX="862" w:tblpY="-651"/>
        <w:tblOverlap w:val="never"/>
        <w:tblW w:w="10233" w:type="dxa"/>
        <w:tblInd w:w="0" w:type="dxa"/>
        <w:tblLayout w:type="fixed"/>
        <w:tblCellMar>
          <w:top w:w="15" w:type="dxa"/>
          <w:left w:w="15" w:type="dxa"/>
          <w:bottom w:w="15" w:type="dxa"/>
          <w:right w:w="15" w:type="dxa"/>
        </w:tblCellMar>
      </w:tblPr>
      <w:tblGrid>
        <w:gridCol w:w="652"/>
        <w:gridCol w:w="1081"/>
        <w:gridCol w:w="1250"/>
        <w:gridCol w:w="1312"/>
        <w:gridCol w:w="1049"/>
        <w:gridCol w:w="1049"/>
        <w:gridCol w:w="1061"/>
        <w:gridCol w:w="938"/>
        <w:gridCol w:w="1841"/>
      </w:tblGrid>
      <w:tr>
        <w:tblPrEx>
          <w:tblCellMar>
            <w:top w:w="15" w:type="dxa"/>
            <w:left w:w="15" w:type="dxa"/>
            <w:bottom w:w="15" w:type="dxa"/>
            <w:right w:w="15" w:type="dxa"/>
          </w:tblCellMar>
        </w:tblPrEx>
        <w:trPr>
          <w:trHeight w:val="576" w:hRule="atLeast"/>
        </w:trPr>
        <w:tc>
          <w:tcPr>
            <w:tcW w:w="10233" w:type="dxa"/>
            <w:gridSpan w:val="9"/>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br w:type="page"/>
            </w:r>
            <w:r>
              <w:rPr>
                <w:rFonts w:hint="default" w:ascii="Times New Roman" w:hAnsi="Times New Roman" w:eastAsia="仿宋_GB2312" w:cs="Times New Roman"/>
                <w:color w:val="000000"/>
                <w:kern w:val="0"/>
                <w:sz w:val="28"/>
                <w:szCs w:val="28"/>
              </w:rPr>
              <w:t>专项预算项目绩效目标完成情况自评表</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农村公路养护经费</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沐川县公路建设服务中心</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市县级农村公路养护资金</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中长期规划（名称、文号，仅指</w:t>
            </w:r>
            <w:bookmarkStart w:id="250" w:name="_GoBack"/>
            <w:bookmarkEnd w:id="250"/>
            <w:r>
              <w:rPr>
                <w:rFonts w:hint="default" w:ascii="Times New Roman" w:hAnsi="Times New Roman" w:eastAsia="仿宋_GB2312" w:cs="Times New Roman"/>
                <w:color w:val="000000"/>
                <w:kern w:val="0"/>
                <w:sz w:val="28"/>
                <w:szCs w:val="28"/>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421"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tabs>
                <w:tab w:val="left" w:pos="1715"/>
              </w:tabs>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绩效分配方式</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因素法</w:t>
            </w:r>
          </w:p>
        </w:tc>
        <w:tc>
          <w:tcPr>
            <w:tcW w:w="2110"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项目法</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√据实据效</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因素法与项目法相结合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国省道养护费</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2024年</w:t>
            </w:r>
          </w:p>
        </w:tc>
      </w:tr>
      <w:tr>
        <w:tblPrEx>
          <w:tblCellMar>
            <w:top w:w="15" w:type="dxa"/>
            <w:left w:w="15" w:type="dxa"/>
            <w:bottom w:w="15" w:type="dxa"/>
            <w:right w:w="15" w:type="dxa"/>
          </w:tblCellMar>
        </w:tblPrEx>
        <w:trPr>
          <w:trHeight w:val="23" w:hRule="atLeast"/>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项目资金</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92.8</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92.8</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right"/>
              <w:rPr>
                <w:rFonts w:hint="default" w:ascii="Times New Roman" w:hAnsi="Times New Roman" w:eastAsia="仿宋_GB2312" w:cs="Times New Roman"/>
                <w:color w:val="000000"/>
                <w:sz w:val="28"/>
                <w:szCs w:val="28"/>
              </w:rPr>
            </w:pP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年度目标</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完成交通项目建设、农村公路养护、维修整治，完成农村客运补贴、水运项目建设。</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绩效 指标</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一级指标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三级指标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指标性质</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指标值</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度量单位</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权重</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实际完成指标值</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restart"/>
            <w:tcBorders>
              <w:top w:val="single" w:color="000000" w:sz="4" w:space="0"/>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restart"/>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数量指标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公路灾毁应急抢修保通</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个</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continue"/>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农村公路养护</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308.557</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公里</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ind w:firstLine="560" w:firstLineChars="2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308.557</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质量指标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资金使用合规性</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完工项目验收合格率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100%</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100%</w:t>
            </w:r>
          </w:p>
        </w:tc>
      </w:tr>
      <w:tr>
        <w:tblPrEx>
          <w:tblCellMar>
            <w:top w:w="15" w:type="dxa"/>
            <w:left w:w="15" w:type="dxa"/>
            <w:bottom w:w="15" w:type="dxa"/>
            <w:right w:w="15" w:type="dxa"/>
          </w:tblCellMar>
        </w:tblPrEx>
        <w:trPr>
          <w:trHeight w:val="56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时效指标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2024年</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效益指标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经济效益</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推动地方经济的提升，促进城乡共同繁荣</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明显</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明显</w:t>
            </w:r>
          </w:p>
        </w:tc>
      </w:tr>
      <w:tr>
        <w:tblPrEx>
          <w:tblCellMar>
            <w:top w:w="15" w:type="dxa"/>
            <w:left w:w="15" w:type="dxa"/>
            <w:bottom w:w="15" w:type="dxa"/>
            <w:right w:w="15" w:type="dxa"/>
          </w:tblCellMar>
        </w:tblPrEx>
        <w:trPr>
          <w:trHeight w:val="9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社会效益</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确保公路安全、畅通、整洁，确保车辆行人安全出行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提升</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提升</w:t>
            </w:r>
          </w:p>
        </w:tc>
      </w:tr>
      <w:tr>
        <w:tblPrEx>
          <w:tblCellMar>
            <w:top w:w="15" w:type="dxa"/>
            <w:left w:w="15" w:type="dxa"/>
            <w:bottom w:w="15" w:type="dxa"/>
            <w:right w:w="15" w:type="dxa"/>
          </w:tblCellMar>
        </w:tblPrEx>
        <w:trPr>
          <w:trHeight w:val="724"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vMerge w:val="continue"/>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250" w:type="dxa"/>
            <w:tcBorders>
              <w:top w:val="single" w:color="000000"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生态效益指标</w:t>
            </w:r>
          </w:p>
        </w:tc>
        <w:tc>
          <w:tcPr>
            <w:tcW w:w="1312"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打造绿色交通</w:t>
            </w: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符合</w:t>
            </w:r>
          </w:p>
        </w:tc>
        <w:tc>
          <w:tcPr>
            <w:tcW w:w="1061"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符合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auto"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81" w:type="dxa"/>
            <w:tcBorders>
              <w:top w:val="single" w:color="auto" w:sz="4" w:space="0"/>
              <w:left w:val="single" w:color="auto"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满意度</w:t>
            </w:r>
          </w:p>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指标</w:t>
            </w:r>
          </w:p>
        </w:tc>
        <w:tc>
          <w:tcPr>
            <w:tcW w:w="1250" w:type="dxa"/>
            <w:tcBorders>
              <w:top w:val="single" w:color="auto"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改善通行服务水平群众满意度</w:t>
            </w:r>
          </w:p>
        </w:tc>
        <w:tc>
          <w:tcPr>
            <w:tcW w:w="1312"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群众满意</w:t>
            </w: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≥80%</w:t>
            </w:r>
          </w:p>
        </w:tc>
        <w:tc>
          <w:tcPr>
            <w:tcW w:w="1061" w:type="dxa"/>
            <w:tcBorders>
              <w:top w:val="single" w:color="auto" w:sz="4" w:space="0"/>
              <w:left w:val="single" w:color="000000" w:sz="4" w:space="0"/>
              <w:bottom w:val="single" w:color="auto" w:sz="4" w:space="0"/>
              <w:right w:val="single" w:color="auto"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p>
        </w:tc>
        <w:tc>
          <w:tcPr>
            <w:tcW w:w="938" w:type="dxa"/>
            <w:tcBorders>
              <w:top w:val="single" w:color="000000" w:sz="4" w:space="0"/>
              <w:left w:val="single" w:color="auto"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≥90%</w:t>
            </w:r>
          </w:p>
        </w:tc>
      </w:tr>
    </w:tbl>
    <w:p>
      <w:pPr>
        <w:pageBreakBefore w:val="0"/>
        <w:kinsoku/>
        <w:wordWrap/>
        <w:overflowPunct/>
        <w:topLinePunct w:val="0"/>
        <w:bidi w:val="0"/>
        <w:spacing w:line="600" w:lineRule="exact"/>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br w:type="page"/>
      </w:r>
    </w:p>
    <w:p>
      <w:pPr>
        <w:keepNext w:val="0"/>
        <w:keepLines w:val="0"/>
        <w:pageBreakBefore w:val="0"/>
        <w:widowControl w:val="0"/>
        <w:kinsoku/>
        <w:wordWrap/>
        <w:overflowPunct/>
        <w:topLinePunct w:val="0"/>
        <w:autoSpaceDE/>
        <w:autoSpaceDN/>
        <w:bidi w:val="0"/>
        <w:spacing w:line="600" w:lineRule="exact"/>
        <w:textAlignment w:val="auto"/>
        <w:outlineLvl w:val="9"/>
        <w:rPr>
          <w:rFonts w:hint="default" w:ascii="Times New Roman" w:hAnsi="Times New Roman" w:eastAsia="黑体" w:cs="Times New Roman"/>
          <w:color w:val="auto"/>
          <w:kern w:val="0"/>
          <w:sz w:val="32"/>
          <w:szCs w:val="32"/>
          <w:highlight w:val="none"/>
          <w:shd w:val="clear" w:color="auto" w:fill="FFFFFF"/>
          <w:lang w:val="en-US" w:eastAsia="zh-CN"/>
        </w:rPr>
      </w:pPr>
      <w:r>
        <w:rPr>
          <w:rFonts w:hint="eastAsia" w:ascii="Times New Roman" w:hAnsi="Times New Roman" w:eastAsia="黑体" w:cs="Times New Roman"/>
          <w:color w:val="auto"/>
          <w:kern w:val="0"/>
          <w:sz w:val="32"/>
          <w:szCs w:val="32"/>
          <w:highlight w:val="none"/>
          <w:shd w:val="clear" w:color="auto" w:fill="FFFFFF"/>
          <w:lang w:val="en-US" w:eastAsia="zh-CN"/>
        </w:rPr>
        <w:t>附件4</w:t>
      </w:r>
    </w:p>
    <w:p>
      <w:pPr>
        <w:pStyle w:val="35"/>
        <w:pageBreakBefore w:val="0"/>
        <w:kinsoku/>
        <w:wordWrap/>
        <w:overflowPunct/>
        <w:topLinePunct w:val="0"/>
        <w:bidi w:val="0"/>
        <w:spacing w:line="600"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沐川县公路建设服务中心</w:t>
      </w:r>
    </w:p>
    <w:p>
      <w:pPr>
        <w:pStyle w:val="35"/>
        <w:pageBreakBefore w:val="0"/>
        <w:kinsoku/>
        <w:wordWrap/>
        <w:overflowPunct/>
        <w:topLinePunct w:val="0"/>
        <w:bidi w:val="0"/>
        <w:spacing w:line="600" w:lineRule="exact"/>
        <w:jc w:val="center"/>
        <w:rPr>
          <w:rFonts w:ascii="宋体" w:hAnsi="宋体"/>
          <w:color w:val="auto"/>
          <w:kern w:val="2"/>
          <w:sz w:val="32"/>
          <w:szCs w:val="32"/>
        </w:rPr>
      </w:pPr>
      <w:r>
        <w:rPr>
          <w:rFonts w:hint="eastAsia" w:ascii="方正小标宋简体" w:hAnsi="方正小标宋简体" w:eastAsia="方正小标宋简体" w:cs="方正小标宋简体"/>
          <w:color w:val="auto"/>
          <w:kern w:val="2"/>
          <w:sz w:val="44"/>
          <w:szCs w:val="44"/>
          <w:lang w:val="en-US"/>
        </w:rPr>
        <w:t>2024年五指山隧道管养经费绩效评价报告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zh-CN"/>
        </w:rPr>
      </w:pPr>
      <w:r>
        <w:rPr>
          <w:rFonts w:hint="eastAsia" w:ascii="Times New Roman" w:hAnsi="Times New Roman" w:eastAsia="黑体" w:cs="Times New Roman"/>
          <w:color w:val="auto"/>
          <w:sz w:val="32"/>
          <w:szCs w:val="32"/>
          <w:highlight w:val="none"/>
        </w:rPr>
        <w:t>一、</w:t>
      </w:r>
      <w:r>
        <w:rPr>
          <w:rFonts w:hint="eastAsia" w:ascii="Times New Roman" w:hAnsi="Times New Roman" w:eastAsia="黑体" w:cs="Times New Roman"/>
          <w:color w:val="auto"/>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eastAsia" w:ascii="Times New Roman" w:hAnsi="Times New Roman" w:eastAsia="仿宋_GB2312" w:cs="Times New Roman"/>
          <w:color w:val="auto"/>
          <w:kern w:val="0"/>
          <w:sz w:val="32"/>
          <w:szCs w:val="32"/>
          <w:highlight w:val="none"/>
          <w:u w:val="none"/>
          <w:shd w:val="clear" w:color="auto" w:fill="FFFFFF"/>
          <w:lang w:val="en-US" w:eastAsia="zh-CN"/>
        </w:rPr>
        <w:t>2024年沐川县公路建设服务中心五沐快速管养经费上年结转52.61万元，调整后预算数211.40万元，经县政府批准，用于五指山隧道管养经费</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eastAsia="zh-CN"/>
        </w:rPr>
        <w:t>（</w:t>
      </w:r>
      <w:r>
        <w:rPr>
          <w:rFonts w:hint="eastAsia" w:ascii="Times New Roman" w:hAnsi="Times New Roman" w:eastAsia="楷体_GB2312" w:cs="Times New Roman"/>
          <w:b w:val="0"/>
          <w:bCs/>
          <w:color w:val="auto"/>
          <w:sz w:val="32"/>
          <w:szCs w:val="32"/>
          <w:highlight w:val="none"/>
          <w:u w:val="none"/>
          <w:lang w:val="en-US" w:eastAsia="zh-CN"/>
        </w:rPr>
        <w:t>二</w:t>
      </w:r>
      <w:r>
        <w:rPr>
          <w:rFonts w:hint="eastAsia" w:ascii="Times New Roman" w:hAnsi="Times New Roman" w:eastAsia="楷体_GB2312" w:cs="Times New Roman"/>
          <w:b w:val="0"/>
          <w:bCs/>
          <w:color w:val="auto"/>
          <w:sz w:val="32"/>
          <w:szCs w:val="32"/>
          <w:highlight w:val="none"/>
          <w:u w:val="none"/>
          <w:lang w:val="zh-CN" w:eastAsia="zh-CN"/>
        </w:rPr>
        <w:t>）</w:t>
      </w:r>
      <w:r>
        <w:rPr>
          <w:rFonts w:hint="eastAsia" w:ascii="Times New Roman" w:hAnsi="Times New Roman" w:eastAsia="楷体_GB2312" w:cs="Times New Roman"/>
          <w:b w:val="0"/>
          <w:bCs/>
          <w:color w:val="auto"/>
          <w:sz w:val="32"/>
          <w:szCs w:val="32"/>
          <w:highlight w:val="none"/>
          <w:u w:val="none"/>
          <w:lang w:val="zh-CN"/>
        </w:rPr>
        <w:t>实施目的及支持方向</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仿宋_GB2312" w:cs="Times New Roman"/>
          <w:color w:val="auto"/>
          <w:kern w:val="0"/>
          <w:sz w:val="32"/>
          <w:szCs w:val="32"/>
          <w:highlight w:val="none"/>
          <w:u w:val="none"/>
          <w:shd w:val="clear" w:color="auto" w:fill="FFFFFF"/>
          <w:lang w:val="zh-CN" w:eastAsia="zh-CN"/>
        </w:rPr>
      </w:pPr>
      <w:r>
        <w:rPr>
          <w:rFonts w:hint="eastAsia" w:ascii="Times New Roman" w:hAnsi="Times New Roman" w:eastAsia="仿宋_GB2312" w:cs="Times New Roman"/>
          <w:color w:val="auto"/>
          <w:kern w:val="0"/>
          <w:sz w:val="32"/>
          <w:szCs w:val="32"/>
          <w:highlight w:val="none"/>
          <w:u w:val="none"/>
          <w:shd w:val="clear" w:color="auto" w:fill="FFFFFF"/>
          <w:lang w:val="zh-CN" w:eastAsia="zh-CN"/>
        </w:rPr>
        <w:t>通过对预算项目的绩效评价，了解项目实施进度情况，项目资金使用情况及取得的效果，总结项目建设和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eastAsia="zh-CN"/>
        </w:rPr>
      </w:pPr>
      <w:r>
        <w:rPr>
          <w:rFonts w:hint="eastAsia" w:ascii="Times New Roman" w:hAnsi="Times New Roman" w:eastAsia="楷体_GB2312" w:cs="Times New Roman"/>
          <w:b w:val="0"/>
          <w:bCs/>
          <w:color w:val="auto"/>
          <w:sz w:val="32"/>
          <w:szCs w:val="32"/>
          <w:highlight w:val="none"/>
          <w:u w:val="none"/>
          <w:lang w:val="zh-CN" w:eastAsia="zh-CN"/>
        </w:rPr>
        <w:t>（</w:t>
      </w:r>
      <w:r>
        <w:rPr>
          <w:rFonts w:hint="eastAsia" w:ascii="Times New Roman" w:hAnsi="Times New Roman" w:eastAsia="楷体_GB2312" w:cs="Times New Roman"/>
          <w:b w:val="0"/>
          <w:bCs/>
          <w:color w:val="auto"/>
          <w:sz w:val="32"/>
          <w:szCs w:val="32"/>
          <w:highlight w:val="none"/>
          <w:u w:val="none"/>
          <w:lang w:val="en-US" w:eastAsia="zh-CN"/>
        </w:rPr>
        <w:t>三</w:t>
      </w:r>
      <w:r>
        <w:rPr>
          <w:rFonts w:hint="eastAsia" w:ascii="Times New Roman" w:hAnsi="Times New Roman" w:eastAsia="楷体_GB2312" w:cs="Times New Roman"/>
          <w:b w:val="0"/>
          <w:bCs/>
          <w:color w:val="auto"/>
          <w:sz w:val="32"/>
          <w:szCs w:val="32"/>
          <w:highlight w:val="none"/>
          <w:u w:val="none"/>
          <w:lang w:val="zh-CN" w:eastAsia="zh-CN"/>
        </w:rPr>
        <w:t>）预算安排及分配管理</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仿宋_GB2312" w:cs="Times New Roman"/>
          <w:color w:val="auto"/>
          <w:kern w:val="0"/>
          <w:sz w:val="32"/>
          <w:szCs w:val="32"/>
          <w:highlight w:val="none"/>
          <w:u w:val="none"/>
          <w:shd w:val="clear" w:color="auto" w:fill="FFFFFF"/>
          <w:lang w:val="zh-CN" w:eastAsia="zh-CN"/>
        </w:rPr>
      </w:pPr>
      <w:r>
        <w:rPr>
          <w:rFonts w:hint="eastAsia" w:ascii="Times New Roman" w:hAnsi="Times New Roman" w:eastAsia="仿宋_GB2312" w:cs="Times New Roman"/>
          <w:color w:val="auto"/>
          <w:kern w:val="0"/>
          <w:sz w:val="32"/>
          <w:szCs w:val="32"/>
          <w:highlight w:val="none"/>
          <w:u w:val="none"/>
          <w:shd w:val="clear" w:color="auto" w:fill="FFFFFF"/>
          <w:lang w:val="zh-CN" w:eastAsia="zh-CN"/>
        </w:rPr>
        <w:t>按项目进度进行预算安排，保障项目顺利实施。项目资金按财政交通专项资金管理办法进行支付。2024年五指山隧道管养经费上年结转52.61万元，调整后预算数211.40万元，完成支付170.52万元，余额40.88万元结转下年，均用于五指山隧道管养。</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eastAsia="zh-CN"/>
        </w:rPr>
      </w:pPr>
      <w:r>
        <w:rPr>
          <w:rFonts w:hint="eastAsia" w:ascii="Times New Roman" w:hAnsi="Times New Roman" w:eastAsia="楷体_GB2312" w:cs="Times New Roman"/>
          <w:b w:val="0"/>
          <w:bCs/>
          <w:color w:val="auto"/>
          <w:sz w:val="32"/>
          <w:szCs w:val="32"/>
          <w:highlight w:val="none"/>
          <w:u w:val="none"/>
          <w:lang w:val="zh-CN" w:eastAsia="zh-CN"/>
        </w:rPr>
        <w:t>（</w:t>
      </w:r>
      <w:r>
        <w:rPr>
          <w:rFonts w:hint="eastAsia" w:ascii="Times New Roman" w:hAnsi="Times New Roman" w:eastAsia="楷体_GB2312" w:cs="Times New Roman"/>
          <w:b w:val="0"/>
          <w:bCs/>
          <w:color w:val="auto"/>
          <w:sz w:val="32"/>
          <w:szCs w:val="32"/>
          <w:highlight w:val="none"/>
          <w:u w:val="none"/>
          <w:lang w:val="en-US" w:eastAsia="zh-CN"/>
        </w:rPr>
        <w:t>四</w:t>
      </w:r>
      <w:r>
        <w:rPr>
          <w:rFonts w:hint="eastAsia" w:ascii="Times New Roman" w:hAnsi="Times New Roman" w:eastAsia="楷体_GB2312" w:cs="Times New Roman"/>
          <w:b w:val="0"/>
          <w:bCs/>
          <w:color w:val="auto"/>
          <w:sz w:val="32"/>
          <w:szCs w:val="32"/>
          <w:highlight w:val="none"/>
          <w:u w:val="none"/>
          <w:lang w:val="zh-CN" w:eastAsia="zh-CN"/>
        </w:rPr>
        <w:t>）项目绩效目标设置</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仿宋_GB2312" w:cs="Times New Roman"/>
          <w:color w:val="auto"/>
          <w:kern w:val="0"/>
          <w:sz w:val="32"/>
          <w:szCs w:val="32"/>
          <w:highlight w:val="none"/>
          <w:u w:val="none"/>
          <w:shd w:val="clear" w:color="auto" w:fill="FFFFFF"/>
          <w:lang w:val="zh-CN" w:eastAsia="zh-CN"/>
        </w:rPr>
      </w:pPr>
      <w:r>
        <w:rPr>
          <w:rFonts w:hint="eastAsia" w:ascii="Times New Roman" w:hAnsi="Times New Roman" w:eastAsia="仿宋_GB2312" w:cs="Times New Roman"/>
          <w:color w:val="auto"/>
          <w:kern w:val="0"/>
          <w:sz w:val="32"/>
          <w:szCs w:val="32"/>
          <w:highlight w:val="none"/>
          <w:u w:val="none"/>
          <w:shd w:val="clear" w:color="auto" w:fill="FFFFFF"/>
          <w:lang w:val="zh-CN" w:eastAsia="zh-CN"/>
        </w:rPr>
        <w:t>主管部门对项目规划、项目预算、资金分配、项目实施、项目质量进行监管，保障资金专款专用，确保项目资金高效、准确、安全使用。按项目具体实施情况，设置项目具体绩效目标，指标体系包括：数量指标、质量指标、时效指标、经济效益指标、社会效益指标、生态效益指标、改善通行服务水平群众满意度和经济成本指标。成立由分管领导牵头的自评工作领导小组，高质量，高效率完成自评工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二、评价实施</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（一）评价目的</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通过对预算项目的绩效评价，了解项目实施进度情况，项目资金使用情况及取得的效果，总结专项资金管理的经验，发现专项资金管理中存在的问题，为提高资金的使用效益，加强财政支出的规范化管理，健全和完善支出项目和资金使用管理办法，完善预算编制、加强绩效目标管理和绩效考核工作提供重要的参考依据。</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w:t>
      </w:r>
      <w:r>
        <w:rPr>
          <w:rFonts w:hint="eastAsia" w:ascii="Times New Roman" w:hAnsi="Times New Roman" w:eastAsia="楷体_GB2312" w:cs="Times New Roman"/>
          <w:b w:val="0"/>
          <w:bCs/>
          <w:color w:val="auto"/>
          <w:sz w:val="32"/>
          <w:szCs w:val="32"/>
          <w:highlight w:val="none"/>
          <w:u w:val="none"/>
          <w:lang w:val="en-US" w:eastAsia="zh-CN"/>
        </w:rPr>
        <w:t>二</w:t>
      </w:r>
      <w:r>
        <w:rPr>
          <w:rFonts w:hint="eastAsia" w:ascii="Times New Roman" w:hAnsi="Times New Roman" w:eastAsia="楷体_GB2312" w:cs="Times New Roman"/>
          <w:b w:val="0"/>
          <w:bCs/>
          <w:color w:val="auto"/>
          <w:sz w:val="32"/>
          <w:szCs w:val="32"/>
          <w:highlight w:val="none"/>
          <w:u w:val="none"/>
          <w:lang w:val="zh-CN"/>
        </w:rPr>
        <w:t>）预设问题及评价重点</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评价重点包括资金支出使用全过程及实施效果，重点关注项目决策、管理、实施和结果四个方面。按照绩效评价指标体系，对资金支出使用全过程及其实施效果进行综合评价和判断。规范项目申报、资金使用合法合规，项目明细清晰，支付资金与预算相符，保证项目资金的专款专用。严格按照财务管理制度，对照项目资金管理办法，对项目资金及时审核支付。财务处理及时，会计核算规范。</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w:t>
      </w:r>
      <w:r>
        <w:rPr>
          <w:rFonts w:hint="eastAsia" w:ascii="Times New Roman" w:hAnsi="Times New Roman" w:eastAsia="楷体_GB2312" w:cs="Times New Roman"/>
          <w:b w:val="0"/>
          <w:bCs/>
          <w:color w:val="auto"/>
          <w:sz w:val="32"/>
          <w:szCs w:val="32"/>
          <w:highlight w:val="none"/>
          <w:u w:val="none"/>
          <w:lang w:val="en-US" w:eastAsia="zh-CN"/>
        </w:rPr>
        <w:t>三</w:t>
      </w:r>
      <w:r>
        <w:rPr>
          <w:rFonts w:hint="eastAsia" w:ascii="Times New Roman" w:hAnsi="Times New Roman" w:eastAsia="楷体_GB2312" w:cs="Times New Roman"/>
          <w:b w:val="0"/>
          <w:bCs/>
          <w:color w:val="auto"/>
          <w:sz w:val="32"/>
          <w:szCs w:val="32"/>
          <w:highlight w:val="none"/>
          <w:u w:val="none"/>
          <w:lang w:val="zh-CN"/>
        </w:rPr>
        <w:t>）评价选点</w:t>
      </w:r>
    </w:p>
    <w:p>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leftChars="0" w:firstLine="640" w:firstLineChars="200"/>
        <w:textAlignment w:val="auto"/>
        <w:rPr>
          <w:lang w:val="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按项目实施全过程，对项目实地开展到项目资金申请、支付全过程进行监督检查。</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w:t>
      </w:r>
      <w:r>
        <w:rPr>
          <w:rFonts w:hint="eastAsia" w:ascii="Times New Roman" w:hAnsi="Times New Roman" w:eastAsia="楷体_GB2312" w:cs="Times New Roman"/>
          <w:b w:val="0"/>
          <w:bCs/>
          <w:color w:val="auto"/>
          <w:sz w:val="32"/>
          <w:szCs w:val="32"/>
          <w:highlight w:val="none"/>
          <w:u w:val="none"/>
          <w:lang w:val="en-US" w:eastAsia="zh-CN"/>
        </w:rPr>
        <w:t>四</w:t>
      </w:r>
      <w:r>
        <w:rPr>
          <w:rFonts w:hint="eastAsia" w:ascii="Times New Roman" w:hAnsi="Times New Roman" w:eastAsia="楷体_GB2312" w:cs="Times New Roman"/>
          <w:b w:val="0"/>
          <w:bCs/>
          <w:color w:val="auto"/>
          <w:sz w:val="32"/>
          <w:szCs w:val="32"/>
          <w:highlight w:val="none"/>
          <w:u w:val="none"/>
          <w:lang w:val="zh-CN"/>
        </w:rPr>
        <w:t>）评价方法</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根据项目情况和评价重点，</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用来</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收集相关材料和开展具体评价</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的方法</w:t>
      </w:r>
      <w:r>
        <w:rPr>
          <w:rFonts w:hint="default" w:ascii="Times New Roman" w:hAnsi="Times New Roman" w:eastAsia="仿宋_GB2312" w:cs="Times New Roman"/>
          <w:color w:val="auto"/>
          <w:kern w:val="0"/>
          <w:sz w:val="32"/>
          <w:szCs w:val="32"/>
          <w:highlight w:val="none"/>
          <w:u w:val="none"/>
          <w:shd w:val="clear" w:color="auto" w:fill="FFFFFF"/>
          <w:lang w:val="en-US" w:eastAsia="zh-CN"/>
        </w:rPr>
        <w:t>。</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包括：</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采用单位自评法、实地勘察法、问卷调查法、座谈调研法等多种方法</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w:t>
      </w:r>
      <w:r>
        <w:rPr>
          <w:rFonts w:hint="eastAsia" w:ascii="Times New Roman" w:hAnsi="Times New Roman" w:eastAsia="楷体_GB2312" w:cs="Times New Roman"/>
          <w:b w:val="0"/>
          <w:bCs/>
          <w:color w:val="auto"/>
          <w:sz w:val="32"/>
          <w:szCs w:val="32"/>
          <w:highlight w:val="none"/>
          <w:u w:val="none"/>
          <w:lang w:val="en-US" w:eastAsia="zh-CN"/>
        </w:rPr>
        <w:t>五</w:t>
      </w:r>
      <w:r>
        <w:rPr>
          <w:rFonts w:hint="eastAsia" w:ascii="Times New Roman" w:hAnsi="Times New Roman" w:eastAsia="楷体_GB2312" w:cs="Times New Roman"/>
          <w:b w:val="0"/>
          <w:bCs/>
          <w:color w:val="auto"/>
          <w:sz w:val="32"/>
          <w:szCs w:val="32"/>
          <w:highlight w:val="none"/>
          <w:u w:val="none"/>
          <w:lang w:val="zh-CN"/>
        </w:rPr>
        <w:t>）评价组织</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我中心开展绩效自评分两个步骤：一是准备阶段，主要是收集评价项目的基础资料；二是自评阶段，按照相关要求，撰写项目自评报告。我中心成立了项目绩效评价小组，负责项目的绩效自评工作。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zh-CN"/>
        </w:rPr>
      </w:pPr>
      <w:r>
        <w:rPr>
          <w:rFonts w:hint="eastAsia" w:ascii="Times New Roman" w:hAnsi="Times New Roman" w:eastAsia="黑体" w:cs="Times New Roman"/>
          <w:color w:val="auto"/>
          <w:sz w:val="32"/>
          <w:szCs w:val="32"/>
          <w:highlight w:val="none"/>
        </w:rPr>
        <w:t>三、绩效分析</w:t>
      </w:r>
      <w:r>
        <w:rPr>
          <w:rFonts w:hint="eastAsia" w:ascii="Times New Roman" w:hAnsi="Times New Roman" w:eastAsia="黑体" w:cs="Times New Roman"/>
          <w:color w:val="auto"/>
          <w:sz w:val="32"/>
          <w:szCs w:val="32"/>
          <w:highlight w:val="none"/>
          <w:lang w:val="zh-CN"/>
        </w:rPr>
        <w:tab/>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（一）通用指标绩效分析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1.项目决策。项目程序规范，规划论证充分，资金投向准确。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2.项目管理。按相关财政文件执行，制度建全。资金分配科学合理。绩效监管有效。</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3.项目实施。项目预算执行良好，资金使用合规。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4.项目结果。目标完成率高，完成时效符合预期。</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contextualSpacing/>
        <w:jc w:val="left"/>
        <w:textAlignment w:val="auto"/>
        <w:rPr>
          <w:rFonts w:hint="eastAsia" w:ascii="Times New Roman" w:hAnsi="Times New Roman" w:eastAsia="楷体_GB2312" w:cs="Times New Roman"/>
          <w:b w:val="0"/>
          <w:bCs/>
          <w:color w:val="auto"/>
          <w:sz w:val="32"/>
          <w:szCs w:val="32"/>
          <w:highlight w:val="none"/>
          <w:u w:val="none"/>
          <w:lang w:val="zh-CN"/>
        </w:rPr>
      </w:pPr>
      <w:r>
        <w:rPr>
          <w:rFonts w:hint="eastAsia" w:ascii="Times New Roman" w:hAnsi="Times New Roman" w:eastAsia="楷体_GB2312" w:cs="Times New Roman"/>
          <w:b w:val="0"/>
          <w:bCs/>
          <w:color w:val="auto"/>
          <w:sz w:val="32"/>
          <w:szCs w:val="32"/>
          <w:highlight w:val="none"/>
          <w:u w:val="none"/>
          <w:lang w:val="zh-CN"/>
        </w:rPr>
        <w:t>（二）专用指标绩效分析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1.产业发展。符合区域经济发展需求，成长性和经济性显著。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2.</w:t>
      </w:r>
      <w:r>
        <w:rPr>
          <w:rFonts w:hint="default" w:ascii="Times New Roman" w:hAnsi="Times New Roman" w:eastAsia="仿宋_GB2312" w:cs="Times New Roman"/>
          <w:b w:val="0"/>
          <w:bCs/>
          <w:color w:val="auto"/>
          <w:sz w:val="32"/>
          <w:szCs w:val="32"/>
          <w:highlight w:val="none"/>
          <w:u w:val="none"/>
          <w:lang w:val="zh-CN" w:eastAsia="zh-CN"/>
        </w:rPr>
        <w:t>民生保障。</w:t>
      </w:r>
      <w:r>
        <w:rPr>
          <w:rFonts w:hint="default" w:ascii="Times New Roman" w:hAnsi="Times New Roman" w:eastAsia="仿宋_GB2312" w:cs="Times New Roman"/>
          <w:b w:val="0"/>
          <w:bCs/>
          <w:color w:val="auto"/>
          <w:sz w:val="32"/>
          <w:szCs w:val="32"/>
          <w:highlight w:val="none"/>
          <w:u w:val="none"/>
          <w:lang w:val="en-US" w:eastAsia="zh-CN"/>
        </w:rPr>
        <w:t>区域均衡性良好，对象精准，标准便，群众满意度高。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3.基础设施。在建工程进度和资金拨付符合计划，建成项目验收合格，功能实现良好，后续管护到位。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4.</w:t>
      </w:r>
      <w:r>
        <w:rPr>
          <w:rFonts w:hint="default" w:ascii="Times New Roman" w:hAnsi="Times New Roman" w:eastAsia="仿宋_GB2312" w:cs="Times New Roman"/>
          <w:b w:val="0"/>
          <w:bCs/>
          <w:color w:val="auto"/>
          <w:sz w:val="32"/>
          <w:szCs w:val="32"/>
          <w:highlight w:val="none"/>
          <w:u w:val="none"/>
          <w:lang w:val="zh-CN" w:eastAsia="zh-CN"/>
        </w:rPr>
        <w:t>行政运转。</w:t>
      </w:r>
      <w:r>
        <w:rPr>
          <w:rFonts w:hint="default" w:ascii="Times New Roman" w:hAnsi="Times New Roman" w:eastAsia="仿宋_GB2312" w:cs="Times New Roman"/>
          <w:b w:val="0"/>
          <w:bCs/>
          <w:color w:val="auto"/>
          <w:sz w:val="32"/>
          <w:szCs w:val="32"/>
          <w:highlight w:val="none"/>
          <w:u w:val="none"/>
          <w:lang w:val="en-US" w:eastAsia="zh-CN"/>
        </w:rPr>
        <w:t>用途、程序和标准均符合规定。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zh-CN" w:eastAsia="zh-CN"/>
        </w:rPr>
      </w:pPr>
      <w:r>
        <w:rPr>
          <w:rFonts w:hint="eastAsia" w:ascii="Times New Roman" w:hAnsi="Times New Roman" w:eastAsia="黑体" w:cs="Times New Roman"/>
          <w:color w:val="auto"/>
          <w:sz w:val="32"/>
          <w:szCs w:val="32"/>
          <w:highlight w:val="none"/>
          <w:lang w:val="zh-CN" w:eastAsia="zh-CN"/>
        </w:rPr>
        <w:t>四、评价结论</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zh-CN" w:eastAsia="zh-CN"/>
        </w:rPr>
      </w:pPr>
      <w:r>
        <w:rPr>
          <w:rFonts w:hint="default" w:ascii="Times New Roman" w:hAnsi="Times New Roman" w:eastAsia="仿宋_GB2312" w:cs="Times New Roman"/>
          <w:b w:val="0"/>
          <w:bCs/>
          <w:color w:val="auto"/>
          <w:sz w:val="32"/>
          <w:szCs w:val="32"/>
          <w:highlight w:val="none"/>
          <w:u w:val="none"/>
          <w:lang w:val="zh-CN" w:eastAsia="zh-CN"/>
        </w:rPr>
        <w:t>我中心2024年</w:t>
      </w:r>
      <w:r>
        <w:rPr>
          <w:rFonts w:hint="eastAsia" w:ascii="Times New Roman" w:hAnsi="Times New Roman" w:eastAsia="仿宋_GB2312" w:cs="Times New Roman"/>
          <w:b w:val="0"/>
          <w:bCs/>
          <w:color w:val="auto"/>
          <w:sz w:val="32"/>
          <w:szCs w:val="32"/>
          <w:highlight w:val="none"/>
          <w:u w:val="none"/>
          <w:lang w:val="zh-CN" w:eastAsia="zh-CN"/>
        </w:rPr>
        <w:t>五沐快速管养经费年初预算40</w:t>
      </w:r>
      <w:r>
        <w:rPr>
          <w:rFonts w:hint="default" w:ascii="Times New Roman" w:hAnsi="Times New Roman" w:eastAsia="仿宋_GB2312" w:cs="Times New Roman"/>
          <w:b w:val="0"/>
          <w:bCs/>
          <w:color w:val="auto"/>
          <w:sz w:val="32"/>
          <w:szCs w:val="32"/>
          <w:highlight w:val="none"/>
          <w:u w:val="none"/>
          <w:lang w:val="zh-CN" w:eastAsia="zh-CN"/>
        </w:rPr>
        <w:t>万元，实现支付</w:t>
      </w:r>
      <w:r>
        <w:rPr>
          <w:rFonts w:hint="eastAsia" w:ascii="Times New Roman" w:hAnsi="Times New Roman" w:eastAsia="仿宋_GB2312" w:cs="Times New Roman"/>
          <w:b w:val="0"/>
          <w:bCs/>
          <w:color w:val="auto"/>
          <w:sz w:val="32"/>
          <w:szCs w:val="32"/>
          <w:highlight w:val="none"/>
          <w:u w:val="none"/>
          <w:lang w:val="zh-CN" w:eastAsia="zh-CN"/>
        </w:rPr>
        <w:t>34.5</w:t>
      </w:r>
      <w:r>
        <w:rPr>
          <w:rFonts w:hint="default" w:ascii="Times New Roman" w:hAnsi="Times New Roman" w:eastAsia="仿宋_GB2312" w:cs="Times New Roman"/>
          <w:b w:val="0"/>
          <w:bCs/>
          <w:color w:val="auto"/>
          <w:sz w:val="32"/>
          <w:szCs w:val="32"/>
          <w:highlight w:val="none"/>
          <w:u w:val="none"/>
          <w:lang w:val="zh-CN" w:eastAsia="zh-CN"/>
        </w:rPr>
        <w:t>万元，完成支付占比</w:t>
      </w:r>
      <w:r>
        <w:rPr>
          <w:rFonts w:hint="eastAsia" w:ascii="Times New Roman" w:hAnsi="Times New Roman" w:eastAsia="仿宋_GB2312" w:cs="Times New Roman"/>
          <w:b w:val="0"/>
          <w:bCs/>
          <w:color w:val="auto"/>
          <w:sz w:val="32"/>
          <w:szCs w:val="32"/>
          <w:highlight w:val="none"/>
          <w:u w:val="none"/>
          <w:lang w:val="zh-CN" w:eastAsia="zh-CN"/>
        </w:rPr>
        <w:t>86.25</w:t>
      </w:r>
      <w:r>
        <w:rPr>
          <w:rFonts w:hint="default" w:ascii="Times New Roman" w:hAnsi="Times New Roman" w:eastAsia="仿宋_GB2312" w:cs="Times New Roman"/>
          <w:b w:val="0"/>
          <w:bCs/>
          <w:color w:val="auto"/>
          <w:sz w:val="32"/>
          <w:szCs w:val="32"/>
          <w:highlight w:val="none"/>
          <w:u w:val="none"/>
          <w:lang w:val="zh-CN" w:eastAsia="zh-CN"/>
        </w:rPr>
        <w:t>%。项目按预算进度实施，项目建设有序进行，项目资金使用、拨付符合国家财经法规、财务管理制度及有关专项资金管理制度办法规定和审批程序。经自评领导小组评审，自评得分为</w:t>
      </w:r>
      <w:r>
        <w:rPr>
          <w:rFonts w:hint="eastAsia" w:ascii="Times New Roman" w:hAnsi="Times New Roman" w:eastAsia="仿宋_GB2312" w:cs="Times New Roman"/>
          <w:b w:val="0"/>
          <w:bCs/>
          <w:color w:val="auto"/>
          <w:sz w:val="32"/>
          <w:szCs w:val="32"/>
          <w:highlight w:val="none"/>
          <w:u w:val="none"/>
          <w:lang w:val="zh-CN" w:eastAsia="zh-CN"/>
        </w:rPr>
        <w:t>96</w:t>
      </w:r>
      <w:r>
        <w:rPr>
          <w:rFonts w:hint="default" w:ascii="Times New Roman" w:hAnsi="Times New Roman" w:eastAsia="仿宋_GB2312" w:cs="Times New Roman"/>
          <w:b w:val="0"/>
          <w:bCs/>
          <w:color w:val="auto"/>
          <w:sz w:val="32"/>
          <w:szCs w:val="32"/>
          <w:highlight w:val="none"/>
          <w:u w:val="none"/>
          <w:lang w:val="zh-CN" w:eastAsia="zh-CN"/>
        </w:rPr>
        <w:t>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zh-CN" w:eastAsia="zh-CN"/>
        </w:rPr>
      </w:pPr>
      <w:r>
        <w:rPr>
          <w:rFonts w:hint="eastAsia" w:ascii="Times New Roman" w:hAnsi="Times New Roman" w:eastAsia="黑体" w:cs="Times New Roman"/>
          <w:color w:val="auto"/>
          <w:sz w:val="32"/>
          <w:szCs w:val="32"/>
          <w:highlight w:val="none"/>
          <w:lang w:val="zh-CN" w:eastAsia="zh-CN"/>
        </w:rPr>
        <w:t>五、存在主要问题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zh-CN" w:eastAsia="zh-CN"/>
        </w:rPr>
      </w:pPr>
      <w:r>
        <w:rPr>
          <w:rFonts w:hint="eastAsia" w:ascii="Times New Roman" w:hAnsi="Times New Roman" w:eastAsia="仿宋_GB2312" w:cs="Times New Roman"/>
          <w:b w:val="0"/>
          <w:bCs/>
          <w:color w:val="auto"/>
          <w:sz w:val="32"/>
          <w:szCs w:val="32"/>
          <w:highlight w:val="none"/>
          <w:u w:val="none"/>
          <w:lang w:val="zh-CN" w:eastAsia="zh-CN"/>
        </w:rPr>
        <w:t>五指山隧道全长3.923公里，</w:t>
      </w:r>
      <w:r>
        <w:rPr>
          <w:rFonts w:hint="default" w:ascii="Times New Roman" w:hAnsi="Times New Roman" w:eastAsia="仿宋_GB2312" w:cs="Times New Roman"/>
          <w:b w:val="0"/>
          <w:bCs/>
          <w:color w:val="auto"/>
          <w:sz w:val="32"/>
          <w:szCs w:val="32"/>
          <w:highlight w:val="none"/>
          <w:u w:val="none"/>
          <w:lang w:val="zh-CN" w:eastAsia="zh-CN"/>
        </w:rPr>
        <w:t>隧道内壁反复出现局部渗水问题，不能彻底根治，机电设施设备陈旧老化，有待升级改造，隧道养护管理专业技术人才匮乏，养护管理资金未足额划拨，资金缺口较大。</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zh-CN" w:eastAsia="zh-CN"/>
        </w:rPr>
      </w:pPr>
      <w:r>
        <w:rPr>
          <w:rFonts w:hint="eastAsia" w:ascii="Times New Roman" w:hAnsi="Times New Roman" w:eastAsia="黑体" w:cs="Times New Roman"/>
          <w:color w:val="auto"/>
          <w:sz w:val="32"/>
          <w:szCs w:val="32"/>
          <w:highlight w:val="none"/>
          <w:lang w:val="zh-CN" w:eastAsia="zh-CN"/>
        </w:rPr>
        <w:t>六、改进建议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zh-CN" w:eastAsia="zh-CN"/>
        </w:rPr>
      </w:pPr>
      <w:r>
        <w:rPr>
          <w:rFonts w:hint="default" w:ascii="Times New Roman" w:hAnsi="Times New Roman" w:eastAsia="仿宋_GB2312" w:cs="Times New Roman"/>
          <w:b w:val="0"/>
          <w:bCs/>
          <w:color w:val="auto"/>
          <w:sz w:val="32"/>
          <w:szCs w:val="32"/>
          <w:highlight w:val="none"/>
          <w:u w:val="none"/>
          <w:lang w:val="zh-CN" w:eastAsia="zh-CN"/>
        </w:rPr>
        <w:t>加强项目资金控制，提高预算管理水平。加强与县财政沟通协调，及时了解项目需求，准确及时足额拨付项目资金，确保项目顺利实施完成，进一步提高项目资金使用效率。</w:t>
      </w:r>
    </w:p>
    <w:p>
      <w:pPr>
        <w:pStyle w:val="2"/>
        <w:pageBreakBefore w:val="0"/>
        <w:kinsoku/>
        <w:wordWrap/>
        <w:overflowPunct/>
        <w:topLinePunct w:val="0"/>
        <w:bidi w:val="0"/>
        <w:spacing w:line="600" w:lineRule="exact"/>
        <w:rPr>
          <w:rFonts w:hint="default"/>
          <w:lang w:val="zh-CN"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zh-CN" w:eastAsia="zh-CN"/>
        </w:rPr>
      </w:pPr>
      <w:r>
        <w:rPr>
          <w:rFonts w:hint="eastAsia" w:ascii="Times New Roman" w:hAnsi="Times New Roman" w:eastAsia="仿宋_GB2312" w:cs="Times New Roman"/>
          <w:b w:val="0"/>
          <w:bCs/>
          <w:color w:val="auto"/>
          <w:sz w:val="32"/>
          <w:szCs w:val="32"/>
          <w:highlight w:val="none"/>
          <w:u w:val="none"/>
          <w:lang w:val="zh-CN" w:eastAsia="zh-CN"/>
        </w:rPr>
        <w:t>附表：专项预算项目绩效目标完成情况自评表</w:t>
      </w:r>
    </w:p>
    <w:p>
      <w:pPr>
        <w:pageBreakBefore w:val="0"/>
        <w:kinsoku/>
        <w:wordWrap/>
        <w:overflowPunct/>
        <w:topLinePunct w:val="0"/>
        <w:bidi w:val="0"/>
        <w:snapToGrid w:val="0"/>
        <w:spacing w:line="600" w:lineRule="exact"/>
        <w:ind w:firstLine="420" w:firstLineChars="200"/>
        <w:rPr>
          <w:kern w:val="0"/>
          <w:shd w:val="clear" w:color="auto" w:fill="FFFFFF"/>
          <w:lang w:val="zh-CN"/>
        </w:rPr>
      </w:pPr>
      <w:r>
        <w:rPr>
          <w:rFonts w:hint="eastAsia"/>
          <w:kern w:val="0"/>
          <w:shd w:val="clear" w:color="auto" w:fill="FFFFFF"/>
          <w:lang w:val="zh-CN"/>
        </w:rPr>
        <w:br w:type="page"/>
      </w:r>
    </w:p>
    <w:tbl>
      <w:tblPr>
        <w:tblStyle w:val="16"/>
        <w:tblpPr w:leftFromText="180" w:rightFromText="180" w:vertAnchor="text" w:horzAnchor="page" w:tblpX="862" w:tblpY="-651"/>
        <w:tblOverlap w:val="never"/>
        <w:tblW w:w="10233" w:type="dxa"/>
        <w:tblInd w:w="0" w:type="dxa"/>
        <w:tblLayout w:type="fixed"/>
        <w:tblCellMar>
          <w:top w:w="15" w:type="dxa"/>
          <w:left w:w="15" w:type="dxa"/>
          <w:bottom w:w="15" w:type="dxa"/>
          <w:right w:w="15" w:type="dxa"/>
        </w:tblCellMar>
      </w:tblPr>
      <w:tblGrid>
        <w:gridCol w:w="652"/>
        <w:gridCol w:w="1081"/>
        <w:gridCol w:w="1250"/>
        <w:gridCol w:w="1312"/>
        <w:gridCol w:w="1049"/>
        <w:gridCol w:w="1049"/>
        <w:gridCol w:w="1061"/>
        <w:gridCol w:w="938"/>
        <w:gridCol w:w="1841"/>
      </w:tblGrid>
      <w:tr>
        <w:tblPrEx>
          <w:tblCellMar>
            <w:top w:w="15" w:type="dxa"/>
            <w:left w:w="15" w:type="dxa"/>
            <w:bottom w:w="15" w:type="dxa"/>
            <w:right w:w="15" w:type="dxa"/>
          </w:tblCellMar>
        </w:tblPrEx>
        <w:trPr>
          <w:trHeight w:val="576" w:hRule="atLeast"/>
        </w:trPr>
        <w:tc>
          <w:tcPr>
            <w:tcW w:w="10233" w:type="dxa"/>
            <w:gridSpan w:val="9"/>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color w:val="000000"/>
                <w:kern w:val="0"/>
                <w:sz w:val="28"/>
                <w:szCs w:val="28"/>
              </w:rPr>
              <w:t>专项预算项目绩效目标完成情况自评表</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五指山隧道管养经费</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沐川县公路建设服务中心</w:t>
            </w:r>
          </w:p>
        </w:tc>
      </w:tr>
      <w:tr>
        <w:tblPrEx>
          <w:tblCellMar>
            <w:top w:w="15" w:type="dxa"/>
            <w:left w:w="15" w:type="dxa"/>
            <w:bottom w:w="15" w:type="dxa"/>
            <w:right w:w="15" w:type="dxa"/>
          </w:tblCellMar>
        </w:tblPrEx>
        <w:trPr>
          <w:trHeight w:val="23" w:hRule="atLeast"/>
        </w:trPr>
        <w:tc>
          <w:tcPr>
            <w:tcW w:w="4295" w:type="dxa"/>
            <w:gridSpan w:val="4"/>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中长期规划（名称、文号，仅指常年项目）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1"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tabs>
                <w:tab w:val="left" w:pos="1715"/>
              </w:tabs>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绩效分配方式</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因素法</w:t>
            </w:r>
          </w:p>
        </w:tc>
        <w:tc>
          <w:tcPr>
            <w:tcW w:w="2110"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项目法</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√据实据效</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因素法与项目法相结合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五指山隧道管养</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left"/>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3643" w:type="dxa"/>
            <w:gridSpan w:val="3"/>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2024年</w:t>
            </w:r>
          </w:p>
        </w:tc>
      </w:tr>
      <w:tr>
        <w:tblPrEx>
          <w:tblCellMar>
            <w:top w:w="15" w:type="dxa"/>
            <w:left w:w="15" w:type="dxa"/>
            <w:bottom w:w="15" w:type="dxa"/>
            <w:right w:w="15" w:type="dxa"/>
          </w:tblCellMar>
        </w:tblPrEx>
        <w:trPr>
          <w:trHeight w:val="23" w:hRule="atLeast"/>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项目资金</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170.52</w:t>
            </w: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23" w:hRule="atLeast"/>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2562" w:type="dxa"/>
            <w:gridSpan w:val="2"/>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170.52</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年度目标</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p>
        </w:tc>
        <w:tc>
          <w:tcPr>
            <w:tcW w:w="9581" w:type="dxa"/>
            <w:gridSpan w:val="8"/>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完成交通项目建设、农村公路养护、维修整治，完成农村客运补贴、水运项目建设。</w:t>
            </w:r>
          </w:p>
        </w:tc>
      </w:tr>
      <w:tr>
        <w:tblPrEx>
          <w:tblCellMar>
            <w:top w:w="15" w:type="dxa"/>
            <w:left w:w="15" w:type="dxa"/>
            <w:bottom w:w="15" w:type="dxa"/>
            <w:right w:w="15" w:type="dxa"/>
          </w:tblCellMar>
        </w:tblPrEx>
        <w:trPr>
          <w:trHeight w:val="23" w:hRule="atLeast"/>
        </w:trPr>
        <w:tc>
          <w:tcPr>
            <w:tcW w:w="652" w:type="dxa"/>
            <w:vMerge w:val="restart"/>
            <w:tcBorders>
              <w:top w:val="single" w:color="000000" w:sz="4" w:space="0"/>
              <w:left w:val="single" w:color="000000" w:sz="4" w:space="0"/>
              <w:bottom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绩效 指标</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一级指标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三级指标</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指标性质</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指标值</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度量单位</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权重</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实际完成指标值</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restart"/>
            <w:tcBorders>
              <w:top w:val="single" w:color="000000" w:sz="4" w:space="0"/>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left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全长3.923公里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3.923</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公里</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质量指标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日常保洁、管养、维修</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r>
      <w:tr>
        <w:tblPrEx>
          <w:tblCellMar>
            <w:top w:w="15" w:type="dxa"/>
            <w:left w:w="15" w:type="dxa"/>
            <w:bottom w:w="15" w:type="dxa"/>
            <w:right w:w="15" w:type="dxa"/>
          </w:tblCellMar>
        </w:tblPrEx>
        <w:trPr>
          <w:trHeight w:val="56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时效指标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2024年</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是</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restar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效益指标</w:t>
            </w:r>
          </w:p>
        </w:tc>
        <w:tc>
          <w:tcPr>
            <w:tcW w:w="125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经济效益</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推动地方经济的提升，促进城乡共同繁荣</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明显</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明显</w:t>
            </w:r>
          </w:p>
        </w:tc>
      </w:tr>
      <w:tr>
        <w:tblPrEx>
          <w:tblCellMar>
            <w:top w:w="15" w:type="dxa"/>
            <w:left w:w="15" w:type="dxa"/>
            <w:bottom w:w="15" w:type="dxa"/>
            <w:right w:w="15" w:type="dxa"/>
          </w:tblCellMar>
        </w:tblPrEx>
        <w:trPr>
          <w:trHeight w:val="90"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社会效益</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确保公路安全、畅通、整洁，确保车辆行人安全出行</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提升</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提升</w:t>
            </w:r>
          </w:p>
        </w:tc>
      </w:tr>
      <w:tr>
        <w:tblPrEx>
          <w:tblCellMar>
            <w:top w:w="15" w:type="dxa"/>
            <w:left w:w="15" w:type="dxa"/>
            <w:bottom w:w="15" w:type="dxa"/>
            <w:right w:w="15" w:type="dxa"/>
          </w:tblCellMar>
        </w:tblPrEx>
        <w:trPr>
          <w:trHeight w:val="724" w:hRule="atLeast"/>
        </w:trPr>
        <w:tc>
          <w:tcPr>
            <w:tcW w:w="652" w:type="dxa"/>
            <w:vMerge w:val="continue"/>
            <w:tcBorders>
              <w:top w:val="single" w:color="000000" w:sz="4" w:space="0"/>
              <w:left w:val="single" w:color="000000" w:sz="4" w:space="0"/>
              <w:bottom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vMerge w:val="continue"/>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250" w:type="dxa"/>
            <w:tcBorders>
              <w:top w:val="single" w:color="000000"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生态效益指标</w:t>
            </w:r>
          </w:p>
        </w:tc>
        <w:tc>
          <w:tcPr>
            <w:tcW w:w="1312"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打造绿色交通</w:t>
            </w: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符合</w:t>
            </w:r>
          </w:p>
        </w:tc>
        <w:tc>
          <w:tcPr>
            <w:tcW w:w="1061" w:type="dxa"/>
            <w:tcBorders>
              <w:top w:val="single" w:color="000000"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符合</w:t>
            </w:r>
          </w:p>
        </w:tc>
      </w:tr>
      <w:tr>
        <w:tblPrEx>
          <w:tblCellMar>
            <w:top w:w="15" w:type="dxa"/>
            <w:left w:w="15" w:type="dxa"/>
            <w:bottom w:w="15" w:type="dxa"/>
            <w:right w:w="15" w:type="dxa"/>
          </w:tblCellMar>
        </w:tblPrEx>
        <w:trPr>
          <w:trHeight w:val="23" w:hRule="atLeast"/>
        </w:trPr>
        <w:tc>
          <w:tcPr>
            <w:tcW w:w="652" w:type="dxa"/>
            <w:vMerge w:val="continue"/>
            <w:tcBorders>
              <w:top w:val="single" w:color="000000" w:sz="4" w:space="0"/>
              <w:left w:val="single" w:color="000000" w:sz="4" w:space="0"/>
              <w:bottom w:val="single" w:color="000000" w:sz="4" w:space="0"/>
              <w:right w:val="single" w:color="auto"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81" w:type="dxa"/>
            <w:tcBorders>
              <w:top w:val="single" w:color="auto" w:sz="4" w:space="0"/>
              <w:left w:val="single" w:color="auto"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满意度</w:t>
            </w:r>
          </w:p>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指标</w:t>
            </w:r>
          </w:p>
        </w:tc>
        <w:tc>
          <w:tcPr>
            <w:tcW w:w="1250" w:type="dxa"/>
            <w:tcBorders>
              <w:top w:val="single" w:color="auto" w:sz="4" w:space="0"/>
              <w:left w:val="single" w:color="000000" w:sz="4" w:space="0"/>
              <w:bottom w:val="single" w:color="auto" w:sz="4" w:space="0"/>
              <w:right w:val="single" w:color="000000" w:sz="4" w:space="0"/>
            </w:tcBorders>
            <w:noWrap/>
            <w:vAlign w:val="center"/>
          </w:tcPr>
          <w:p>
            <w:pPr>
              <w:pageBreakBefore w:val="0"/>
              <w:widowControl/>
              <w:kinsoku/>
              <w:wordWrap/>
              <w:overflowPunct/>
              <w:topLinePunct w:val="0"/>
              <w:bidi w:val="0"/>
              <w:spacing w:line="6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改善通行服务水平群众满意度</w:t>
            </w:r>
          </w:p>
        </w:tc>
        <w:tc>
          <w:tcPr>
            <w:tcW w:w="1312"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群众满意</w:t>
            </w: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1049" w:type="dxa"/>
            <w:tcBorders>
              <w:top w:val="single" w:color="auto" w:sz="4" w:space="0"/>
              <w:left w:val="single" w:color="000000" w:sz="4" w:space="0"/>
              <w:bottom w:val="single" w:color="auto"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≥80%</w:t>
            </w:r>
          </w:p>
        </w:tc>
        <w:tc>
          <w:tcPr>
            <w:tcW w:w="1061" w:type="dxa"/>
            <w:tcBorders>
              <w:top w:val="single" w:color="auto" w:sz="4" w:space="0"/>
              <w:left w:val="single" w:color="000000" w:sz="4" w:space="0"/>
              <w:bottom w:val="single" w:color="auto" w:sz="4" w:space="0"/>
              <w:right w:val="single" w:color="auto"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p>
        </w:tc>
        <w:tc>
          <w:tcPr>
            <w:tcW w:w="938" w:type="dxa"/>
            <w:tcBorders>
              <w:top w:val="single" w:color="000000" w:sz="4" w:space="0"/>
              <w:left w:val="single" w:color="auto"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w:t>
            </w:r>
          </w:p>
        </w:tc>
        <w:tc>
          <w:tcPr>
            <w:tcW w:w="1841" w:type="dxa"/>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≥90%</w:t>
            </w:r>
          </w:p>
        </w:tc>
      </w:tr>
    </w:tbl>
    <w:p>
      <w:pPr>
        <w:pageBreakBefore w:val="0"/>
        <w:kinsoku/>
        <w:wordWrap/>
        <w:overflowPunct/>
        <w:topLinePunct w:val="0"/>
        <w:bidi w:val="0"/>
        <w:spacing w:line="600" w:lineRule="exact"/>
        <w:rPr>
          <w:rFonts w:hint="default" w:ascii="Times New Roman" w:hAnsi="Times New Roman" w:eastAsia="黑体" w:cs="Times New Roman"/>
          <w:color w:val="000000"/>
          <w:sz w:val="44"/>
          <w:szCs w:val="44"/>
        </w:rPr>
      </w:pPr>
    </w:p>
    <w:p>
      <w:pPr>
        <w:pageBreakBefore w:val="0"/>
        <w:kinsoku/>
        <w:wordWrap/>
        <w:overflowPunct/>
        <w:topLinePunct w:val="0"/>
        <w:bidi w:val="0"/>
        <w:spacing w:line="600" w:lineRule="exact"/>
        <w:rPr>
          <w:rFonts w:hint="default" w:ascii="Times New Roman" w:hAnsi="Times New Roman" w:eastAsia="黑体" w:cs="Times New Roman"/>
          <w:color w:val="000000"/>
          <w:sz w:val="44"/>
          <w:szCs w:val="44"/>
        </w:rPr>
      </w:pPr>
      <w:r>
        <w:rPr>
          <w:rFonts w:hint="default" w:ascii="Times New Roman" w:hAnsi="Times New Roman" w:eastAsia="黑体" w:cs="Times New Roman"/>
          <w:color w:val="000000"/>
          <w:sz w:val="44"/>
          <w:szCs w:val="44"/>
        </w:rPr>
        <w:br w:type="page"/>
      </w:r>
    </w:p>
    <w:p>
      <w:pPr>
        <w:pStyle w:val="4"/>
        <w:pageBreakBefore w:val="0"/>
        <w:kinsoku/>
        <w:wordWrap/>
        <w:overflowPunct/>
        <w:topLinePunct w:val="0"/>
        <w:bidi w:val="0"/>
        <w:spacing w:line="600" w:lineRule="exact"/>
        <w:jc w:val="center"/>
        <w:outlineLvl w:val="0"/>
        <w:rPr>
          <w:rStyle w:val="29"/>
          <w:rFonts w:hint="default" w:ascii="Times New Roman" w:hAnsi="Times New Roman" w:eastAsia="黑体" w:cs="Times New Roman"/>
          <w:b w:val="0"/>
          <w:bCs w:val="0"/>
          <w:sz w:val="32"/>
          <w:szCs w:val="32"/>
        </w:rPr>
      </w:pPr>
      <w:bookmarkStart w:id="211" w:name="_Toc4970"/>
      <w:r>
        <w:rPr>
          <w:rFonts w:hint="default" w:ascii="Times New Roman" w:hAnsi="Times New Roman" w:eastAsia="黑体" w:cs="Times New Roman"/>
          <w:color w:val="000000"/>
          <w:sz w:val="32"/>
          <w:szCs w:val="32"/>
        </w:rPr>
        <w:t>第</w:t>
      </w:r>
      <w:r>
        <w:rPr>
          <w:rStyle w:val="29"/>
          <w:rFonts w:hint="default" w:ascii="Times New Roman" w:hAnsi="Times New Roman" w:eastAsia="黑体" w:cs="Times New Roman"/>
          <w:b w:val="0"/>
          <w:bCs w:val="0"/>
          <w:sz w:val="32"/>
          <w:szCs w:val="32"/>
        </w:rPr>
        <w:t xml:space="preserve">五部分 </w:t>
      </w:r>
      <w:r>
        <w:rPr>
          <w:rStyle w:val="29"/>
          <w:rFonts w:hint="eastAsia" w:ascii="Times New Roman" w:hAnsi="Times New Roman" w:eastAsia="黑体" w:cs="Times New Roman"/>
          <w:b w:val="0"/>
          <w:bCs w:val="0"/>
          <w:sz w:val="32"/>
          <w:szCs w:val="32"/>
          <w:lang w:val="en-US" w:eastAsia="zh-CN"/>
        </w:rPr>
        <w:t xml:space="preserve"> </w:t>
      </w:r>
      <w:r>
        <w:rPr>
          <w:rStyle w:val="29"/>
          <w:rFonts w:hint="default" w:ascii="Times New Roman" w:hAnsi="Times New Roman" w:eastAsia="黑体" w:cs="Times New Roman"/>
          <w:b w:val="0"/>
          <w:bCs w:val="0"/>
          <w:sz w:val="32"/>
          <w:szCs w:val="32"/>
        </w:rPr>
        <w:t>附表</w:t>
      </w:r>
      <w:bookmarkEnd w:id="211"/>
    </w:p>
    <w:bookmarkEnd w:id="114"/>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12" w:name="_Toc24908"/>
      <w:bookmarkStart w:id="213" w:name="_Toc5700"/>
      <w:r>
        <w:rPr>
          <w:rFonts w:hint="eastAsia" w:ascii="仿宋_GB2312" w:hAnsi="仿宋_GB2312" w:eastAsia="仿宋_GB2312" w:cs="仿宋_GB2312"/>
          <w:b w:val="0"/>
        </w:rPr>
        <w:t>一、收</w:t>
      </w:r>
      <w:r>
        <w:rPr>
          <w:rStyle w:val="30"/>
          <w:rFonts w:hint="eastAsia" w:ascii="仿宋_GB2312" w:hAnsi="仿宋_GB2312" w:eastAsia="仿宋_GB2312" w:cs="仿宋_GB2312"/>
          <w:b w:val="0"/>
          <w:bCs w:val="0"/>
        </w:rPr>
        <w:t>入支出决算总表</w:t>
      </w:r>
      <w:bookmarkEnd w:id="212"/>
      <w:bookmarkEnd w:id="213"/>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14" w:name="_Toc15396620"/>
      <w:bookmarkStart w:id="215" w:name="_Toc17061"/>
      <w:bookmarkStart w:id="216" w:name="_Toc26596"/>
      <w:r>
        <w:rPr>
          <w:rFonts w:hint="eastAsia" w:ascii="仿宋_GB2312" w:hAnsi="仿宋_GB2312" w:eastAsia="仿宋_GB2312" w:cs="仿宋_GB2312"/>
          <w:b w:val="0"/>
        </w:rPr>
        <w:t>二、收</w:t>
      </w:r>
      <w:r>
        <w:rPr>
          <w:rStyle w:val="30"/>
          <w:rFonts w:hint="eastAsia" w:ascii="仿宋_GB2312" w:hAnsi="仿宋_GB2312" w:eastAsia="仿宋_GB2312" w:cs="仿宋_GB2312"/>
          <w:b w:val="0"/>
          <w:bCs w:val="0"/>
        </w:rPr>
        <w:t>入决算表</w:t>
      </w:r>
      <w:bookmarkEnd w:id="214"/>
      <w:bookmarkEnd w:id="215"/>
      <w:bookmarkEnd w:id="216"/>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17" w:name="_Toc15396621"/>
      <w:bookmarkStart w:id="218" w:name="_Toc25886"/>
      <w:bookmarkStart w:id="219" w:name="_Toc6632"/>
      <w:r>
        <w:rPr>
          <w:rStyle w:val="30"/>
          <w:rFonts w:hint="eastAsia" w:ascii="仿宋_GB2312" w:hAnsi="仿宋_GB2312" w:eastAsia="仿宋_GB2312" w:cs="仿宋_GB2312"/>
          <w:b w:val="0"/>
          <w:bCs w:val="0"/>
        </w:rPr>
        <w:t>三、</w:t>
      </w:r>
      <w:r>
        <w:rPr>
          <w:rFonts w:hint="eastAsia" w:ascii="仿宋_GB2312" w:hAnsi="仿宋_GB2312" w:eastAsia="仿宋_GB2312" w:cs="仿宋_GB2312"/>
          <w:b w:val="0"/>
        </w:rPr>
        <w:t>支</w:t>
      </w:r>
      <w:r>
        <w:rPr>
          <w:rStyle w:val="30"/>
          <w:rFonts w:hint="eastAsia" w:ascii="仿宋_GB2312" w:hAnsi="仿宋_GB2312" w:eastAsia="仿宋_GB2312" w:cs="仿宋_GB2312"/>
          <w:b w:val="0"/>
          <w:bCs w:val="0"/>
        </w:rPr>
        <w:t>出决算表</w:t>
      </w:r>
      <w:bookmarkEnd w:id="217"/>
      <w:bookmarkEnd w:id="218"/>
      <w:bookmarkEnd w:id="219"/>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b w:val="0"/>
        </w:rPr>
      </w:pPr>
      <w:bookmarkStart w:id="220" w:name="_Toc15396622"/>
      <w:bookmarkStart w:id="221" w:name="_Toc3541"/>
      <w:bookmarkStart w:id="222" w:name="_Toc12001"/>
      <w:r>
        <w:rPr>
          <w:rStyle w:val="30"/>
          <w:rFonts w:hint="eastAsia" w:ascii="仿宋_GB2312" w:hAnsi="仿宋_GB2312" w:eastAsia="仿宋_GB2312" w:cs="仿宋_GB2312"/>
          <w:b w:val="0"/>
          <w:bCs w:val="0"/>
        </w:rPr>
        <w:t>四、</w:t>
      </w:r>
      <w:r>
        <w:rPr>
          <w:rFonts w:hint="eastAsia" w:ascii="仿宋_GB2312" w:hAnsi="仿宋_GB2312" w:eastAsia="仿宋_GB2312" w:cs="仿宋_GB2312"/>
          <w:b w:val="0"/>
        </w:rPr>
        <w:t>财</w:t>
      </w:r>
      <w:r>
        <w:rPr>
          <w:rStyle w:val="30"/>
          <w:rFonts w:hint="eastAsia" w:ascii="仿宋_GB2312" w:hAnsi="仿宋_GB2312" w:eastAsia="仿宋_GB2312" w:cs="仿宋_GB2312"/>
          <w:b w:val="0"/>
          <w:bCs w:val="0"/>
        </w:rPr>
        <w:t>政拨款收入支出决算总表</w:t>
      </w:r>
      <w:bookmarkEnd w:id="220"/>
      <w:bookmarkEnd w:id="221"/>
      <w:bookmarkEnd w:id="222"/>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Style w:val="30"/>
          <w:rFonts w:hint="eastAsia" w:ascii="仿宋_GB2312" w:hAnsi="仿宋_GB2312" w:eastAsia="仿宋_GB2312" w:cs="仿宋_GB2312"/>
          <w:b w:val="0"/>
          <w:bCs w:val="0"/>
        </w:rPr>
      </w:pPr>
      <w:bookmarkStart w:id="223" w:name="_Toc15396623"/>
      <w:bookmarkStart w:id="224" w:name="_Toc30780"/>
      <w:bookmarkStart w:id="225" w:name="_Toc20444"/>
      <w:r>
        <w:rPr>
          <w:rStyle w:val="30"/>
          <w:rFonts w:hint="eastAsia" w:ascii="仿宋_GB2312" w:hAnsi="仿宋_GB2312" w:eastAsia="仿宋_GB2312" w:cs="仿宋_GB2312"/>
          <w:b w:val="0"/>
          <w:bCs w:val="0"/>
        </w:rPr>
        <w:t>五、</w:t>
      </w:r>
      <w:r>
        <w:rPr>
          <w:rFonts w:hint="eastAsia" w:ascii="仿宋_GB2312" w:hAnsi="仿宋_GB2312" w:eastAsia="仿宋_GB2312" w:cs="仿宋_GB2312"/>
          <w:b w:val="0"/>
        </w:rPr>
        <w:t>财</w:t>
      </w:r>
      <w:r>
        <w:rPr>
          <w:rStyle w:val="30"/>
          <w:rFonts w:hint="eastAsia" w:ascii="仿宋_GB2312" w:hAnsi="仿宋_GB2312" w:eastAsia="仿宋_GB2312" w:cs="仿宋_GB2312"/>
          <w:b w:val="0"/>
          <w:bCs w:val="0"/>
        </w:rPr>
        <w:t>政拨款支出决算明细表</w:t>
      </w:r>
      <w:bookmarkEnd w:id="223"/>
      <w:bookmarkEnd w:id="224"/>
      <w:bookmarkEnd w:id="225"/>
      <w:bookmarkStart w:id="226" w:name="_Toc15396624"/>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27" w:name="_Toc3212"/>
      <w:bookmarkStart w:id="228" w:name="_Toc27242"/>
      <w:r>
        <w:rPr>
          <w:rStyle w:val="30"/>
          <w:rFonts w:hint="eastAsia" w:ascii="仿宋_GB2312" w:hAnsi="仿宋_GB2312" w:eastAsia="仿宋_GB2312" w:cs="仿宋_GB2312"/>
          <w:b w:val="0"/>
          <w:bCs w:val="0"/>
        </w:rPr>
        <w:t>六、</w:t>
      </w:r>
      <w:r>
        <w:rPr>
          <w:rFonts w:hint="eastAsia" w:ascii="仿宋_GB2312" w:hAnsi="仿宋_GB2312" w:eastAsia="仿宋_GB2312" w:cs="仿宋_GB2312"/>
          <w:b w:val="0"/>
        </w:rPr>
        <w:t>一</w:t>
      </w:r>
      <w:r>
        <w:rPr>
          <w:rStyle w:val="30"/>
          <w:rFonts w:hint="eastAsia" w:ascii="仿宋_GB2312" w:hAnsi="仿宋_GB2312" w:eastAsia="仿宋_GB2312" w:cs="仿宋_GB2312"/>
          <w:b w:val="0"/>
          <w:bCs w:val="0"/>
        </w:rPr>
        <w:t>般公共预算财政拨款支出决算表</w:t>
      </w:r>
      <w:bookmarkEnd w:id="226"/>
      <w:bookmarkEnd w:id="227"/>
      <w:bookmarkEnd w:id="228"/>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29" w:name="_Toc15396625"/>
      <w:bookmarkStart w:id="230" w:name="_Toc4481"/>
      <w:bookmarkStart w:id="231" w:name="_Toc2739"/>
      <w:r>
        <w:rPr>
          <w:rStyle w:val="30"/>
          <w:rFonts w:hint="eastAsia" w:ascii="仿宋_GB2312" w:hAnsi="仿宋_GB2312" w:eastAsia="仿宋_GB2312" w:cs="仿宋_GB2312"/>
          <w:b w:val="0"/>
          <w:bCs w:val="0"/>
        </w:rPr>
        <w:t>七、</w:t>
      </w:r>
      <w:r>
        <w:rPr>
          <w:rFonts w:hint="eastAsia" w:ascii="仿宋_GB2312" w:hAnsi="仿宋_GB2312" w:eastAsia="仿宋_GB2312" w:cs="仿宋_GB2312"/>
          <w:b w:val="0"/>
        </w:rPr>
        <w:t>一</w:t>
      </w:r>
      <w:r>
        <w:rPr>
          <w:rStyle w:val="30"/>
          <w:rFonts w:hint="eastAsia" w:ascii="仿宋_GB2312" w:hAnsi="仿宋_GB2312" w:eastAsia="仿宋_GB2312" w:cs="仿宋_GB2312"/>
          <w:b w:val="0"/>
          <w:bCs w:val="0"/>
        </w:rPr>
        <w:t>般公共预算财政拨款支出决算明细表</w:t>
      </w:r>
      <w:bookmarkEnd w:id="229"/>
      <w:bookmarkEnd w:id="230"/>
      <w:bookmarkEnd w:id="231"/>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32" w:name="_Toc15396626"/>
      <w:bookmarkStart w:id="233" w:name="_Toc18346"/>
      <w:bookmarkStart w:id="234" w:name="_Toc24754"/>
      <w:r>
        <w:rPr>
          <w:rStyle w:val="30"/>
          <w:rFonts w:hint="eastAsia" w:ascii="仿宋_GB2312" w:hAnsi="仿宋_GB2312" w:eastAsia="仿宋_GB2312" w:cs="仿宋_GB2312"/>
          <w:b w:val="0"/>
          <w:bCs w:val="0"/>
        </w:rPr>
        <w:t>八、</w:t>
      </w:r>
      <w:r>
        <w:rPr>
          <w:rFonts w:hint="eastAsia" w:ascii="仿宋_GB2312" w:hAnsi="仿宋_GB2312" w:eastAsia="仿宋_GB2312" w:cs="仿宋_GB2312"/>
          <w:b w:val="0"/>
        </w:rPr>
        <w:t>一</w:t>
      </w:r>
      <w:r>
        <w:rPr>
          <w:rStyle w:val="30"/>
          <w:rFonts w:hint="eastAsia" w:ascii="仿宋_GB2312" w:hAnsi="仿宋_GB2312" w:eastAsia="仿宋_GB2312" w:cs="仿宋_GB2312"/>
          <w:b w:val="0"/>
          <w:bCs w:val="0"/>
        </w:rPr>
        <w:t>般公共预算财政拨款基本支出决算表</w:t>
      </w:r>
      <w:bookmarkEnd w:id="232"/>
      <w:bookmarkEnd w:id="233"/>
      <w:bookmarkEnd w:id="234"/>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35" w:name="_Toc15396627"/>
      <w:bookmarkStart w:id="236" w:name="_Toc30217"/>
      <w:bookmarkStart w:id="237" w:name="_Toc26134"/>
      <w:r>
        <w:rPr>
          <w:rStyle w:val="30"/>
          <w:rFonts w:hint="eastAsia" w:ascii="仿宋_GB2312" w:hAnsi="仿宋_GB2312" w:eastAsia="仿宋_GB2312" w:cs="仿宋_GB2312"/>
          <w:b w:val="0"/>
          <w:bCs w:val="0"/>
        </w:rPr>
        <w:t>九、</w:t>
      </w:r>
      <w:r>
        <w:rPr>
          <w:rFonts w:hint="eastAsia" w:ascii="仿宋_GB2312" w:hAnsi="仿宋_GB2312" w:eastAsia="仿宋_GB2312" w:cs="仿宋_GB2312"/>
          <w:b w:val="0"/>
        </w:rPr>
        <w:t>一</w:t>
      </w:r>
      <w:r>
        <w:rPr>
          <w:rStyle w:val="30"/>
          <w:rFonts w:hint="eastAsia" w:ascii="仿宋_GB2312" w:hAnsi="仿宋_GB2312" w:eastAsia="仿宋_GB2312" w:cs="仿宋_GB2312"/>
          <w:b w:val="0"/>
          <w:bCs w:val="0"/>
        </w:rPr>
        <w:t>般公共预算财政拨款项目支出决算表</w:t>
      </w:r>
      <w:bookmarkEnd w:id="235"/>
      <w:bookmarkEnd w:id="236"/>
      <w:bookmarkEnd w:id="237"/>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38" w:name="_Toc15396628"/>
      <w:bookmarkStart w:id="239" w:name="_Toc22668"/>
      <w:bookmarkStart w:id="240" w:name="_Toc31733"/>
      <w:r>
        <w:rPr>
          <w:rStyle w:val="30"/>
          <w:rFonts w:hint="eastAsia" w:ascii="仿宋_GB2312" w:hAnsi="仿宋_GB2312" w:eastAsia="仿宋_GB2312" w:cs="仿宋_GB2312"/>
          <w:b w:val="0"/>
          <w:bCs w:val="0"/>
        </w:rPr>
        <w:t>十、</w:t>
      </w:r>
      <w:bookmarkEnd w:id="238"/>
      <w:r>
        <w:rPr>
          <w:rFonts w:hint="eastAsia" w:ascii="仿宋_GB2312" w:hAnsi="仿宋_GB2312" w:eastAsia="仿宋_GB2312" w:cs="仿宋_GB2312"/>
          <w:b w:val="0"/>
        </w:rPr>
        <w:t>政</w:t>
      </w:r>
      <w:r>
        <w:rPr>
          <w:rStyle w:val="30"/>
          <w:rFonts w:hint="eastAsia" w:ascii="仿宋_GB2312" w:hAnsi="仿宋_GB2312" w:eastAsia="仿宋_GB2312" w:cs="仿宋_GB2312"/>
          <w:b w:val="0"/>
          <w:bCs w:val="0"/>
        </w:rPr>
        <w:t>府性基金预算财政拨款收入支出决算表</w:t>
      </w:r>
      <w:bookmarkEnd w:id="239"/>
      <w:bookmarkEnd w:id="240"/>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41" w:name="_Toc15396629"/>
      <w:bookmarkStart w:id="242" w:name="_Toc1936"/>
      <w:bookmarkStart w:id="243" w:name="_Toc21412"/>
      <w:r>
        <w:rPr>
          <w:rStyle w:val="30"/>
          <w:rFonts w:hint="eastAsia" w:ascii="仿宋_GB2312" w:hAnsi="仿宋_GB2312" w:eastAsia="仿宋_GB2312" w:cs="仿宋_GB2312"/>
          <w:b w:val="0"/>
          <w:bCs w:val="0"/>
        </w:rPr>
        <w:t>十一、</w:t>
      </w:r>
      <w:bookmarkEnd w:id="241"/>
      <w:r>
        <w:rPr>
          <w:rFonts w:hint="eastAsia" w:ascii="仿宋_GB2312" w:hAnsi="仿宋_GB2312" w:eastAsia="仿宋_GB2312" w:cs="仿宋_GB2312"/>
          <w:b w:val="0"/>
        </w:rPr>
        <w:t>国</w:t>
      </w:r>
      <w:r>
        <w:rPr>
          <w:rStyle w:val="30"/>
          <w:rFonts w:hint="eastAsia" w:ascii="仿宋_GB2312" w:hAnsi="仿宋_GB2312" w:eastAsia="仿宋_GB2312" w:cs="仿宋_GB2312"/>
          <w:b w:val="0"/>
          <w:bCs w:val="0"/>
        </w:rPr>
        <w:t>有资本经营预算财政拨款收入支出决算表</w:t>
      </w:r>
      <w:bookmarkEnd w:id="242"/>
      <w:bookmarkEnd w:id="243"/>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44" w:name="_Toc15396630"/>
      <w:bookmarkStart w:id="245" w:name="_Toc22671"/>
      <w:bookmarkStart w:id="246" w:name="_Toc7778"/>
      <w:r>
        <w:rPr>
          <w:rStyle w:val="30"/>
          <w:rFonts w:hint="eastAsia" w:ascii="仿宋_GB2312" w:hAnsi="仿宋_GB2312" w:eastAsia="仿宋_GB2312" w:cs="仿宋_GB2312"/>
          <w:b w:val="0"/>
          <w:bCs w:val="0"/>
        </w:rPr>
        <w:t>十二、</w:t>
      </w:r>
      <w:bookmarkEnd w:id="244"/>
      <w:r>
        <w:rPr>
          <w:rStyle w:val="30"/>
          <w:rFonts w:hint="eastAsia" w:ascii="仿宋_GB2312" w:hAnsi="仿宋_GB2312" w:eastAsia="仿宋_GB2312" w:cs="仿宋_GB2312"/>
          <w:b w:val="0"/>
          <w:bCs w:val="0"/>
        </w:rPr>
        <w:t>国有资本经营预算财政拨款支出决算表</w:t>
      </w:r>
      <w:bookmarkEnd w:id="245"/>
      <w:bookmarkEnd w:id="246"/>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rPr>
      </w:pPr>
      <w:bookmarkStart w:id="247" w:name="_Toc15396631"/>
      <w:bookmarkStart w:id="248" w:name="_Toc26211"/>
      <w:bookmarkStart w:id="249" w:name="_Toc12210"/>
      <w:r>
        <w:rPr>
          <w:rStyle w:val="30"/>
          <w:rFonts w:hint="eastAsia" w:ascii="仿宋_GB2312" w:hAnsi="仿宋_GB2312" w:eastAsia="仿宋_GB2312" w:cs="仿宋_GB2312"/>
          <w:b w:val="0"/>
          <w:bCs w:val="0"/>
        </w:rPr>
        <w:t>十三、</w:t>
      </w:r>
      <w:bookmarkEnd w:id="247"/>
      <w:r>
        <w:rPr>
          <w:rStyle w:val="30"/>
          <w:rFonts w:hint="eastAsia" w:ascii="仿宋_GB2312" w:hAnsi="仿宋_GB2312" w:eastAsia="仿宋_GB2312" w:cs="仿宋_GB2312"/>
          <w:b w:val="0"/>
          <w:bCs w:val="0"/>
        </w:rPr>
        <w:t>财政拨款“三公”经费支出决算表</w:t>
      </w:r>
      <w:bookmarkEnd w:id="248"/>
      <w:bookmarkEnd w:id="249"/>
    </w:p>
    <w:p>
      <w:pPr>
        <w:pageBreakBefore w:val="0"/>
        <w:kinsoku/>
        <w:wordWrap/>
        <w:overflowPunct/>
        <w:topLinePunct w:val="0"/>
        <w:bidi w:val="0"/>
        <w:spacing w:line="600" w:lineRule="exact"/>
        <w:rPr>
          <w:rFonts w:hint="default" w:ascii="Times New Roman" w:hAnsi="Times New Roman" w:cs="Times New Roman"/>
        </w:rPr>
      </w:pPr>
    </w:p>
    <w:sectPr>
      <w:footerReference r:id="rId9" w:type="default"/>
      <w:pgSz w:w="11906" w:h="16838"/>
      <w:pgMar w:top="2041" w:right="1468" w:bottom="1587" w:left="146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3D5C0"/>
    <w:multiLevelType w:val="singleLevel"/>
    <w:tmpl w:val="AF33D5C0"/>
    <w:lvl w:ilvl="0" w:tentative="0">
      <w:start w:val="2"/>
      <w:numFmt w:val="chineseCounting"/>
      <w:suff w:val="nothing"/>
      <w:lvlText w:val="（%1）"/>
      <w:lvlJc w:val="left"/>
      <w:rPr>
        <w:rFonts w:hint="eastAsia"/>
      </w:rPr>
    </w:lvl>
  </w:abstractNum>
  <w:abstractNum w:abstractNumId="1">
    <w:nsid w:val="BBDC319D"/>
    <w:multiLevelType w:val="singleLevel"/>
    <w:tmpl w:val="BBDC319D"/>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2BC6E16"/>
    <w:multiLevelType w:val="singleLevel"/>
    <w:tmpl w:val="D2BC6E16"/>
    <w:lvl w:ilvl="0" w:tentative="0">
      <w:start w:val="2"/>
      <w:numFmt w:val="chineseCounting"/>
      <w:suff w:val="nothing"/>
      <w:lvlText w:val="（%1）"/>
      <w:lvlJc w:val="left"/>
      <w:rPr>
        <w:rFonts w:hint="eastAsia"/>
      </w:rPr>
    </w:lvl>
  </w:abstractNum>
  <w:abstractNum w:abstractNumId="4">
    <w:nsid w:val="49BF92DB"/>
    <w:multiLevelType w:val="singleLevel"/>
    <w:tmpl w:val="49BF92DB"/>
    <w:lvl w:ilvl="0" w:tentative="0">
      <w:start w:val="4"/>
      <w:numFmt w:val="decimal"/>
      <w:suff w:val="nothing"/>
      <w:lvlText w:val="%1．"/>
      <w:lvlJc w:val="left"/>
    </w:lvl>
  </w:abstractNum>
  <w:abstractNum w:abstractNumId="5">
    <w:nsid w:val="4AF1BA5A"/>
    <w:multiLevelType w:val="singleLevel"/>
    <w:tmpl w:val="4AF1BA5A"/>
    <w:lvl w:ilvl="0" w:tentative="0">
      <w:start w:val="2"/>
      <w:numFmt w:val="chineseCounting"/>
      <w:suff w:val="nothing"/>
      <w:lvlText w:val="（%1）"/>
      <w:lvlJc w:val="left"/>
      <w:rPr>
        <w:rFonts w:hint="eastAsia"/>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B6F"/>
    <w:rsid w:val="000133EE"/>
    <w:rsid w:val="000222C6"/>
    <w:rsid w:val="0002549F"/>
    <w:rsid w:val="000317EC"/>
    <w:rsid w:val="00046349"/>
    <w:rsid w:val="000468DB"/>
    <w:rsid w:val="00051565"/>
    <w:rsid w:val="00061D0F"/>
    <w:rsid w:val="0006487A"/>
    <w:rsid w:val="00065F8F"/>
    <w:rsid w:val="00070A43"/>
    <w:rsid w:val="000768F2"/>
    <w:rsid w:val="0008052F"/>
    <w:rsid w:val="00083FB4"/>
    <w:rsid w:val="0009184B"/>
    <w:rsid w:val="0009217C"/>
    <w:rsid w:val="00093663"/>
    <w:rsid w:val="00094236"/>
    <w:rsid w:val="0009593C"/>
    <w:rsid w:val="00095D44"/>
    <w:rsid w:val="00097322"/>
    <w:rsid w:val="00097B2A"/>
    <w:rsid w:val="000A0C29"/>
    <w:rsid w:val="000A6A92"/>
    <w:rsid w:val="000A6BC2"/>
    <w:rsid w:val="000B047F"/>
    <w:rsid w:val="000B0948"/>
    <w:rsid w:val="000B1FAB"/>
    <w:rsid w:val="000B22E5"/>
    <w:rsid w:val="000B55F7"/>
    <w:rsid w:val="000B5923"/>
    <w:rsid w:val="000B5A48"/>
    <w:rsid w:val="000B5E2E"/>
    <w:rsid w:val="000B6FF3"/>
    <w:rsid w:val="000C2B6C"/>
    <w:rsid w:val="000C3467"/>
    <w:rsid w:val="000C3CA6"/>
    <w:rsid w:val="000C46C9"/>
    <w:rsid w:val="000C4F97"/>
    <w:rsid w:val="000C5103"/>
    <w:rsid w:val="000C7238"/>
    <w:rsid w:val="000C7A33"/>
    <w:rsid w:val="000D0F01"/>
    <w:rsid w:val="000D1267"/>
    <w:rsid w:val="000D1D50"/>
    <w:rsid w:val="000D5782"/>
    <w:rsid w:val="000D7EE7"/>
    <w:rsid w:val="000E3CC5"/>
    <w:rsid w:val="000E43C9"/>
    <w:rsid w:val="000E6613"/>
    <w:rsid w:val="000E7119"/>
    <w:rsid w:val="000E72C4"/>
    <w:rsid w:val="000F2FC5"/>
    <w:rsid w:val="001074F1"/>
    <w:rsid w:val="00114E9B"/>
    <w:rsid w:val="00123C49"/>
    <w:rsid w:val="0012705D"/>
    <w:rsid w:val="00132CB9"/>
    <w:rsid w:val="00142216"/>
    <w:rsid w:val="00144D6A"/>
    <w:rsid w:val="0014729F"/>
    <w:rsid w:val="00157BAB"/>
    <w:rsid w:val="00160594"/>
    <w:rsid w:val="001654D1"/>
    <w:rsid w:val="001712E6"/>
    <w:rsid w:val="00174518"/>
    <w:rsid w:val="0017570E"/>
    <w:rsid w:val="0018106D"/>
    <w:rsid w:val="001877A7"/>
    <w:rsid w:val="00190A3C"/>
    <w:rsid w:val="00191536"/>
    <w:rsid w:val="001927FB"/>
    <w:rsid w:val="00196687"/>
    <w:rsid w:val="001976E4"/>
    <w:rsid w:val="001A2986"/>
    <w:rsid w:val="001B015C"/>
    <w:rsid w:val="001B0B35"/>
    <w:rsid w:val="001B222E"/>
    <w:rsid w:val="001B5361"/>
    <w:rsid w:val="001C0962"/>
    <w:rsid w:val="001C451F"/>
    <w:rsid w:val="001D7531"/>
    <w:rsid w:val="001E737D"/>
    <w:rsid w:val="001F0592"/>
    <w:rsid w:val="001F2E3D"/>
    <w:rsid w:val="001F59FE"/>
    <w:rsid w:val="001F7506"/>
    <w:rsid w:val="002006CD"/>
    <w:rsid w:val="00202B36"/>
    <w:rsid w:val="00204698"/>
    <w:rsid w:val="00204B7A"/>
    <w:rsid w:val="00204CDE"/>
    <w:rsid w:val="00206C87"/>
    <w:rsid w:val="00210EC7"/>
    <w:rsid w:val="0021101A"/>
    <w:rsid w:val="00220536"/>
    <w:rsid w:val="002306F5"/>
    <w:rsid w:val="00233E2F"/>
    <w:rsid w:val="00235629"/>
    <w:rsid w:val="00246149"/>
    <w:rsid w:val="002527EC"/>
    <w:rsid w:val="00252AC4"/>
    <w:rsid w:val="002601BB"/>
    <w:rsid w:val="00260C38"/>
    <w:rsid w:val="002616C0"/>
    <w:rsid w:val="00262609"/>
    <w:rsid w:val="00265372"/>
    <w:rsid w:val="002662AA"/>
    <w:rsid w:val="00280496"/>
    <w:rsid w:val="00281D5F"/>
    <w:rsid w:val="00294DC9"/>
    <w:rsid w:val="00295495"/>
    <w:rsid w:val="002A31DE"/>
    <w:rsid w:val="002A401C"/>
    <w:rsid w:val="002A675A"/>
    <w:rsid w:val="002A79F2"/>
    <w:rsid w:val="002B2613"/>
    <w:rsid w:val="002B3060"/>
    <w:rsid w:val="002C0275"/>
    <w:rsid w:val="002D19B0"/>
    <w:rsid w:val="002D1AF0"/>
    <w:rsid w:val="002D6D05"/>
    <w:rsid w:val="002E129A"/>
    <w:rsid w:val="002E1FD6"/>
    <w:rsid w:val="002F12F5"/>
    <w:rsid w:val="002F1818"/>
    <w:rsid w:val="002F567B"/>
    <w:rsid w:val="003032B3"/>
    <w:rsid w:val="0030381E"/>
    <w:rsid w:val="00304265"/>
    <w:rsid w:val="003216A9"/>
    <w:rsid w:val="0032576C"/>
    <w:rsid w:val="00334AC9"/>
    <w:rsid w:val="00335A74"/>
    <w:rsid w:val="0034170D"/>
    <w:rsid w:val="00341D1F"/>
    <w:rsid w:val="00350BDD"/>
    <w:rsid w:val="003517F6"/>
    <w:rsid w:val="00351A12"/>
    <w:rsid w:val="0035290C"/>
    <w:rsid w:val="00352BAD"/>
    <w:rsid w:val="00352BCC"/>
    <w:rsid w:val="00352E77"/>
    <w:rsid w:val="00361228"/>
    <w:rsid w:val="00362BD4"/>
    <w:rsid w:val="0036561B"/>
    <w:rsid w:val="0037013F"/>
    <w:rsid w:val="00373D4B"/>
    <w:rsid w:val="003806DC"/>
    <w:rsid w:val="00380C92"/>
    <w:rsid w:val="00397E3A"/>
    <w:rsid w:val="003A30B9"/>
    <w:rsid w:val="003A484F"/>
    <w:rsid w:val="003A4883"/>
    <w:rsid w:val="003B0BE0"/>
    <w:rsid w:val="003B0C1B"/>
    <w:rsid w:val="003B2CA5"/>
    <w:rsid w:val="003B688C"/>
    <w:rsid w:val="003C0291"/>
    <w:rsid w:val="003C39AE"/>
    <w:rsid w:val="003C48D7"/>
    <w:rsid w:val="003C78BA"/>
    <w:rsid w:val="003C7B60"/>
    <w:rsid w:val="003D0C0F"/>
    <w:rsid w:val="003D1FB2"/>
    <w:rsid w:val="003D66DA"/>
    <w:rsid w:val="003E1310"/>
    <w:rsid w:val="003E434F"/>
    <w:rsid w:val="003E606D"/>
    <w:rsid w:val="003E6F55"/>
    <w:rsid w:val="003F1107"/>
    <w:rsid w:val="003F56F9"/>
    <w:rsid w:val="003F7155"/>
    <w:rsid w:val="0040350E"/>
    <w:rsid w:val="00406254"/>
    <w:rsid w:val="00406956"/>
    <w:rsid w:val="00412CD3"/>
    <w:rsid w:val="00416CD4"/>
    <w:rsid w:val="004221B3"/>
    <w:rsid w:val="004223DE"/>
    <w:rsid w:val="0042382B"/>
    <w:rsid w:val="00434489"/>
    <w:rsid w:val="00437085"/>
    <w:rsid w:val="00443600"/>
    <w:rsid w:val="00443880"/>
    <w:rsid w:val="0044511F"/>
    <w:rsid w:val="004464F4"/>
    <w:rsid w:val="0045653E"/>
    <w:rsid w:val="00456B7C"/>
    <w:rsid w:val="00471401"/>
    <w:rsid w:val="00473F31"/>
    <w:rsid w:val="00474357"/>
    <w:rsid w:val="0048031A"/>
    <w:rsid w:val="0048263A"/>
    <w:rsid w:val="00487E5D"/>
    <w:rsid w:val="00490152"/>
    <w:rsid w:val="004A711F"/>
    <w:rsid w:val="004B04CC"/>
    <w:rsid w:val="004B0A08"/>
    <w:rsid w:val="004B199D"/>
    <w:rsid w:val="004B4690"/>
    <w:rsid w:val="004C66D1"/>
    <w:rsid w:val="004D3E0F"/>
    <w:rsid w:val="004E0A2D"/>
    <w:rsid w:val="004E206B"/>
    <w:rsid w:val="004E62B4"/>
    <w:rsid w:val="004E6DF7"/>
    <w:rsid w:val="004F0FBD"/>
    <w:rsid w:val="004F403E"/>
    <w:rsid w:val="00502BC1"/>
    <w:rsid w:val="00505A47"/>
    <w:rsid w:val="0050613A"/>
    <w:rsid w:val="00512FDA"/>
    <w:rsid w:val="00517690"/>
    <w:rsid w:val="0052095E"/>
    <w:rsid w:val="00520DA0"/>
    <w:rsid w:val="00541184"/>
    <w:rsid w:val="00550474"/>
    <w:rsid w:val="005517EC"/>
    <w:rsid w:val="00561E4C"/>
    <w:rsid w:val="005664BB"/>
    <w:rsid w:val="00566FFA"/>
    <w:rsid w:val="00567BBE"/>
    <w:rsid w:val="00573417"/>
    <w:rsid w:val="0057481D"/>
    <w:rsid w:val="005753B9"/>
    <w:rsid w:val="00575F0B"/>
    <w:rsid w:val="00577C34"/>
    <w:rsid w:val="00581C9E"/>
    <w:rsid w:val="0058486E"/>
    <w:rsid w:val="00585B33"/>
    <w:rsid w:val="0059014D"/>
    <w:rsid w:val="005960C5"/>
    <w:rsid w:val="005960DD"/>
    <w:rsid w:val="005B5C64"/>
    <w:rsid w:val="005C6BD0"/>
    <w:rsid w:val="005C6C4C"/>
    <w:rsid w:val="005D1C8B"/>
    <w:rsid w:val="005D31B7"/>
    <w:rsid w:val="005D4054"/>
    <w:rsid w:val="005D468D"/>
    <w:rsid w:val="005D5CED"/>
    <w:rsid w:val="005E08E2"/>
    <w:rsid w:val="005E5B8E"/>
    <w:rsid w:val="005F1A4C"/>
    <w:rsid w:val="0060231E"/>
    <w:rsid w:val="00605688"/>
    <w:rsid w:val="006070AF"/>
    <w:rsid w:val="00607E6C"/>
    <w:rsid w:val="006101B1"/>
    <w:rsid w:val="00610792"/>
    <w:rsid w:val="00614E44"/>
    <w:rsid w:val="0062270A"/>
    <w:rsid w:val="00622830"/>
    <w:rsid w:val="00623D33"/>
    <w:rsid w:val="00623DA0"/>
    <w:rsid w:val="00630AEF"/>
    <w:rsid w:val="0063245D"/>
    <w:rsid w:val="006325F8"/>
    <w:rsid w:val="00633463"/>
    <w:rsid w:val="00634C9A"/>
    <w:rsid w:val="00642A0D"/>
    <w:rsid w:val="006440E4"/>
    <w:rsid w:val="00644B4C"/>
    <w:rsid w:val="00651574"/>
    <w:rsid w:val="00653A49"/>
    <w:rsid w:val="00662528"/>
    <w:rsid w:val="0066343B"/>
    <w:rsid w:val="00664436"/>
    <w:rsid w:val="00664777"/>
    <w:rsid w:val="006748A4"/>
    <w:rsid w:val="00681A31"/>
    <w:rsid w:val="00683E73"/>
    <w:rsid w:val="0069274E"/>
    <w:rsid w:val="006A3141"/>
    <w:rsid w:val="006A5B0D"/>
    <w:rsid w:val="006A5E34"/>
    <w:rsid w:val="006A682A"/>
    <w:rsid w:val="006B1EB2"/>
    <w:rsid w:val="006B2422"/>
    <w:rsid w:val="006B2B9A"/>
    <w:rsid w:val="006B63EE"/>
    <w:rsid w:val="006B6980"/>
    <w:rsid w:val="006C1937"/>
    <w:rsid w:val="006C41F9"/>
    <w:rsid w:val="006D1D7E"/>
    <w:rsid w:val="006D714D"/>
    <w:rsid w:val="006E4FA9"/>
    <w:rsid w:val="006E56C7"/>
    <w:rsid w:val="006E6699"/>
    <w:rsid w:val="006F020C"/>
    <w:rsid w:val="006F1E62"/>
    <w:rsid w:val="006F56EE"/>
    <w:rsid w:val="007127B7"/>
    <w:rsid w:val="00716A12"/>
    <w:rsid w:val="0071798E"/>
    <w:rsid w:val="00721D02"/>
    <w:rsid w:val="00727533"/>
    <w:rsid w:val="007416B6"/>
    <w:rsid w:val="00746F48"/>
    <w:rsid w:val="007479CE"/>
    <w:rsid w:val="0075404D"/>
    <w:rsid w:val="00761078"/>
    <w:rsid w:val="0076182A"/>
    <w:rsid w:val="00767B7E"/>
    <w:rsid w:val="007724C2"/>
    <w:rsid w:val="007758D1"/>
    <w:rsid w:val="007770C3"/>
    <w:rsid w:val="00782462"/>
    <w:rsid w:val="0078492B"/>
    <w:rsid w:val="00784D24"/>
    <w:rsid w:val="00785763"/>
    <w:rsid w:val="00785FBA"/>
    <w:rsid w:val="00786C78"/>
    <w:rsid w:val="00786E4A"/>
    <w:rsid w:val="007875EB"/>
    <w:rsid w:val="0079426B"/>
    <w:rsid w:val="007A02A3"/>
    <w:rsid w:val="007A4FBA"/>
    <w:rsid w:val="007C065E"/>
    <w:rsid w:val="007C2A1E"/>
    <w:rsid w:val="007D1682"/>
    <w:rsid w:val="007D312A"/>
    <w:rsid w:val="007D3A08"/>
    <w:rsid w:val="007D3F19"/>
    <w:rsid w:val="007E0C35"/>
    <w:rsid w:val="007E23B0"/>
    <w:rsid w:val="007F1991"/>
    <w:rsid w:val="007F2C2F"/>
    <w:rsid w:val="007F55FC"/>
    <w:rsid w:val="007F5665"/>
    <w:rsid w:val="007F7619"/>
    <w:rsid w:val="00800112"/>
    <w:rsid w:val="00804B0C"/>
    <w:rsid w:val="00813348"/>
    <w:rsid w:val="008138E1"/>
    <w:rsid w:val="008172F6"/>
    <w:rsid w:val="0081747A"/>
    <w:rsid w:val="008229A4"/>
    <w:rsid w:val="008253BB"/>
    <w:rsid w:val="0083009D"/>
    <w:rsid w:val="008324EA"/>
    <w:rsid w:val="00833962"/>
    <w:rsid w:val="0083466B"/>
    <w:rsid w:val="0083706E"/>
    <w:rsid w:val="00840709"/>
    <w:rsid w:val="008408F6"/>
    <w:rsid w:val="008423A5"/>
    <w:rsid w:val="00843327"/>
    <w:rsid w:val="008435B5"/>
    <w:rsid w:val="0084570B"/>
    <w:rsid w:val="00850625"/>
    <w:rsid w:val="00852AB1"/>
    <w:rsid w:val="00853718"/>
    <w:rsid w:val="00855221"/>
    <w:rsid w:val="00857621"/>
    <w:rsid w:val="00857E97"/>
    <w:rsid w:val="00860645"/>
    <w:rsid w:val="0086646D"/>
    <w:rsid w:val="00871F71"/>
    <w:rsid w:val="00872FD8"/>
    <w:rsid w:val="00876782"/>
    <w:rsid w:val="00877FC3"/>
    <w:rsid w:val="008801FF"/>
    <w:rsid w:val="00882EAE"/>
    <w:rsid w:val="00885AF4"/>
    <w:rsid w:val="00886395"/>
    <w:rsid w:val="008939CD"/>
    <w:rsid w:val="008A173B"/>
    <w:rsid w:val="008A3EAD"/>
    <w:rsid w:val="008B0808"/>
    <w:rsid w:val="008B4E38"/>
    <w:rsid w:val="008B768C"/>
    <w:rsid w:val="008C3E98"/>
    <w:rsid w:val="008C4DB1"/>
    <w:rsid w:val="008C4EAF"/>
    <w:rsid w:val="008C5176"/>
    <w:rsid w:val="008C7FD0"/>
    <w:rsid w:val="008D1583"/>
    <w:rsid w:val="008D1EBA"/>
    <w:rsid w:val="008D5375"/>
    <w:rsid w:val="008D575A"/>
    <w:rsid w:val="008D5ED8"/>
    <w:rsid w:val="008D7064"/>
    <w:rsid w:val="008E1DE7"/>
    <w:rsid w:val="008E707C"/>
    <w:rsid w:val="00900B08"/>
    <w:rsid w:val="00902155"/>
    <w:rsid w:val="00902FA3"/>
    <w:rsid w:val="00914C08"/>
    <w:rsid w:val="00923564"/>
    <w:rsid w:val="0092392E"/>
    <w:rsid w:val="00925D17"/>
    <w:rsid w:val="009315F9"/>
    <w:rsid w:val="00933499"/>
    <w:rsid w:val="00935C98"/>
    <w:rsid w:val="00936D28"/>
    <w:rsid w:val="009410C6"/>
    <w:rsid w:val="00946945"/>
    <w:rsid w:val="00951248"/>
    <w:rsid w:val="0095152F"/>
    <w:rsid w:val="00954C49"/>
    <w:rsid w:val="00955C28"/>
    <w:rsid w:val="00955E37"/>
    <w:rsid w:val="009645F9"/>
    <w:rsid w:val="00964C16"/>
    <w:rsid w:val="009660A6"/>
    <w:rsid w:val="0096712B"/>
    <w:rsid w:val="0097099F"/>
    <w:rsid w:val="00971997"/>
    <w:rsid w:val="00971FFC"/>
    <w:rsid w:val="0098660A"/>
    <w:rsid w:val="009931C3"/>
    <w:rsid w:val="009A1442"/>
    <w:rsid w:val="009B2C43"/>
    <w:rsid w:val="009B4EAE"/>
    <w:rsid w:val="009B7573"/>
    <w:rsid w:val="009C22F4"/>
    <w:rsid w:val="009C2E98"/>
    <w:rsid w:val="009C37FB"/>
    <w:rsid w:val="009D3447"/>
    <w:rsid w:val="009D4426"/>
    <w:rsid w:val="009D4711"/>
    <w:rsid w:val="009E4E92"/>
    <w:rsid w:val="009F1185"/>
    <w:rsid w:val="009F175E"/>
    <w:rsid w:val="009F18CD"/>
    <w:rsid w:val="009F2A13"/>
    <w:rsid w:val="009F7527"/>
    <w:rsid w:val="009F7A75"/>
    <w:rsid w:val="00A01432"/>
    <w:rsid w:val="00A02DDA"/>
    <w:rsid w:val="00A02FE3"/>
    <w:rsid w:val="00A039ED"/>
    <w:rsid w:val="00A04EB0"/>
    <w:rsid w:val="00A13CC1"/>
    <w:rsid w:val="00A16847"/>
    <w:rsid w:val="00A206A6"/>
    <w:rsid w:val="00A21AD3"/>
    <w:rsid w:val="00A2333B"/>
    <w:rsid w:val="00A237D8"/>
    <w:rsid w:val="00A268C4"/>
    <w:rsid w:val="00A307CD"/>
    <w:rsid w:val="00A3085B"/>
    <w:rsid w:val="00A331C8"/>
    <w:rsid w:val="00A35117"/>
    <w:rsid w:val="00A40A00"/>
    <w:rsid w:val="00A4142F"/>
    <w:rsid w:val="00A41EF6"/>
    <w:rsid w:val="00A422EB"/>
    <w:rsid w:val="00A45BB7"/>
    <w:rsid w:val="00A50CC4"/>
    <w:rsid w:val="00A5201E"/>
    <w:rsid w:val="00A52D83"/>
    <w:rsid w:val="00A56DF2"/>
    <w:rsid w:val="00A56E6E"/>
    <w:rsid w:val="00A6352F"/>
    <w:rsid w:val="00A63A0A"/>
    <w:rsid w:val="00A67AB5"/>
    <w:rsid w:val="00A704E4"/>
    <w:rsid w:val="00A713AF"/>
    <w:rsid w:val="00A733B2"/>
    <w:rsid w:val="00A741C2"/>
    <w:rsid w:val="00A8075F"/>
    <w:rsid w:val="00A820C0"/>
    <w:rsid w:val="00A866B3"/>
    <w:rsid w:val="00A91760"/>
    <w:rsid w:val="00A93AA0"/>
    <w:rsid w:val="00A93B00"/>
    <w:rsid w:val="00A93C21"/>
    <w:rsid w:val="00AA4C54"/>
    <w:rsid w:val="00AA7E54"/>
    <w:rsid w:val="00AB64C9"/>
    <w:rsid w:val="00AC3C6A"/>
    <w:rsid w:val="00AC6DB8"/>
    <w:rsid w:val="00AD084E"/>
    <w:rsid w:val="00AD0F83"/>
    <w:rsid w:val="00AD2BED"/>
    <w:rsid w:val="00AD5620"/>
    <w:rsid w:val="00AD656B"/>
    <w:rsid w:val="00AD7C1B"/>
    <w:rsid w:val="00AE16BA"/>
    <w:rsid w:val="00AE1EBE"/>
    <w:rsid w:val="00AF5FEA"/>
    <w:rsid w:val="00AF7969"/>
    <w:rsid w:val="00B008F3"/>
    <w:rsid w:val="00B02BE8"/>
    <w:rsid w:val="00B03C9D"/>
    <w:rsid w:val="00B05C9F"/>
    <w:rsid w:val="00B060AE"/>
    <w:rsid w:val="00B10517"/>
    <w:rsid w:val="00B14E76"/>
    <w:rsid w:val="00B161B8"/>
    <w:rsid w:val="00B2048C"/>
    <w:rsid w:val="00B248EC"/>
    <w:rsid w:val="00B302AC"/>
    <w:rsid w:val="00B310B9"/>
    <w:rsid w:val="00B3547E"/>
    <w:rsid w:val="00B35F3F"/>
    <w:rsid w:val="00B368D4"/>
    <w:rsid w:val="00B36CBB"/>
    <w:rsid w:val="00B425E0"/>
    <w:rsid w:val="00B439FA"/>
    <w:rsid w:val="00B440AA"/>
    <w:rsid w:val="00B44B70"/>
    <w:rsid w:val="00B46388"/>
    <w:rsid w:val="00B46E75"/>
    <w:rsid w:val="00B53837"/>
    <w:rsid w:val="00B53C56"/>
    <w:rsid w:val="00B571CF"/>
    <w:rsid w:val="00B57DAF"/>
    <w:rsid w:val="00B72629"/>
    <w:rsid w:val="00B77EA6"/>
    <w:rsid w:val="00B80954"/>
    <w:rsid w:val="00B81598"/>
    <w:rsid w:val="00B84045"/>
    <w:rsid w:val="00B841F1"/>
    <w:rsid w:val="00B9060F"/>
    <w:rsid w:val="00B93672"/>
    <w:rsid w:val="00B93BBD"/>
    <w:rsid w:val="00B944D6"/>
    <w:rsid w:val="00B95F7D"/>
    <w:rsid w:val="00B96139"/>
    <w:rsid w:val="00BA0763"/>
    <w:rsid w:val="00BA5CE4"/>
    <w:rsid w:val="00BB0A1D"/>
    <w:rsid w:val="00BB4181"/>
    <w:rsid w:val="00BB444A"/>
    <w:rsid w:val="00BB4DF0"/>
    <w:rsid w:val="00BC289F"/>
    <w:rsid w:val="00BC2D50"/>
    <w:rsid w:val="00BC4046"/>
    <w:rsid w:val="00BC4E3D"/>
    <w:rsid w:val="00BC5361"/>
    <w:rsid w:val="00BC5460"/>
    <w:rsid w:val="00BC6B50"/>
    <w:rsid w:val="00BD07C3"/>
    <w:rsid w:val="00BD0800"/>
    <w:rsid w:val="00BD0E25"/>
    <w:rsid w:val="00BD2E48"/>
    <w:rsid w:val="00BD407D"/>
    <w:rsid w:val="00BE0A74"/>
    <w:rsid w:val="00BE3577"/>
    <w:rsid w:val="00BE56BB"/>
    <w:rsid w:val="00BE6083"/>
    <w:rsid w:val="00BF51D1"/>
    <w:rsid w:val="00BF5BD6"/>
    <w:rsid w:val="00C03E31"/>
    <w:rsid w:val="00C064CC"/>
    <w:rsid w:val="00C11489"/>
    <w:rsid w:val="00C11E91"/>
    <w:rsid w:val="00C1271C"/>
    <w:rsid w:val="00C17B6B"/>
    <w:rsid w:val="00C23EBA"/>
    <w:rsid w:val="00C30E69"/>
    <w:rsid w:val="00C32B55"/>
    <w:rsid w:val="00C332D6"/>
    <w:rsid w:val="00C33E72"/>
    <w:rsid w:val="00C34A1B"/>
    <w:rsid w:val="00C34F8B"/>
    <w:rsid w:val="00C354B2"/>
    <w:rsid w:val="00C35554"/>
    <w:rsid w:val="00C356F4"/>
    <w:rsid w:val="00C42709"/>
    <w:rsid w:val="00C47BC8"/>
    <w:rsid w:val="00C51595"/>
    <w:rsid w:val="00C521D1"/>
    <w:rsid w:val="00C533CC"/>
    <w:rsid w:val="00C5705C"/>
    <w:rsid w:val="00C5751C"/>
    <w:rsid w:val="00C6194B"/>
    <w:rsid w:val="00C61BFC"/>
    <w:rsid w:val="00C62B85"/>
    <w:rsid w:val="00C65438"/>
    <w:rsid w:val="00C73E4E"/>
    <w:rsid w:val="00C74004"/>
    <w:rsid w:val="00C82165"/>
    <w:rsid w:val="00C82499"/>
    <w:rsid w:val="00C83D13"/>
    <w:rsid w:val="00C91CBB"/>
    <w:rsid w:val="00C95059"/>
    <w:rsid w:val="00CA016E"/>
    <w:rsid w:val="00CB044E"/>
    <w:rsid w:val="00CB09B2"/>
    <w:rsid w:val="00CB4E70"/>
    <w:rsid w:val="00CC09B6"/>
    <w:rsid w:val="00CC2F41"/>
    <w:rsid w:val="00CC666F"/>
    <w:rsid w:val="00CD1E3F"/>
    <w:rsid w:val="00CD229C"/>
    <w:rsid w:val="00CD2B00"/>
    <w:rsid w:val="00CD2C38"/>
    <w:rsid w:val="00CD4E7D"/>
    <w:rsid w:val="00CD66DB"/>
    <w:rsid w:val="00CE02F9"/>
    <w:rsid w:val="00CE44F6"/>
    <w:rsid w:val="00CE49DA"/>
    <w:rsid w:val="00CE7B61"/>
    <w:rsid w:val="00CF767A"/>
    <w:rsid w:val="00D00095"/>
    <w:rsid w:val="00D000C0"/>
    <w:rsid w:val="00D114F0"/>
    <w:rsid w:val="00D20620"/>
    <w:rsid w:val="00D21866"/>
    <w:rsid w:val="00D22A13"/>
    <w:rsid w:val="00D23A2A"/>
    <w:rsid w:val="00D254F7"/>
    <w:rsid w:val="00D26091"/>
    <w:rsid w:val="00D2685C"/>
    <w:rsid w:val="00D34CC9"/>
    <w:rsid w:val="00D34E7C"/>
    <w:rsid w:val="00D35489"/>
    <w:rsid w:val="00D36AFE"/>
    <w:rsid w:val="00D454E1"/>
    <w:rsid w:val="00D51276"/>
    <w:rsid w:val="00D54303"/>
    <w:rsid w:val="00D5709A"/>
    <w:rsid w:val="00D63C07"/>
    <w:rsid w:val="00D64FE7"/>
    <w:rsid w:val="00D7035F"/>
    <w:rsid w:val="00D830E0"/>
    <w:rsid w:val="00D8343E"/>
    <w:rsid w:val="00D83799"/>
    <w:rsid w:val="00D85164"/>
    <w:rsid w:val="00D96FE2"/>
    <w:rsid w:val="00DA3DC8"/>
    <w:rsid w:val="00DA634F"/>
    <w:rsid w:val="00DA65AC"/>
    <w:rsid w:val="00DB1913"/>
    <w:rsid w:val="00DB5E2C"/>
    <w:rsid w:val="00DB72E1"/>
    <w:rsid w:val="00DC410D"/>
    <w:rsid w:val="00DC45B6"/>
    <w:rsid w:val="00DC5A81"/>
    <w:rsid w:val="00DC68CA"/>
    <w:rsid w:val="00DC7CBA"/>
    <w:rsid w:val="00DD73B7"/>
    <w:rsid w:val="00DE2429"/>
    <w:rsid w:val="00DF28BC"/>
    <w:rsid w:val="00DF2F53"/>
    <w:rsid w:val="00DF34B9"/>
    <w:rsid w:val="00DF58C7"/>
    <w:rsid w:val="00E00A68"/>
    <w:rsid w:val="00E01053"/>
    <w:rsid w:val="00E034F0"/>
    <w:rsid w:val="00E07ACF"/>
    <w:rsid w:val="00E10B96"/>
    <w:rsid w:val="00E1293E"/>
    <w:rsid w:val="00E3212F"/>
    <w:rsid w:val="00E331A1"/>
    <w:rsid w:val="00E33202"/>
    <w:rsid w:val="00E336A9"/>
    <w:rsid w:val="00E440CA"/>
    <w:rsid w:val="00E4582B"/>
    <w:rsid w:val="00E472B1"/>
    <w:rsid w:val="00E47839"/>
    <w:rsid w:val="00E50624"/>
    <w:rsid w:val="00E568DF"/>
    <w:rsid w:val="00E6292E"/>
    <w:rsid w:val="00E64269"/>
    <w:rsid w:val="00E66797"/>
    <w:rsid w:val="00E7455A"/>
    <w:rsid w:val="00E82267"/>
    <w:rsid w:val="00E84455"/>
    <w:rsid w:val="00E853CE"/>
    <w:rsid w:val="00E867B6"/>
    <w:rsid w:val="00E87F08"/>
    <w:rsid w:val="00EA010F"/>
    <w:rsid w:val="00EB3BFC"/>
    <w:rsid w:val="00EB4849"/>
    <w:rsid w:val="00EC0786"/>
    <w:rsid w:val="00EC0C1D"/>
    <w:rsid w:val="00ED1B63"/>
    <w:rsid w:val="00ED3C1F"/>
    <w:rsid w:val="00ED3E1B"/>
    <w:rsid w:val="00ED4085"/>
    <w:rsid w:val="00ED420E"/>
    <w:rsid w:val="00ED6FBE"/>
    <w:rsid w:val="00EE2F57"/>
    <w:rsid w:val="00EE33EC"/>
    <w:rsid w:val="00EE7648"/>
    <w:rsid w:val="00EF4C34"/>
    <w:rsid w:val="00EF77C6"/>
    <w:rsid w:val="00F05438"/>
    <w:rsid w:val="00F1361C"/>
    <w:rsid w:val="00F156F0"/>
    <w:rsid w:val="00F160C7"/>
    <w:rsid w:val="00F16DA6"/>
    <w:rsid w:val="00F20C19"/>
    <w:rsid w:val="00F2408F"/>
    <w:rsid w:val="00F240E9"/>
    <w:rsid w:val="00F250F9"/>
    <w:rsid w:val="00F25D51"/>
    <w:rsid w:val="00F30A29"/>
    <w:rsid w:val="00F36D8F"/>
    <w:rsid w:val="00F417B1"/>
    <w:rsid w:val="00F4336B"/>
    <w:rsid w:val="00F45853"/>
    <w:rsid w:val="00F50304"/>
    <w:rsid w:val="00F55179"/>
    <w:rsid w:val="00F55A7A"/>
    <w:rsid w:val="00F602DF"/>
    <w:rsid w:val="00F62D44"/>
    <w:rsid w:val="00F6690C"/>
    <w:rsid w:val="00F67D2A"/>
    <w:rsid w:val="00F754A1"/>
    <w:rsid w:val="00F81FD9"/>
    <w:rsid w:val="00F841AA"/>
    <w:rsid w:val="00F84A94"/>
    <w:rsid w:val="00F87E96"/>
    <w:rsid w:val="00F87FCF"/>
    <w:rsid w:val="00F938ED"/>
    <w:rsid w:val="00FA23E8"/>
    <w:rsid w:val="00FA495D"/>
    <w:rsid w:val="00FB14E3"/>
    <w:rsid w:val="00FB5814"/>
    <w:rsid w:val="00FB6A55"/>
    <w:rsid w:val="00FC4D8A"/>
    <w:rsid w:val="00FC523D"/>
    <w:rsid w:val="00FC5942"/>
    <w:rsid w:val="00FD3CC1"/>
    <w:rsid w:val="00FE39CD"/>
    <w:rsid w:val="00FF0270"/>
    <w:rsid w:val="00FF1E02"/>
    <w:rsid w:val="00FF2D10"/>
    <w:rsid w:val="00FF30B4"/>
    <w:rsid w:val="02821EBF"/>
    <w:rsid w:val="03A2428F"/>
    <w:rsid w:val="049C4F29"/>
    <w:rsid w:val="04A13B04"/>
    <w:rsid w:val="059D2A33"/>
    <w:rsid w:val="085A34EF"/>
    <w:rsid w:val="0CB07405"/>
    <w:rsid w:val="0DB414D8"/>
    <w:rsid w:val="0E7A511A"/>
    <w:rsid w:val="0EA945F0"/>
    <w:rsid w:val="0EB32B78"/>
    <w:rsid w:val="1065238B"/>
    <w:rsid w:val="10C055FF"/>
    <w:rsid w:val="11821374"/>
    <w:rsid w:val="128400E4"/>
    <w:rsid w:val="132D7B90"/>
    <w:rsid w:val="152143B8"/>
    <w:rsid w:val="163951A8"/>
    <w:rsid w:val="16BB723D"/>
    <w:rsid w:val="185511E6"/>
    <w:rsid w:val="194143FC"/>
    <w:rsid w:val="195963BC"/>
    <w:rsid w:val="1B1F1480"/>
    <w:rsid w:val="1CC45787"/>
    <w:rsid w:val="22387D74"/>
    <w:rsid w:val="240371BF"/>
    <w:rsid w:val="24F55F11"/>
    <w:rsid w:val="2724199A"/>
    <w:rsid w:val="29FD04D3"/>
    <w:rsid w:val="2AF63650"/>
    <w:rsid w:val="2B7B1D49"/>
    <w:rsid w:val="2DCE5528"/>
    <w:rsid w:val="319B01A4"/>
    <w:rsid w:val="319F7F4E"/>
    <w:rsid w:val="31DD4E60"/>
    <w:rsid w:val="33432A97"/>
    <w:rsid w:val="336072AA"/>
    <w:rsid w:val="338D3360"/>
    <w:rsid w:val="34181820"/>
    <w:rsid w:val="34F306BE"/>
    <w:rsid w:val="34F565DC"/>
    <w:rsid w:val="35130867"/>
    <w:rsid w:val="383B7626"/>
    <w:rsid w:val="39340EDB"/>
    <w:rsid w:val="39496A87"/>
    <w:rsid w:val="3D6F08E3"/>
    <w:rsid w:val="3E1C7E29"/>
    <w:rsid w:val="408A7C1C"/>
    <w:rsid w:val="40FE60D8"/>
    <w:rsid w:val="48091446"/>
    <w:rsid w:val="499B0695"/>
    <w:rsid w:val="4AEB6007"/>
    <w:rsid w:val="4ECE2238"/>
    <w:rsid w:val="4FA7753C"/>
    <w:rsid w:val="59D13530"/>
    <w:rsid w:val="59E932BF"/>
    <w:rsid w:val="5B9936EC"/>
    <w:rsid w:val="5CDF710D"/>
    <w:rsid w:val="5E1849EE"/>
    <w:rsid w:val="5F10721B"/>
    <w:rsid w:val="60110D74"/>
    <w:rsid w:val="61B06A9C"/>
    <w:rsid w:val="61E677BB"/>
    <w:rsid w:val="62C423F5"/>
    <w:rsid w:val="6828640C"/>
    <w:rsid w:val="686626B6"/>
    <w:rsid w:val="693B3B33"/>
    <w:rsid w:val="6B2B2E18"/>
    <w:rsid w:val="6BD847C1"/>
    <w:rsid w:val="6F0F2B42"/>
    <w:rsid w:val="6F7C722A"/>
    <w:rsid w:val="7261462A"/>
    <w:rsid w:val="72734D90"/>
    <w:rsid w:val="72D34B22"/>
    <w:rsid w:val="76D16062"/>
    <w:rsid w:val="77D55872"/>
    <w:rsid w:val="79233C84"/>
    <w:rsid w:val="79D228B2"/>
    <w:rsid w:val="7C0E7410"/>
    <w:rsid w:val="7C977890"/>
    <w:rsid w:val="7D37400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7">
    <w:name w:val="Table Grid"/>
    <w:basedOn w:val="16"/>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customStyle="1" w:styleId="2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9"/>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link w:val="36"/>
    <w:qFormat/>
    <w:uiPriority w:val="0"/>
    <w:pPr>
      <w:spacing w:line="360" w:lineRule="auto"/>
    </w:pPr>
    <w:rPr>
      <w:rFonts w:ascii="??" w:hAnsi="??"/>
      <w:color w:val="000000"/>
      <w:kern w:val="0"/>
      <w:sz w:val="28"/>
      <w:szCs w:val="21"/>
    </w:rPr>
  </w:style>
  <w:style w:type="character" w:customStyle="1" w:styleId="36">
    <w:name w:val="四号正文 Char"/>
    <w:link w:val="35"/>
    <w:qFormat/>
    <w:uiPriority w:val="0"/>
    <w:rPr>
      <w:rFonts w:ascii="??" w:hAnsi="??"/>
      <w:color w:val="000000"/>
      <w:sz w:val="28"/>
      <w:szCs w:val="21"/>
    </w:rPr>
  </w:style>
  <w:style w:type="paragraph" w:customStyle="1" w:styleId="37">
    <w:name w:val="WPSOffice手动目录 1"/>
    <w:qFormat/>
    <w:uiPriority w:val="0"/>
    <w:rPr>
      <w:rFonts w:asciiTheme="minorHAnsi" w:hAnsiTheme="minorHAnsi" w:eastAsiaTheme="minorEastAsia" w:cstheme="minorBidi"/>
      <w:lang w:val="en-US" w:eastAsia="zh-CN" w:bidi="ar-SA"/>
    </w:rPr>
  </w:style>
  <w:style w:type="paragraph" w:customStyle="1" w:styleId="38">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9">
    <w:name w:val="正文首行缩进 21"/>
    <w:basedOn w:val="40"/>
    <w:qFormat/>
    <w:uiPriority w:val="0"/>
    <w:pPr>
      <w:ind w:firstLine="420" w:firstLineChars="200"/>
    </w:pPr>
  </w:style>
  <w:style w:type="paragraph" w:customStyle="1" w:styleId="40">
    <w:name w:val="正文文本缩进1"/>
    <w:basedOn w:val="1"/>
    <w:qFormat/>
    <w:uiPriority w:val="0"/>
    <w:pPr>
      <w:ind w:left="200" w:leftChars="200"/>
    </w:pPr>
    <w:rPr>
      <w:rFonts w:ascii="仿宋_GB2312"/>
    </w:rPr>
  </w:style>
  <w:style w:type="paragraph" w:customStyle="1" w:styleId="41">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3795652816798"/>
          <c:y val="0.0471138845553822"/>
          <c:w val="0.847535629833938"/>
          <c:h val="0.699638941071452"/>
        </c:manualLayout>
      </c:layout>
      <c:barChart>
        <c:barDir val="col"/>
        <c:grouping val="clustered"/>
        <c:varyColors val="0"/>
        <c:ser>
          <c:idx val="0"/>
          <c:order val="0"/>
          <c:tx>
            <c:strRef>
              <c:f>Sheet1!$B$1</c:f>
              <c:strCache>
                <c:ptCount val="1"/>
                <c:pt idx="0">
                  <c:v>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2023年</c:v>
                </c:pt>
                <c:pt idx="1">
                  <c:v>2024年</c:v>
                </c:pt>
              </c:strCache>
            </c:strRef>
          </c:cat>
          <c:val>
            <c:numRef>
              <c:f>Sheet1!$B$2:$B$3</c:f>
              <c:numCache>
                <c:formatCode>General</c:formatCode>
                <c:ptCount val="2"/>
                <c:pt idx="0">
                  <c:v>2603.89</c:v>
                </c:pt>
                <c:pt idx="1">
                  <c:v>2588.06</c:v>
                </c:pt>
              </c:numCache>
            </c:numRef>
          </c:val>
        </c:ser>
        <c:dLbls>
          <c:showLegendKey val="0"/>
          <c:showVal val="1"/>
          <c:showCatName val="0"/>
          <c:showSerName val="0"/>
          <c:showPercent val="0"/>
          <c:showBubbleSize val="0"/>
        </c:dLbls>
        <c:gapWidth val="150"/>
        <c:axId val="48687744"/>
        <c:axId val="48695168"/>
      </c:barChart>
      <c:catAx>
        <c:axId val="4868774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8695168"/>
        <c:crosses val="autoZero"/>
        <c:auto val="1"/>
        <c:lblAlgn val="ctr"/>
        <c:lblOffset val="100"/>
        <c:noMultiLvlLbl val="0"/>
      </c:catAx>
      <c:valAx>
        <c:axId val="486951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868774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Pt>
            <c:idx val="1"/>
            <c:bubble3D val="0"/>
          </c:dPt>
          <c:dPt>
            <c:idx val="2"/>
            <c:bubble3D val="0"/>
          </c:dPt>
          <c:dLbls>
            <c:dLbl>
              <c:idx val="0"/>
              <c:layout/>
              <c:dLblPos val="inEnd"/>
              <c:showLegendKey val="0"/>
              <c:showVal val="1"/>
              <c:showCatName val="0"/>
              <c:showSerName val="0"/>
              <c:showPercent val="0"/>
              <c:showBubbleSize val="0"/>
              <c:extLst>
                <c:ext xmlns:c15="http://schemas.microsoft.com/office/drawing/2012/chart" uri="{CE6537A1-D6FC-4f65-9D91-7224C49458BB}"/>
              </c:extLst>
            </c:dLbl>
            <c:dLbl>
              <c:idx val="1"/>
              <c:layout/>
              <c:dLblPos val="inEnd"/>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一般公共预算财政拨款收入</c:v>
                </c:pt>
                <c:pt idx="1">
                  <c:v>其他收入</c:v>
                </c:pt>
                <c:pt idx="2">
                  <c:v>政府性基金预算财政拨款收入</c:v>
                </c:pt>
              </c:strCache>
            </c:strRef>
          </c:cat>
          <c:val>
            <c:numRef>
              <c:f>Sheet1!$B$2:$B$4</c:f>
              <c:numCache>
                <c:formatCode>0.00%</c:formatCode>
                <c:ptCount val="3"/>
                <c:pt idx="0">
                  <c:v>0.7656</c:v>
                </c:pt>
                <c:pt idx="1">
                  <c:v>0.1685</c:v>
                </c:pt>
                <c:pt idx="2">
                  <c:v>0.0659</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0.00%</c:formatCode>
                <c:ptCount val="2"/>
                <c:pt idx="0">
                  <c:v>0.531842383870544</c:v>
                </c:pt>
                <c:pt idx="1">
                  <c:v>0.468157616129456</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r"/>
      <c:layout>
        <c:manualLayout>
          <c:xMode val="edge"/>
          <c:yMode val="edge"/>
          <c:x val="0.724913596620279"/>
          <c:y val="0.269296280433565"/>
          <c:w val="0.211877628514506"/>
          <c:h val="0.3219374251858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2023年</c:v>
                </c:pt>
                <c:pt idx="1">
                  <c:v>2024年</c:v>
                </c:pt>
              </c:strCache>
            </c:strRef>
          </c:cat>
          <c:val>
            <c:numRef>
              <c:f>Sheet1!$B$2:$B$3</c:f>
              <c:numCache>
                <c:formatCode>General</c:formatCode>
                <c:ptCount val="2"/>
                <c:pt idx="0">
                  <c:v>2388.99</c:v>
                </c:pt>
                <c:pt idx="1">
                  <c:v>2417.55</c:v>
                </c:pt>
              </c:numCache>
            </c:numRef>
          </c:val>
        </c:ser>
        <c:dLbls>
          <c:showLegendKey val="0"/>
          <c:showVal val="1"/>
          <c:showCatName val="0"/>
          <c:showSerName val="0"/>
          <c:showPercent val="0"/>
          <c:showBubbleSize val="0"/>
        </c:dLbls>
        <c:gapWidth val="150"/>
        <c:axId val="89719168"/>
        <c:axId val="117217152"/>
      </c:barChart>
      <c:catAx>
        <c:axId val="89719168"/>
        <c:scaling>
          <c:orientation val="minMax"/>
        </c:scaling>
        <c:delete val="0"/>
        <c:axPos val="b"/>
        <c:numFmt formatCode="#,##0.00;[Red]\-#,##0.00" sourceLinked="0"/>
        <c:majorTickMark val="out"/>
        <c:minorTickMark val="none"/>
        <c:tickLblPos val="nextTo"/>
        <c:txPr>
          <a:bodyPr rot="-60000000" spcFirstLastPara="0" vertOverflow="ellipsis" vert="horz" wrap="square" anchor="ctr" anchorCtr="0"/>
          <a:lstStyle/>
          <a:p>
            <a:pPr>
              <a:defRPr lang="zh-CN" sz="1000" b="0" i="0" u="none" strike="noStrike" kern="1200" baseline="0">
                <a:solidFill>
                  <a:schemeClr val="tx1"/>
                </a:solidFill>
                <a:latin typeface="+mn-lt"/>
                <a:ea typeface="+mn-ea"/>
                <a:cs typeface="+mn-cs"/>
              </a:defRPr>
            </a:pPr>
          </a:p>
        </c:txPr>
        <c:crossAx val="117217152"/>
        <c:crosses val="autoZero"/>
        <c:auto val="1"/>
        <c:lblAlgn val="ctr"/>
        <c:lblOffset val="100"/>
        <c:noMultiLvlLbl val="0"/>
      </c:catAx>
      <c:valAx>
        <c:axId val="1172171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971916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2023年</c:v>
                </c:pt>
                <c:pt idx="1">
                  <c:v>2024年</c:v>
                </c:pt>
              </c:strCache>
            </c:strRef>
          </c:cat>
          <c:val>
            <c:numRef>
              <c:f>Sheet1!$B$2:$B$3</c:f>
              <c:numCache>
                <c:formatCode>General</c:formatCode>
                <c:ptCount val="2"/>
                <c:pt idx="0">
                  <c:v>2245.11</c:v>
                </c:pt>
                <c:pt idx="1">
                  <c:v>1981.42</c:v>
                </c:pt>
              </c:numCache>
            </c:numRef>
          </c:val>
        </c:ser>
        <c:dLbls>
          <c:showLegendKey val="0"/>
          <c:showVal val="1"/>
          <c:showCatName val="0"/>
          <c:showSerName val="0"/>
          <c:showPercent val="0"/>
          <c:showBubbleSize val="0"/>
        </c:dLbls>
        <c:gapWidth val="150"/>
        <c:axId val="182520832"/>
        <c:axId val="182523392"/>
      </c:barChart>
      <c:catAx>
        <c:axId val="1825208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523392"/>
        <c:crosses val="autoZero"/>
        <c:auto val="1"/>
        <c:lblAlgn val="ctr"/>
        <c:lblOffset val="100"/>
        <c:noMultiLvlLbl val="0"/>
      </c:catAx>
      <c:valAx>
        <c:axId val="1825233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52083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77362133116424"/>
          <c:y val="0.135710823168735"/>
          <c:w val="0.499003789495393"/>
          <c:h val="0.728578353662532"/>
        </c:manualLayout>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Lbls>
            <c:dLbl>
              <c:idx val="0"/>
              <c:layout>
                <c:manualLayout>
                  <c:x val="0.00802309728696666"/>
                  <c:y val="0.0073189272332834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12827668535437"/>
                  <c:y val="-0.2616157775799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96607957588981"/>
                  <c:y val="0.0220784436459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51129100599641"/>
                  <c:y val="-0.0013995349791474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社会保障和就业</c:v>
                </c:pt>
                <c:pt idx="1">
                  <c:v>卫生健康支出</c:v>
                </c:pt>
                <c:pt idx="2">
                  <c:v>交通运输支出</c:v>
                </c:pt>
                <c:pt idx="3">
                  <c:v>住房保障支出</c:v>
                </c:pt>
                <c:pt idx="4">
                  <c:v>农林水支出</c:v>
                </c:pt>
              </c:strCache>
            </c:strRef>
          </c:cat>
          <c:val>
            <c:numRef>
              <c:f>Sheet1!$B$2:$B$6</c:f>
              <c:numCache>
                <c:formatCode>0.00%</c:formatCode>
                <c:ptCount val="5"/>
                <c:pt idx="0">
                  <c:v>0.112071140898951</c:v>
                </c:pt>
                <c:pt idx="1">
                  <c:v>0.0318912698973463</c:v>
                </c:pt>
                <c:pt idx="2">
                  <c:v>0.760439482795167</c:v>
                </c:pt>
                <c:pt idx="3">
                  <c:v>0.0487630083475487</c:v>
                </c:pt>
                <c:pt idx="4">
                  <c:v>0.0468350980609866</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0.606164383561644</c:v>
                </c:pt>
                <c:pt idx="1">
                  <c:v>0.393835616438356</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3E49B-217E-489B-A858-EC9D7E55959D}">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20</Pages>
  <Words>1325</Words>
  <Characters>7554</Characters>
  <Lines>62</Lines>
  <Paragraphs>17</Paragraphs>
  <TotalTime>15</TotalTime>
  <ScaleCrop>false</ScaleCrop>
  <LinksUpToDate>false</LinksUpToDate>
  <CharactersWithSpaces>8862</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2020-09-21T06:55:00Z</dcterms:created>
  <dc:creator>曹颖</dc:creator>
  <cp:lastModifiedBy>宋皎</cp:lastModifiedBy>
  <cp:lastPrinted>2025-09-24T07:19:00Z</cp:lastPrinted>
  <dcterms:modified xsi:type="dcterms:W3CDTF">2025-09-24T09:57:00Z</dcterms:modified>
  <dc:title>四川省***</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AAE168894D0D41B0AF63DA811999087B</vt:lpwstr>
  </property>
</Properties>
</file>