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Times New Roman" w:hAnsi="Times New Roman" w:eastAsia="方正小标宋简体" w:cs="Times New Roman"/>
          <w:color w:val="auto"/>
          <w:kern w:val="2"/>
          <w:sz w:val="72"/>
          <w:szCs w:val="72"/>
          <w:highlight w:val="none"/>
          <w:lang w:val="en-US" w:eastAsia="zh-CN" w:bidi="ar-SA"/>
        </w:rPr>
      </w:pPr>
      <w:bookmarkStart w:id="0" w:name="_Toc15377425"/>
      <w:bookmarkStart w:id="1" w:name="_Toc15396597"/>
      <w:bookmarkStart w:id="2" w:name="_Toc15377193"/>
      <w:bookmarkStart w:id="3" w:name="_Toc15378441"/>
      <w:bookmarkStart w:id="4" w:name="_Toc15396475"/>
      <w:bookmarkStart w:id="5" w:name="_Toc15306267"/>
    </w:p>
    <w:p>
      <w:pPr>
        <w:pStyle w:val="2"/>
        <w:rPr>
          <w:rFonts w:hint="eastAsia" w:ascii="Times New Roman" w:hAnsi="Times New Roman" w:eastAsia="方正小标宋简体" w:cs="Times New Roman"/>
          <w:color w:val="auto"/>
          <w:kern w:val="2"/>
          <w:sz w:val="72"/>
          <w:szCs w:val="72"/>
          <w:highlight w:val="none"/>
          <w:lang w:val="en-US" w:eastAsia="zh-CN" w:bidi="ar-SA"/>
        </w:rPr>
      </w:pPr>
    </w:p>
    <w:p>
      <w:pPr>
        <w:pStyle w:val="2"/>
        <w:rPr>
          <w:rFonts w:hint="eastAsia" w:ascii="Times New Roman" w:hAnsi="Times New Roman" w:eastAsia="方正小标宋简体" w:cs="Times New Roman"/>
          <w:color w:val="auto"/>
          <w:kern w:val="2"/>
          <w:sz w:val="72"/>
          <w:szCs w:val="72"/>
          <w:highlight w:val="none"/>
          <w:lang w:val="en-US" w:eastAsia="zh-CN" w:bidi="ar-SA"/>
        </w:rPr>
      </w:pPr>
    </w:p>
    <w:p>
      <w:pPr>
        <w:pStyle w:val="2"/>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w:t>
      </w:r>
      <w:r>
        <w:rPr>
          <w:rFonts w:hint="eastAsia" w:ascii="Times New Roman" w:eastAsia="方正小标宋简体" w:cs="Times New Roman"/>
          <w:color w:val="auto"/>
          <w:kern w:val="2"/>
          <w:sz w:val="44"/>
          <w:szCs w:val="44"/>
          <w:highlight w:val="none"/>
          <w:lang w:val="en-US" w:eastAsia="zh-CN" w:bidi="ar-SA"/>
        </w:rPr>
        <w:t>四川</w:t>
      </w:r>
      <w:r>
        <w:rPr>
          <w:rFonts w:hint="eastAsia" w:ascii="Times New Roman" w:hAnsi="Times New Roman" w:eastAsia="方正小标宋简体" w:cs="Times New Roman"/>
          <w:color w:val="auto"/>
          <w:kern w:val="2"/>
          <w:sz w:val="44"/>
          <w:szCs w:val="44"/>
          <w:highlight w:val="none"/>
          <w:lang w:val="en-US" w:eastAsia="zh-CN" w:bidi="ar-SA"/>
        </w:rPr>
        <w:t>省</w:t>
      </w:r>
      <w:r>
        <w:rPr>
          <w:rFonts w:hint="eastAsia" w:ascii="Times New Roman" w:eastAsia="方正小标宋简体" w:cs="Times New Roman"/>
          <w:color w:val="auto"/>
          <w:kern w:val="2"/>
          <w:sz w:val="44"/>
          <w:szCs w:val="44"/>
          <w:highlight w:val="none"/>
          <w:lang w:val="en-US" w:eastAsia="zh-CN" w:bidi="ar-SA"/>
        </w:rPr>
        <w:t>沐川县公安局</w:t>
      </w:r>
      <w:r>
        <w:rPr>
          <w:rFonts w:hint="eastAsia" w:ascii="Times New Roman" w:hAnsi="Times New Roman" w:eastAsia="方正小标宋简体" w:cs="Times New Roman"/>
          <w:color w:val="auto"/>
          <w:kern w:val="2"/>
          <w:sz w:val="44"/>
          <w:szCs w:val="44"/>
          <w:highlight w:val="none"/>
          <w:lang w:val="en-US" w:eastAsia="zh-CN" w:bidi="ar-SA"/>
        </w:rPr>
        <w:t>决算</w:t>
      </w:r>
    </w:p>
    <w:p>
      <w:pPr>
        <w:spacing w:line="600" w:lineRule="exact"/>
        <w:jc w:val="center"/>
        <w:outlineLvl w:val="0"/>
        <w:rPr>
          <w:rFonts w:ascii="Times New Roman" w:hAnsi="Times New Roman" w:eastAsia="方正小标宋简体"/>
          <w:color w:val="auto"/>
          <w:sz w:val="72"/>
          <w:szCs w:val="72"/>
          <w:highlight w:val="none"/>
        </w:rPr>
      </w:pPr>
    </w:p>
    <w:p>
      <w:pPr>
        <w:pStyle w:val="19"/>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bookmarkEnd w:id="0"/>
    <w:bookmarkEnd w:id="1"/>
    <w:bookmarkEnd w:id="2"/>
    <w:bookmarkEnd w:id="3"/>
    <w:bookmarkEnd w:id="4"/>
    <w:bookmarkEnd w:id="5"/>
    <w:p>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theme="minorBidi"/>
          <w:color w:val="auto"/>
          <w:sz w:val="28"/>
          <w:szCs w:val="28"/>
          <w:highlight w:val="none"/>
        </w:rPr>
      </w:pPr>
    </w:p>
    <w:p>
      <w:pPr>
        <w:pStyle w:val="12"/>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10</w:t>
      </w:r>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二、机构设置</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一、收入支出决算总体情况说明</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二、收入决算情况说明</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三、支出决算情况说明</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四、财政拨款收入支出决算总体情况说明</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五、一般公共预算财政拨款支出决算情况说明</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六、一般公共预算财政拨款基本支出决算情况说明</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八、政府性基金预算支出决算情况说明</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第三部分 名词解释</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第四部分 附件</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第五部分 附表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6" w:name="_Toc15377196"/>
      <w:bookmarkStart w:id="7" w:name="_Toc15396599"/>
      <w:r>
        <w:rPr>
          <w:rFonts w:hint="eastAsia" w:ascii="Times New Roman" w:hAnsi="Times New Roman" w:eastAsia="仿宋_GB2312" w:cs="仿宋_GB2312"/>
          <w:b/>
          <w:color w:val="auto"/>
          <w:sz w:val="32"/>
          <w:szCs w:val="32"/>
          <w:highlight w:val="none"/>
        </w:rPr>
        <w:br w:type="page"/>
      </w:r>
    </w:p>
    <w:p>
      <w:pPr>
        <w:pStyle w:val="3"/>
        <w:jc w:val="center"/>
        <w:rPr>
          <w:rStyle w:val="28"/>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8"/>
          <w:rFonts w:hint="eastAsia" w:ascii="Times New Roman" w:hAnsi="Times New Roman" w:eastAsia="方正小标宋简体" w:cs="方正小标宋简体"/>
          <w:b w:val="0"/>
          <w:bCs w:val="0"/>
          <w:color w:val="auto"/>
          <w:highlight w:val="none"/>
        </w:rPr>
        <w:t>部门概况</w:t>
      </w:r>
      <w:bookmarkEnd w:id="6"/>
      <w:bookmarkEnd w:id="7"/>
    </w:p>
    <w:p>
      <w:pPr>
        <w:widowControl/>
        <w:jc w:val="left"/>
        <w:rPr>
          <w:rFonts w:ascii="Times New Roman" w:hAnsi="Times New Roman" w:eastAsia="黑体"/>
          <w:color w:val="auto"/>
          <w:sz w:val="32"/>
          <w:szCs w:val="32"/>
          <w:highlight w:val="none"/>
        </w:rPr>
      </w:pPr>
    </w:p>
    <w:p>
      <w:pPr>
        <w:pStyle w:val="4"/>
        <w:rPr>
          <w:rFonts w:hint="eastAsia" w:ascii="Times New Roman" w:hAnsi="Times New Roman" w:eastAsia="黑体"/>
          <w:b w:val="0"/>
          <w:color w:val="auto"/>
          <w:highlight w:val="none"/>
          <w:lang w:eastAsia="zh-CN"/>
        </w:rPr>
      </w:pPr>
      <w:bookmarkStart w:id="8" w:name="_Toc15377197"/>
      <w:bookmarkStart w:id="9" w:name="_Toc15396600"/>
      <w:r>
        <w:rPr>
          <w:rFonts w:hint="eastAsia" w:ascii="Times New Roman" w:hAnsi="Times New Roman" w:eastAsia="黑体"/>
          <w:b w:val="0"/>
          <w:color w:val="auto"/>
          <w:highlight w:val="none"/>
        </w:rPr>
        <w:t>一、</w:t>
      </w:r>
      <w:bookmarkEnd w:id="8"/>
      <w:bookmarkEnd w:id="9"/>
      <w:r>
        <w:rPr>
          <w:rFonts w:hint="eastAsia" w:ascii="Times New Roman" w:hAnsi="Times New Roman" w:eastAsia="黑体"/>
          <w:b w:val="0"/>
          <w:color w:val="auto"/>
          <w:highlight w:val="none"/>
          <w:lang w:eastAsia="zh-CN"/>
        </w:rPr>
        <w:t>部门职责</w:t>
      </w:r>
    </w:p>
    <w:p>
      <w:pPr>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贯彻执行公安工作路线、方针、政策、法律法规，保护人民、打击犯罪，维护全县政治稳定、社会稳定。落实县委、县人民政府以及上级公安机关制定的有关公安工作的决定、决议及指示。</w:t>
      </w:r>
    </w:p>
    <w:p>
      <w:pPr>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负责全县公安情报信息的收集、整合，掌握、分析全县影响稳定、危害国内安全与社会治安的情况和形势，研究制定对策。</w:t>
      </w:r>
    </w:p>
    <w:p>
      <w:pPr>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负责全县国家安全案件的侦查工作，以及境内外敌对势力、恐怖组织、社团的侦控和基础调研工作；</w:t>
      </w:r>
    </w:p>
    <w:p>
      <w:pPr>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负责网络安全监察，依法查处涉及信息网络的违法犯罪案件。</w:t>
      </w:r>
    </w:p>
    <w:p>
      <w:pPr>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负责刑事案件、经济案件的侦破和禁毒工作；开展各项专项行动和斗争；处置各类重大案件、骚乱事件、重大治安事故及其它重大突发性事件。</w:t>
      </w:r>
    </w:p>
    <w:p>
      <w:pPr>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依法查处危害社会治安秩序行为，依法管理户口、居民身份证、枪支弹药、危险物品、公共复杂场所和特种行业的工作。</w:t>
      </w:r>
    </w:p>
    <w:p>
      <w:pPr>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组织实施对国家机关、社会团体、企事业单位和重点建设工程的治安保卫工作以及群众性治安保卫组织的治安防范工作，负责国防招生、征兵的政审和中、高考的安全保卫工作。</w:t>
      </w:r>
    </w:p>
    <w:p>
      <w:pPr>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依法管理国籍、出入境和外国人在本辖区居留、旅行的有关事务。</w:t>
      </w:r>
    </w:p>
    <w:p>
      <w:pPr>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组织实施党和国家领导人、重要外宾来访和省、市领导到本辖区及重要会议等大型活动的安全警卫工作。</w:t>
      </w:r>
    </w:p>
    <w:p>
      <w:pPr>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rPr>
        <w:t>组织实施看守所、拘留所的安全管理工作，指挥协调县武警中队、武警消防大队与公安业务相关的工作。</w:t>
      </w:r>
    </w:p>
    <w:p>
      <w:pPr>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11</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依法管理道路安全，维护交通秩序，以及机动车驾驶员管理工作，依法处理交通事故。</w:t>
      </w:r>
    </w:p>
    <w:p>
      <w:pPr>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12</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组织实施县公安局刑事、行政执法活动，开展执法制度建设和法制宣传工作。</w:t>
      </w:r>
    </w:p>
    <w:p>
      <w:pPr>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13</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制定全县公安机关装备、被装配备和经费等警备保障计划、制度；分配管理装备物资；指导、监督、管理全县公安机关财务工作和审计工作。</w:t>
      </w:r>
    </w:p>
    <w:p>
      <w:pPr>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14</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指导监督消防工作，督促城市建设和城市管理部门维护和改善城市公共消防设施。协调、指导林业公安相关业务工作。</w:t>
      </w:r>
    </w:p>
    <w:p>
      <w:pPr>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15</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制定全县公安机关人员培训、公安教育及落实公安宣传的方针和措施。</w:t>
      </w:r>
    </w:p>
    <w:p>
      <w:pPr>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（16）</w:t>
      </w:r>
      <w:r>
        <w:rPr>
          <w:rFonts w:hint="eastAsia" w:ascii="仿宋_GB2312" w:hAnsi="仿宋_GB2312" w:eastAsia="仿宋_GB2312" w:cs="仿宋_GB2312"/>
          <w:color w:val="auto"/>
          <w:sz w:val="32"/>
          <w:szCs w:val="32"/>
          <w:highlight w:val="none"/>
        </w:rPr>
        <w:t>组织实施县公安队伍建设，查处队伍内部违纪案件。</w:t>
      </w:r>
    </w:p>
    <w:p>
      <w:pPr>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17</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组织实施县公安局有线、无线通信、计算机联网和计算机安全管理业务的建设规划、技术改造和装备更新等工作；负责公共信息网络的安全监察工作。</w:t>
      </w:r>
    </w:p>
    <w:p>
      <w:pPr>
        <w:ind w:firstLine="800" w:firstLineChars="25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18</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承担县政府公布的有关行政审批事项。</w:t>
      </w:r>
    </w:p>
    <w:p>
      <w:pPr>
        <w:ind w:firstLine="800" w:firstLineChars="25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19</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承办县委、县人民政府以及上级公安机关交办的其他事项。</w:t>
      </w:r>
    </w:p>
    <w:p>
      <w:pPr>
        <w:pStyle w:val="4"/>
        <w:rPr>
          <w:rStyle w:val="29"/>
          <w:rFonts w:ascii="Times New Roman" w:hAnsi="Times New Roman"/>
          <w:b w:val="0"/>
          <w:bCs w:val="0"/>
          <w:color w:val="auto"/>
          <w:highlight w:val="none"/>
        </w:rPr>
      </w:pPr>
      <w:bookmarkStart w:id="10" w:name="_Toc15396601"/>
      <w:bookmarkStart w:id="11" w:name="_Toc15377200"/>
      <w:r>
        <w:rPr>
          <w:rFonts w:hint="eastAsia" w:ascii="Times New Roman" w:hAnsi="Times New Roman" w:eastAsia="黑体"/>
          <w:b w:val="0"/>
          <w:color w:val="auto"/>
          <w:highlight w:val="none"/>
        </w:rPr>
        <w:t>二、机</w:t>
      </w:r>
      <w:r>
        <w:rPr>
          <w:rStyle w:val="29"/>
          <w:rFonts w:hint="eastAsia" w:ascii="Times New Roman" w:hAnsi="Times New Roman" w:eastAsia="黑体"/>
          <w:b w:val="0"/>
          <w:bCs w:val="0"/>
          <w:color w:val="auto"/>
          <w:highlight w:val="none"/>
        </w:rPr>
        <w:t>构设置</w:t>
      </w:r>
      <w:bookmarkEnd w:id="10"/>
      <w:bookmarkEnd w:id="11"/>
    </w:p>
    <w:p>
      <w:pPr>
        <w:ind w:firstLine="800" w:firstLineChars="250"/>
        <w:rPr>
          <w:rFonts w:hint="eastAsia" w:ascii="Times New Roman" w:hAnsi="Times New Roman"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沐川县公安局</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个，其中行政单位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bCs/>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w:t>
      </w:r>
    </w:p>
    <w:p>
      <w:pPr>
        <w:pStyle w:val="2"/>
        <w:adjustRightInd w:val="0"/>
        <w:snapToGrid w:val="0"/>
        <w:spacing w:before="93" w:line="600" w:lineRule="exact"/>
        <w:ind w:firstLine="672" w:firstLineChars="21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w:t>
      </w:r>
      <w:r>
        <w:rPr>
          <w:sz w:val="32"/>
          <w:szCs w:val="32"/>
        </w:rPr>
        <w:t>沐川县公安局</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部门决算编制范围的二级预算单位包括：</w:t>
      </w:r>
    </w:p>
    <w:p>
      <w:pPr>
        <w:pStyle w:val="2"/>
        <w:numPr>
          <w:ilvl w:val="0"/>
          <w:numId w:val="1"/>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bookmarkStart w:id="12" w:name="_Toc15377433"/>
      <w:bookmarkStart w:id="13" w:name="_Toc15306276"/>
      <w:bookmarkStart w:id="14" w:name="_Toc15377202"/>
      <w:bookmarkStart w:id="15" w:name="_Toc15378449"/>
      <w:r>
        <w:rPr>
          <w:rFonts w:hint="eastAsia" w:ascii="Times New Roman" w:cs="仿宋_GB2312"/>
          <w:color w:val="auto"/>
          <w:sz w:val="32"/>
          <w:szCs w:val="32"/>
          <w:highlight w:val="none"/>
          <w:lang w:val="en-US" w:eastAsia="zh-CN"/>
        </w:rPr>
        <w:t>沐川县公安局</w:t>
      </w:r>
      <w:bookmarkEnd w:id="12"/>
      <w:bookmarkEnd w:id="13"/>
      <w:bookmarkEnd w:id="14"/>
      <w:bookmarkEnd w:id="15"/>
    </w:p>
    <w:p>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pPr>
        <w:pStyle w:val="3"/>
        <w:jc w:val="center"/>
        <w:rPr>
          <w:rFonts w:hint="eastAsia" w:ascii="Times New Roman" w:hAnsi="Times New Roman" w:eastAsia="方正小标宋简体" w:cs="方正小标宋简体"/>
          <w:b w:val="0"/>
          <w:color w:val="auto"/>
          <w:highlight w:val="none"/>
        </w:rPr>
      </w:pPr>
      <w:bookmarkStart w:id="16" w:name="_Toc15377204"/>
      <w:bookmarkStart w:id="17" w:name="_Toc15396602"/>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6"/>
      <w:bookmarkEnd w:id="17"/>
    </w:p>
    <w:p>
      <w:pPr>
        <w:rPr>
          <w:rFonts w:ascii="Times New Roman" w:hAnsi="Times New Roman"/>
          <w:color w:val="auto"/>
          <w:highlight w:val="none"/>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eastAsia" w:ascii="Times New Roman" w:hAnsi="Times New Roman" w:eastAsia="黑体"/>
          <w:b w:val="0"/>
          <w:color w:val="auto"/>
          <w:highlight w:val="none"/>
        </w:rPr>
      </w:pPr>
      <w:bookmarkStart w:id="18" w:name="_Toc15377205"/>
      <w:bookmarkStart w:id="19"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29"/>
          <w:rFonts w:hint="eastAsia" w:ascii="Times New Roman" w:hAnsi="Times New Roman" w:eastAsia="黑体"/>
          <w:b w:val="0"/>
          <w:color w:val="auto"/>
          <w:highlight w:val="none"/>
        </w:rPr>
        <w:t>入支出决算总体情况说明</w:t>
      </w:r>
      <w:bookmarkEnd w:id="18"/>
      <w:bookmarkEnd w:id="19"/>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 w:hAnsi="仿宋" w:eastAsia="仿宋"/>
          <w:sz w:val="32"/>
          <w:szCs w:val="32"/>
          <w:lang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8879.17</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eastAsia="仿宋_GB2312" w:cs="仿宋_GB2312"/>
          <w:color w:val="auto"/>
          <w:sz w:val="32"/>
          <w:szCs w:val="32"/>
          <w:highlight w:val="none"/>
          <w:lang w:val="en-US" w:eastAsia="zh-CN"/>
        </w:rPr>
        <w:t>各</w:t>
      </w:r>
      <w:r>
        <w:rPr>
          <w:rFonts w:hint="eastAsia" w:ascii="Times New Roman" w:hAnsi="Times New Roman" w:eastAsia="仿宋_GB2312" w:cs="仿宋_GB2312"/>
          <w:color w:val="auto"/>
          <w:sz w:val="32"/>
          <w:szCs w:val="32"/>
          <w:highlight w:val="none"/>
        </w:rPr>
        <w:t>增加</w:t>
      </w:r>
      <w:r>
        <w:rPr>
          <w:rFonts w:hint="eastAsia" w:eastAsia="仿宋_GB2312" w:cs="仿宋_GB2312"/>
          <w:color w:val="auto"/>
          <w:sz w:val="32"/>
          <w:szCs w:val="32"/>
          <w:highlight w:val="none"/>
          <w:lang w:val="en-US" w:eastAsia="zh-CN"/>
        </w:rPr>
        <w:t>2285.2</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34.66</w:t>
      </w:r>
      <w:r>
        <w:rPr>
          <w:rFonts w:hint="eastAsia" w:ascii="Times New Roman" w:hAnsi="Times New Roman" w:eastAsia="仿宋_GB2312" w:cs="仿宋_GB2312"/>
          <w:color w:val="auto"/>
          <w:sz w:val="32"/>
          <w:szCs w:val="32"/>
          <w:highlight w:val="none"/>
        </w:rPr>
        <w:t>%。主要变动原因是</w:t>
      </w:r>
      <w:r>
        <w:rPr>
          <w:rFonts w:hint="eastAsia" w:ascii="仿宋" w:hAnsi="仿宋" w:eastAsia="仿宋"/>
          <w:sz w:val="32"/>
          <w:szCs w:val="32"/>
          <w:lang w:val="en-US" w:eastAsia="zh-CN"/>
        </w:rPr>
        <w:t>基础设施项目及采购项目增加</w:t>
      </w:r>
      <w:r>
        <w:rPr>
          <w:rFonts w:hint="eastAsia" w:ascii="仿宋" w:hAnsi="仿宋" w:eastAsia="仿宋"/>
          <w:sz w:val="32"/>
          <w:szCs w:val="32"/>
        </w:rPr>
        <w:t>。</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1"/>
        <w:rPr>
          <w:rFonts w:hint="eastAsia" w:ascii="仿宋" w:hAnsi="仿宋" w:eastAsia="仿宋"/>
          <w:sz w:val="32"/>
          <w:szCs w:val="32"/>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1"/>
        <w:rPr>
          <w:rFonts w:hint="eastAsia" w:ascii="仿宋" w:hAnsi="仿宋" w:eastAsia="仿宋"/>
          <w:sz w:val="32"/>
          <w:szCs w:val="32"/>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1"/>
        <w:rPr>
          <w:rFonts w:hint="eastAsia" w:ascii="仿宋" w:hAnsi="仿宋" w:eastAsia="仿宋"/>
          <w:sz w:val="32"/>
          <w:szCs w:val="32"/>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1"/>
        <w:rPr>
          <w:rFonts w:hint="eastAsia" w:ascii="仿宋" w:hAnsi="仿宋" w:eastAsia="仿宋"/>
          <w:sz w:val="32"/>
          <w:szCs w:val="32"/>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1"/>
        <w:rPr>
          <w:rFonts w:hint="eastAsia" w:ascii="仿宋" w:hAnsi="仿宋" w:eastAsia="仿宋"/>
          <w:sz w:val="32"/>
          <w:szCs w:val="32"/>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1"/>
        <w:rPr>
          <w:rFonts w:hint="eastAsia" w:ascii="仿宋" w:hAnsi="仿宋" w:eastAsia="仿宋"/>
          <w:sz w:val="32"/>
          <w:szCs w:val="32"/>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1"/>
        <w:rPr>
          <w:rFonts w:hint="eastAsia" w:ascii="仿宋" w:hAnsi="仿宋" w:eastAsia="仿宋"/>
          <w:sz w:val="32"/>
          <w:szCs w:val="32"/>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1"/>
        <w:rPr>
          <w:rFonts w:hint="eastAsia" w:ascii="仿宋" w:hAnsi="仿宋" w:eastAsia="仿宋"/>
          <w:sz w:val="32"/>
          <w:szCs w:val="32"/>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1"/>
        <w:rPr>
          <w:rFonts w:hint="eastAsia" w:ascii="仿宋" w:hAnsi="仿宋" w:eastAsia="仿宋"/>
          <w:sz w:val="32"/>
          <w:szCs w:val="32"/>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1"/>
        <w:rPr>
          <w:rFonts w:hint="eastAsia" w:ascii="仿宋" w:hAnsi="仿宋" w:eastAsia="仿宋"/>
          <w:sz w:val="32"/>
          <w:szCs w:val="32"/>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center"/>
        <w:textAlignment w:val="auto"/>
        <w:outlineLvl w:val="1"/>
        <w:rPr>
          <w:rFonts w:hint="eastAsia" w:ascii="仿宋" w:hAnsi="仿宋" w:eastAsia="仿宋"/>
          <w:sz w:val="32"/>
          <w:szCs w:val="32"/>
          <w:lang w:eastAsia="zh-CN"/>
        </w:rPr>
      </w:pPr>
      <w:r>
        <w:rPr>
          <w:rFonts w:hint="eastAsia" w:eastAsia="仿宋"/>
          <w:lang w:eastAsia="zh-CN"/>
        </w:rPr>
        <w:drawing>
          <wp:anchor distT="0" distB="0" distL="114300" distR="114300" simplePos="0" relativeHeight="251658240" behindDoc="0" locked="0" layoutInCell="1" allowOverlap="1">
            <wp:simplePos x="0" y="0"/>
            <wp:positionH relativeFrom="column">
              <wp:posOffset>271145</wp:posOffset>
            </wp:positionH>
            <wp:positionV relativeFrom="paragraph">
              <wp:posOffset>-3519805</wp:posOffset>
            </wp:positionV>
            <wp:extent cx="5080000" cy="3810000"/>
            <wp:effectExtent l="4445" t="4445" r="20955" b="1460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0" w:name="_Toc15396604"/>
      <w:bookmarkStart w:id="21" w:name="_Toc15377206"/>
      <w:r>
        <w:rPr>
          <w:rFonts w:hint="eastAsia" w:ascii="Times New Roman" w:hAnsi="Times New Roman" w:eastAsia="黑体"/>
          <w:color w:val="auto"/>
          <w:sz w:val="32"/>
          <w:szCs w:val="32"/>
          <w:highlight w:val="none"/>
          <w:lang w:eastAsia="zh-CN"/>
        </w:rPr>
        <w:t>二、收入决算情况说明</w:t>
      </w:r>
      <w:bookmarkEnd w:id="20"/>
      <w:bookmarkEnd w:id="21"/>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8879.17万元，其中：一般公共预算财政拨款收入6937.83</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78.13</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1939.34</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21.84%</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0.02</w:t>
      </w:r>
      <w:r>
        <w:rPr>
          <w:rFonts w:hint="eastAsia" w:ascii="仿宋_GB2312" w:hAnsi="仿宋_GB2312" w:eastAsia="仿宋_GB2312" w:cs="仿宋_GB2312"/>
          <w:color w:val="auto"/>
          <w:sz w:val="32"/>
          <w:szCs w:val="32"/>
          <w:highlight w:val="none"/>
          <w:lang w:eastAsia="zh-CN"/>
        </w:rPr>
        <w:t>%。</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1"/>
        <w:rPr>
          <w:rFonts w:hint="eastAsia" w:ascii="仿宋_GB2312" w:hAnsi="仿宋_GB2312" w:eastAsia="仿宋_GB2312" w:cs="仿宋_GB2312"/>
          <w:color w:val="auto"/>
          <w:sz w:val="32"/>
          <w:szCs w:val="32"/>
          <w:highlight w:val="none"/>
          <w:lang w:eastAsia="zh-CN"/>
        </w:rPr>
      </w:pPr>
      <w:r>
        <w:rPr>
          <w:rFonts w:hint="eastAsia" w:ascii="仿宋" w:hAnsi="仿宋" w:eastAsia="仿宋"/>
          <w:sz w:val="32"/>
          <w:szCs w:val="32"/>
          <w:lang w:eastAsia="zh-CN"/>
        </w:rPr>
        <w:drawing>
          <wp:anchor distT="0" distB="0" distL="114300" distR="114300" simplePos="0" relativeHeight="251659264" behindDoc="0" locked="0" layoutInCell="1" allowOverlap="1">
            <wp:simplePos x="0" y="0"/>
            <wp:positionH relativeFrom="column">
              <wp:posOffset>142875</wp:posOffset>
            </wp:positionH>
            <wp:positionV relativeFrom="paragraph">
              <wp:posOffset>335280</wp:posOffset>
            </wp:positionV>
            <wp:extent cx="5080000" cy="3810000"/>
            <wp:effectExtent l="4445" t="4445" r="20955" b="1460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1"/>
        <w:rPr>
          <w:rFonts w:hint="eastAsia" w:ascii="仿宋_GB2312" w:hAnsi="仿宋_GB2312" w:eastAsia="仿宋_GB2312" w:cs="仿宋_GB2312"/>
          <w:color w:val="auto"/>
          <w:sz w:val="32"/>
          <w:szCs w:val="32"/>
          <w:highlight w:val="none"/>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1"/>
        <w:rPr>
          <w:rFonts w:hint="eastAsia" w:ascii="仿宋_GB2312" w:hAnsi="仿宋_GB2312" w:eastAsia="仿宋_GB2312" w:cs="仿宋_GB2312"/>
          <w:color w:val="auto"/>
          <w:sz w:val="32"/>
          <w:szCs w:val="32"/>
          <w:highlight w:val="none"/>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1"/>
        <w:rPr>
          <w:rFonts w:hint="eastAsia" w:ascii="仿宋_GB2312" w:hAnsi="仿宋_GB2312" w:eastAsia="仿宋_GB2312" w:cs="仿宋_GB2312"/>
          <w:color w:val="auto"/>
          <w:sz w:val="32"/>
          <w:szCs w:val="32"/>
          <w:highlight w:val="none"/>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1"/>
        <w:rPr>
          <w:rFonts w:hint="eastAsia" w:ascii="仿宋_GB2312" w:hAnsi="仿宋_GB2312" w:eastAsia="仿宋_GB2312" w:cs="仿宋_GB2312"/>
          <w:color w:val="auto"/>
          <w:sz w:val="32"/>
          <w:szCs w:val="32"/>
          <w:highlight w:val="none"/>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1"/>
        <w:rPr>
          <w:rFonts w:hint="eastAsia" w:ascii="仿宋_GB2312" w:hAnsi="仿宋_GB2312" w:eastAsia="仿宋_GB2312" w:cs="仿宋_GB2312"/>
          <w:color w:val="auto"/>
          <w:sz w:val="32"/>
          <w:szCs w:val="32"/>
          <w:highlight w:val="none"/>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1"/>
        <w:rPr>
          <w:rFonts w:hint="eastAsia" w:ascii="仿宋_GB2312" w:hAnsi="仿宋_GB2312" w:eastAsia="仿宋_GB2312" w:cs="仿宋_GB2312"/>
          <w:color w:val="auto"/>
          <w:sz w:val="32"/>
          <w:szCs w:val="32"/>
          <w:highlight w:val="none"/>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1"/>
        <w:rPr>
          <w:rFonts w:hint="eastAsia" w:ascii="仿宋_GB2312" w:hAnsi="仿宋_GB2312" w:eastAsia="仿宋_GB2312" w:cs="仿宋_GB2312"/>
          <w:color w:val="auto"/>
          <w:sz w:val="32"/>
          <w:szCs w:val="32"/>
          <w:highlight w:val="none"/>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1"/>
        <w:rPr>
          <w:rFonts w:hint="eastAsia" w:ascii="仿宋_GB2312" w:hAnsi="仿宋_GB2312" w:eastAsia="仿宋_GB2312" w:cs="仿宋_GB2312"/>
          <w:color w:val="auto"/>
          <w:sz w:val="32"/>
          <w:szCs w:val="32"/>
          <w:highlight w:val="none"/>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1"/>
        <w:rPr>
          <w:rFonts w:hint="eastAsia" w:ascii="仿宋_GB2312" w:hAnsi="仿宋_GB2312" w:eastAsia="仿宋_GB2312" w:cs="仿宋_GB2312"/>
          <w:color w:val="auto"/>
          <w:sz w:val="32"/>
          <w:szCs w:val="32"/>
          <w:highlight w:val="none"/>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1"/>
        <w:rPr>
          <w:rFonts w:hint="eastAsia" w:ascii="仿宋_GB2312" w:hAnsi="仿宋_GB2312" w:eastAsia="仿宋_GB2312" w:cs="仿宋_GB2312"/>
          <w:color w:val="auto"/>
          <w:sz w:val="32"/>
          <w:szCs w:val="32"/>
          <w:highlight w:val="none"/>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outlineLvl w:val="1"/>
        <w:rPr>
          <w:rFonts w:hint="eastAsia" w:ascii="仿宋_GB2312" w:hAnsi="仿宋_GB2312" w:eastAsia="仿宋_GB2312" w:cs="仿宋_GB2312"/>
          <w:color w:val="auto"/>
          <w:sz w:val="32"/>
          <w:szCs w:val="32"/>
          <w:highlight w:val="none"/>
          <w:lang w:eastAsia="zh-CN"/>
        </w:rPr>
      </w:pPr>
    </w:p>
    <w:p>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pPr>
        <w:ind w:firstLine="800" w:firstLineChars="250"/>
        <w:rPr>
          <w:rFonts w:hint="eastAsia" w:ascii="Times New Roman" w:hAnsi="Times New Roman" w:eastAsia="仿宋_GB2312" w:cs="仿宋_GB2312"/>
          <w:color w:val="auto"/>
          <w:sz w:val="32"/>
          <w:szCs w:val="32"/>
          <w:highlight w:val="none"/>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eastAsia" w:ascii="Times New Roman" w:hAnsi="Times New Roman" w:eastAsia="黑体"/>
          <w:b w:val="0"/>
          <w:color w:val="auto"/>
          <w:highlight w:val="none"/>
        </w:rPr>
      </w:pPr>
      <w:bookmarkStart w:id="22" w:name="_Toc15377207"/>
      <w:bookmarkStart w:id="23"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29"/>
          <w:rFonts w:hint="eastAsia" w:ascii="Times New Roman" w:hAnsi="Times New Roman" w:eastAsia="黑体"/>
          <w:b w:val="0"/>
          <w:color w:val="auto"/>
          <w:highlight w:val="none"/>
        </w:rPr>
        <w:t>出决算情况说明</w:t>
      </w:r>
      <w:bookmarkEnd w:id="22"/>
      <w:bookmarkEnd w:id="23"/>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8879.17</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4973.89</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56.01</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3905.28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43.98</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1"/>
        <w:rPr>
          <w:rFonts w:hint="eastAsia" w:ascii="仿宋_GB2312" w:hAnsi="仿宋_GB2312" w:eastAsia="仿宋_GB2312" w:cs="仿宋_GB2312"/>
          <w:color w:val="auto"/>
          <w:sz w:val="32"/>
          <w:szCs w:val="32"/>
          <w:highlight w:val="none"/>
          <w:lang w:eastAsia="zh-CN"/>
        </w:rPr>
      </w:pPr>
      <w:r>
        <w:rPr>
          <w:rFonts w:hint="eastAsia" w:ascii="仿宋" w:hAnsi="仿宋" w:eastAsia="仿宋"/>
          <w:sz w:val="32"/>
          <w:szCs w:val="32"/>
          <w:shd w:val="pct10" w:color="auto" w:fill="FFFFFF"/>
          <w:lang w:eastAsia="zh-CN"/>
        </w:rPr>
        <w:drawing>
          <wp:anchor distT="0" distB="0" distL="114300" distR="114300" simplePos="0" relativeHeight="251661312" behindDoc="0" locked="0" layoutInCell="1" allowOverlap="1">
            <wp:simplePos x="0" y="0"/>
            <wp:positionH relativeFrom="column">
              <wp:posOffset>266700</wp:posOffset>
            </wp:positionH>
            <wp:positionV relativeFrom="paragraph">
              <wp:posOffset>90170</wp:posOffset>
            </wp:positionV>
            <wp:extent cx="5103495" cy="2953385"/>
            <wp:effectExtent l="4445" t="4445" r="16510" b="1397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（图3：支出决算结构图）（饼状图）</w:t>
      </w:r>
    </w:p>
    <w:p>
      <w:pPr>
        <w:ind w:firstLine="800" w:firstLineChars="250"/>
        <w:rPr>
          <w:rFonts w:hint="eastAsia" w:ascii="Times New Roman" w:hAnsi="Times New Roman" w:eastAsia="仿宋_GB2312" w:cs="仿宋_GB2312"/>
          <w:color w:val="auto"/>
          <w:sz w:val="32"/>
          <w:szCs w:val="32"/>
          <w:highlight w:val="none"/>
          <w:lang w:eastAsia="zh-CN"/>
        </w:rPr>
      </w:pPr>
    </w:p>
    <w:p>
      <w:pPr>
        <w:spacing w:line="600" w:lineRule="exact"/>
        <w:ind w:firstLine="640" w:firstLineChars="200"/>
        <w:outlineLvl w:val="1"/>
        <w:rPr>
          <w:rStyle w:val="29"/>
          <w:rFonts w:ascii="Times New Roman" w:hAnsi="Times New Roman" w:eastAsia="黑体"/>
          <w:b w:val="0"/>
          <w:color w:val="auto"/>
          <w:highlight w:val="none"/>
        </w:rPr>
      </w:pPr>
      <w:bookmarkStart w:id="24" w:name="_Toc15377208"/>
      <w:bookmarkStart w:id="25" w:name="_Toc15396606"/>
      <w:r>
        <w:rPr>
          <w:rFonts w:hint="eastAsia" w:ascii="Times New Roman" w:hAnsi="Times New Roman" w:eastAsia="黑体"/>
          <w:color w:val="auto"/>
          <w:sz w:val="32"/>
          <w:szCs w:val="32"/>
          <w:highlight w:val="none"/>
        </w:rPr>
        <w:t>四、财</w:t>
      </w:r>
      <w:r>
        <w:rPr>
          <w:rStyle w:val="29"/>
          <w:rFonts w:hint="eastAsia" w:ascii="Times New Roman" w:hAnsi="Times New Roman" w:eastAsia="黑体"/>
          <w:b w:val="0"/>
          <w:color w:val="auto"/>
          <w:highlight w:val="none"/>
        </w:rPr>
        <w:t>政拨款收入支出决算总体情况说明</w:t>
      </w:r>
      <w:bookmarkEnd w:id="24"/>
      <w:bookmarkEnd w:id="25"/>
    </w:p>
    <w:p>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8877.17</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万元。与2023年度相比，财政拨款收入总计、支出总计各增加</w:t>
      </w:r>
      <w:r>
        <w:rPr>
          <w:rFonts w:hint="eastAsia" w:eastAsia="仿宋_GB2312" w:cs="仿宋_GB2312"/>
          <w:color w:val="auto"/>
          <w:kern w:val="2"/>
          <w:sz w:val="32"/>
          <w:szCs w:val="32"/>
          <w:highlight w:val="none"/>
          <w:lang w:val="en-US" w:eastAsia="zh-CN" w:bidi="ar-SA"/>
        </w:rPr>
        <w:t>2294.9</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34.87</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基础设施建设项目增加。</w:t>
      </w:r>
    </w:p>
    <w:p>
      <w:pPr>
        <w:pStyle w:val="2"/>
        <w:jc w:val="center"/>
        <w:rPr>
          <w:rFonts w:hint="eastAsia" w:eastAsia="仿宋_GB2312" w:cs="仿宋_GB2312"/>
          <w:color w:val="auto"/>
          <w:kern w:val="2"/>
          <w:sz w:val="32"/>
          <w:szCs w:val="32"/>
          <w:highlight w:val="none"/>
          <w:lang w:val="en-US" w:eastAsia="zh-CN" w:bidi="ar-SA"/>
        </w:rPr>
      </w:pPr>
      <w:r>
        <w:rPr>
          <w:rFonts w:hint="eastAsia" w:ascii="仿宋" w:hAnsi="仿宋" w:eastAsia="仿宋"/>
          <w:sz w:val="32"/>
          <w:szCs w:val="32"/>
          <w:lang w:eastAsia="zh-CN"/>
        </w:rPr>
        <w:drawing>
          <wp:anchor distT="0" distB="0" distL="114300" distR="114300" simplePos="0" relativeHeight="251664384" behindDoc="0" locked="0" layoutInCell="1" allowOverlap="1">
            <wp:simplePos x="0" y="0"/>
            <wp:positionH relativeFrom="column">
              <wp:posOffset>1123315</wp:posOffset>
            </wp:positionH>
            <wp:positionV relativeFrom="paragraph">
              <wp:posOffset>109855</wp:posOffset>
            </wp:positionV>
            <wp:extent cx="3343275" cy="2108835"/>
            <wp:effectExtent l="4445" t="4445" r="5080" b="20320"/>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
        <w:jc w:val="center"/>
        <w:rPr>
          <w:rFonts w:hint="eastAsia" w:eastAsia="仿宋_GB2312" w:cs="仿宋_GB2312"/>
          <w:color w:val="auto"/>
          <w:kern w:val="2"/>
          <w:sz w:val="32"/>
          <w:szCs w:val="32"/>
          <w:highlight w:val="none"/>
          <w:lang w:val="en-US" w:eastAsia="zh-CN" w:bidi="ar-SA"/>
        </w:rPr>
      </w:pPr>
    </w:p>
    <w:p>
      <w:pPr>
        <w:pStyle w:val="2"/>
        <w:jc w:val="center"/>
        <w:rPr>
          <w:rFonts w:hint="eastAsia" w:eastAsia="仿宋_GB2312" w:cs="仿宋_GB2312"/>
          <w:color w:val="auto"/>
          <w:kern w:val="2"/>
          <w:sz w:val="32"/>
          <w:szCs w:val="32"/>
          <w:highlight w:val="none"/>
          <w:lang w:val="en-US" w:eastAsia="zh-CN" w:bidi="ar-SA"/>
        </w:rPr>
      </w:pPr>
    </w:p>
    <w:p>
      <w:pPr>
        <w:pStyle w:val="2"/>
        <w:jc w:val="center"/>
        <w:rPr>
          <w:rFonts w:hint="eastAsia" w:eastAsia="仿宋_GB2312" w:cs="仿宋_GB2312"/>
          <w:color w:val="auto"/>
          <w:kern w:val="2"/>
          <w:sz w:val="32"/>
          <w:szCs w:val="32"/>
          <w:highlight w:val="none"/>
          <w:lang w:val="en-US" w:eastAsia="zh-CN" w:bidi="ar-SA"/>
        </w:rPr>
      </w:pPr>
    </w:p>
    <w:p>
      <w:pPr>
        <w:pStyle w:val="2"/>
        <w:jc w:val="center"/>
        <w:rPr>
          <w:rFonts w:hint="eastAsia" w:eastAsia="仿宋_GB2312" w:cs="仿宋_GB2312"/>
          <w:color w:val="auto"/>
          <w:kern w:val="2"/>
          <w:sz w:val="32"/>
          <w:szCs w:val="32"/>
          <w:highlight w:val="none"/>
          <w:lang w:val="en-US" w:eastAsia="zh-CN" w:bidi="ar-SA"/>
        </w:rPr>
      </w:pPr>
    </w:p>
    <w:p>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pPr>
        <w:spacing w:line="600" w:lineRule="exact"/>
        <w:ind w:firstLine="640" w:firstLineChars="200"/>
        <w:outlineLvl w:val="1"/>
        <w:rPr>
          <w:rStyle w:val="29"/>
          <w:rFonts w:ascii="Times New Roman" w:hAnsi="Times New Roman" w:eastAsia="黑体"/>
          <w:b w:val="0"/>
          <w:color w:val="auto"/>
          <w:highlight w:val="none"/>
        </w:rPr>
      </w:pPr>
      <w:bookmarkStart w:id="26" w:name="_Toc15396607"/>
      <w:bookmarkStart w:id="27" w:name="_Toc15377209"/>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般公共预算财政拨款支出决算情况说明</w:t>
      </w:r>
      <w:bookmarkEnd w:id="26"/>
      <w:bookmarkEnd w:id="27"/>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8"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8"/>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6937.83</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78.13</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%。与2023年度相比，一般公共预算财政拨款支出增加854.4万元，增长14.04%。主要变动原因是项目增加，一般公共预算增加。</w:t>
      </w:r>
    </w:p>
    <w:p>
      <w:pPr>
        <w:pStyle w:val="2"/>
        <w:jc w:val="center"/>
        <w:rPr>
          <w:rFonts w:hint="eastAsia" w:ascii="仿宋_GB2312" w:hAnsi="仿宋_GB2312" w:eastAsia="仿宋_GB2312" w:cs="仿宋_GB2312"/>
          <w:color w:val="auto"/>
          <w:kern w:val="2"/>
          <w:sz w:val="32"/>
          <w:szCs w:val="32"/>
          <w:highlight w:val="none"/>
          <w:lang w:val="en-US" w:eastAsia="zh-CN" w:bidi="ar-SA"/>
        </w:rPr>
      </w:pPr>
      <w:r>
        <w:rPr>
          <w:rFonts w:hint="eastAsia" w:ascii="仿宋" w:hAnsi="仿宋" w:eastAsia="仿宋"/>
          <w:sz w:val="32"/>
          <w:szCs w:val="32"/>
          <w:lang w:eastAsia="zh-CN"/>
        </w:rPr>
        <w:drawing>
          <wp:anchor distT="0" distB="0" distL="114300" distR="114300" simplePos="0" relativeHeight="251668480" behindDoc="0" locked="0" layoutInCell="1" allowOverlap="1">
            <wp:simplePos x="0" y="0"/>
            <wp:positionH relativeFrom="column">
              <wp:posOffset>327025</wp:posOffset>
            </wp:positionH>
            <wp:positionV relativeFrom="paragraph">
              <wp:posOffset>304800</wp:posOffset>
            </wp:positionV>
            <wp:extent cx="4519930" cy="3274695"/>
            <wp:effectExtent l="4445" t="5080" r="9525" b="15875"/>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2"/>
        <w:jc w:val="center"/>
        <w:rPr>
          <w:rFonts w:hint="eastAsia" w:ascii="仿宋_GB2312" w:hAnsi="仿宋_GB2312" w:eastAsia="仿宋_GB2312" w:cs="仿宋_GB2312"/>
          <w:color w:val="auto"/>
          <w:kern w:val="2"/>
          <w:sz w:val="32"/>
          <w:szCs w:val="32"/>
          <w:highlight w:val="none"/>
          <w:lang w:val="en-US" w:eastAsia="zh-CN" w:bidi="ar-SA"/>
        </w:rPr>
      </w:pPr>
    </w:p>
    <w:p>
      <w:pPr>
        <w:pStyle w:val="2"/>
        <w:jc w:val="center"/>
        <w:rPr>
          <w:rFonts w:hint="eastAsia" w:ascii="仿宋_GB2312" w:hAnsi="仿宋_GB2312" w:eastAsia="仿宋_GB2312" w:cs="仿宋_GB2312"/>
          <w:color w:val="auto"/>
          <w:kern w:val="2"/>
          <w:sz w:val="32"/>
          <w:szCs w:val="32"/>
          <w:highlight w:val="none"/>
          <w:lang w:val="en-US" w:eastAsia="zh-CN" w:bidi="ar-SA"/>
        </w:rPr>
      </w:pPr>
    </w:p>
    <w:p>
      <w:pPr>
        <w:pStyle w:val="2"/>
        <w:jc w:val="center"/>
        <w:rPr>
          <w:rFonts w:hint="eastAsia" w:ascii="仿宋_GB2312" w:hAnsi="仿宋_GB2312" w:eastAsia="仿宋_GB2312" w:cs="仿宋_GB2312"/>
          <w:color w:val="auto"/>
          <w:kern w:val="2"/>
          <w:sz w:val="32"/>
          <w:szCs w:val="32"/>
          <w:highlight w:val="none"/>
          <w:lang w:val="en-US" w:eastAsia="zh-CN" w:bidi="ar-SA"/>
        </w:rPr>
      </w:pPr>
    </w:p>
    <w:p>
      <w:pPr>
        <w:pStyle w:val="2"/>
        <w:jc w:val="center"/>
        <w:rPr>
          <w:rFonts w:hint="eastAsia" w:ascii="仿宋_GB2312" w:hAnsi="仿宋_GB2312" w:eastAsia="仿宋_GB2312" w:cs="仿宋_GB2312"/>
          <w:color w:val="auto"/>
          <w:kern w:val="2"/>
          <w:sz w:val="32"/>
          <w:szCs w:val="32"/>
          <w:highlight w:val="none"/>
          <w:lang w:val="en-US" w:eastAsia="zh-CN" w:bidi="ar-SA"/>
        </w:rPr>
      </w:pPr>
    </w:p>
    <w:p>
      <w:pPr>
        <w:pStyle w:val="2"/>
        <w:jc w:val="center"/>
        <w:rPr>
          <w:rFonts w:hint="eastAsia" w:ascii="仿宋_GB2312" w:hAnsi="仿宋_GB2312" w:eastAsia="仿宋_GB2312" w:cs="仿宋_GB2312"/>
          <w:color w:val="auto"/>
          <w:kern w:val="2"/>
          <w:sz w:val="32"/>
          <w:szCs w:val="32"/>
          <w:highlight w:val="none"/>
          <w:lang w:val="en-US" w:eastAsia="zh-CN" w:bidi="ar-SA"/>
        </w:rPr>
      </w:pPr>
    </w:p>
    <w:p>
      <w:pPr>
        <w:pStyle w:val="2"/>
        <w:jc w:val="center"/>
        <w:rPr>
          <w:rFonts w:hint="eastAsia" w:ascii="仿宋_GB2312" w:hAnsi="仿宋_GB2312" w:eastAsia="仿宋_GB2312" w:cs="仿宋_GB2312"/>
          <w:color w:val="auto"/>
          <w:kern w:val="2"/>
          <w:sz w:val="32"/>
          <w:szCs w:val="32"/>
          <w:highlight w:val="none"/>
          <w:lang w:val="en-US" w:eastAsia="zh-CN" w:bidi="ar-SA"/>
        </w:rPr>
      </w:pPr>
    </w:p>
    <w:p>
      <w:pPr>
        <w:pStyle w:val="2"/>
        <w:jc w:val="center"/>
        <w:rPr>
          <w:rFonts w:hint="eastAsia" w:ascii="仿宋_GB2312" w:hAnsi="仿宋_GB2312" w:eastAsia="仿宋_GB2312" w:cs="仿宋_GB2312"/>
          <w:color w:val="auto"/>
          <w:kern w:val="2"/>
          <w:sz w:val="32"/>
          <w:szCs w:val="32"/>
          <w:highlight w:val="none"/>
          <w:lang w:val="en-US" w:eastAsia="zh-CN" w:bidi="ar-SA"/>
        </w:rPr>
      </w:pPr>
    </w:p>
    <w:p>
      <w:pPr>
        <w:pStyle w:val="2"/>
        <w:jc w:val="center"/>
        <w:rPr>
          <w:rFonts w:hint="default" w:ascii="仿宋_GB2312" w:hAnsi="仿宋_GB2312"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9"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9"/>
    </w:p>
    <w:p>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6937.83</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：公共安全</w:t>
      </w:r>
      <w:r>
        <w:rPr>
          <w:rFonts w:hint="eastAsia" w:ascii="Times New Roman" w:hAnsi="Times New Roman" w:eastAsia="仿宋_GB2312" w:cs="仿宋_GB2312"/>
          <w:color w:val="auto"/>
          <w:kern w:val="2"/>
          <w:sz w:val="32"/>
          <w:szCs w:val="32"/>
          <w:highlight w:val="none"/>
          <w:lang w:val="en-US" w:eastAsia="zh-CN" w:bidi="ar-SA"/>
        </w:rPr>
        <w:t>支出</w:t>
      </w:r>
      <w:r>
        <w:rPr>
          <w:rFonts w:hint="eastAsia" w:eastAsia="仿宋_GB2312" w:cs="仿宋_GB2312"/>
          <w:color w:val="auto"/>
          <w:kern w:val="2"/>
          <w:sz w:val="32"/>
          <w:szCs w:val="32"/>
          <w:highlight w:val="none"/>
          <w:lang w:val="en-US" w:eastAsia="zh-CN" w:bidi="ar-SA"/>
        </w:rPr>
        <w:t>6120.88</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88.22</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422.08</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6.08</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135.83</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1.96</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259.02</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3.73</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pStyle w:val="2"/>
        <w:jc w:val="center"/>
        <w:rPr>
          <w:rFonts w:hint="eastAsia" w:eastAsia="仿宋_GB2312" w:cs="仿宋_GB2312"/>
          <w:color w:val="auto"/>
          <w:kern w:val="2"/>
          <w:sz w:val="32"/>
          <w:szCs w:val="32"/>
          <w:highlight w:val="none"/>
          <w:lang w:val="en-US" w:eastAsia="zh-CN" w:bidi="ar-SA"/>
        </w:rPr>
      </w:pPr>
      <w:r>
        <w:rPr>
          <w:rFonts w:hint="eastAsia" w:ascii="仿宋" w:hAnsi="仿宋" w:eastAsia="仿宋"/>
          <w:sz w:val="32"/>
          <w:szCs w:val="32"/>
          <w:lang w:eastAsia="zh-CN"/>
        </w:rPr>
        <w:drawing>
          <wp:anchor distT="0" distB="0" distL="114300" distR="114300" simplePos="0" relativeHeight="251673600" behindDoc="0" locked="0" layoutInCell="1" allowOverlap="1">
            <wp:simplePos x="0" y="0"/>
            <wp:positionH relativeFrom="column">
              <wp:posOffset>179070</wp:posOffset>
            </wp:positionH>
            <wp:positionV relativeFrom="paragraph">
              <wp:posOffset>228600</wp:posOffset>
            </wp:positionV>
            <wp:extent cx="5080000" cy="3810000"/>
            <wp:effectExtent l="4445" t="4445" r="20955" b="14605"/>
            <wp:wrapNone/>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pStyle w:val="2"/>
        <w:jc w:val="center"/>
        <w:rPr>
          <w:rFonts w:hint="eastAsia" w:eastAsia="仿宋_GB2312" w:cs="仿宋_GB2312"/>
          <w:color w:val="auto"/>
          <w:kern w:val="2"/>
          <w:sz w:val="32"/>
          <w:szCs w:val="32"/>
          <w:highlight w:val="none"/>
          <w:lang w:val="en-US" w:eastAsia="zh-CN" w:bidi="ar-SA"/>
        </w:rPr>
      </w:pPr>
    </w:p>
    <w:p>
      <w:pPr>
        <w:pStyle w:val="2"/>
        <w:jc w:val="center"/>
        <w:rPr>
          <w:rFonts w:hint="eastAsia" w:eastAsia="仿宋_GB2312" w:cs="仿宋_GB2312"/>
          <w:color w:val="auto"/>
          <w:kern w:val="2"/>
          <w:sz w:val="32"/>
          <w:szCs w:val="32"/>
          <w:highlight w:val="none"/>
          <w:lang w:val="en-US" w:eastAsia="zh-CN" w:bidi="ar-SA"/>
        </w:rPr>
      </w:pPr>
    </w:p>
    <w:p>
      <w:pPr>
        <w:pStyle w:val="2"/>
        <w:jc w:val="center"/>
        <w:rPr>
          <w:rFonts w:hint="eastAsia" w:eastAsia="仿宋_GB2312" w:cs="仿宋_GB2312"/>
          <w:color w:val="auto"/>
          <w:kern w:val="2"/>
          <w:sz w:val="32"/>
          <w:szCs w:val="32"/>
          <w:highlight w:val="none"/>
          <w:lang w:val="en-US" w:eastAsia="zh-CN" w:bidi="ar-SA"/>
        </w:rPr>
      </w:pPr>
    </w:p>
    <w:p>
      <w:pPr>
        <w:pStyle w:val="2"/>
        <w:jc w:val="center"/>
        <w:rPr>
          <w:rFonts w:hint="eastAsia" w:eastAsia="仿宋_GB2312" w:cs="仿宋_GB2312"/>
          <w:color w:val="auto"/>
          <w:kern w:val="2"/>
          <w:sz w:val="32"/>
          <w:szCs w:val="32"/>
          <w:highlight w:val="none"/>
          <w:lang w:val="en-US" w:eastAsia="zh-CN" w:bidi="ar-SA"/>
        </w:rPr>
      </w:pPr>
    </w:p>
    <w:p>
      <w:pPr>
        <w:pStyle w:val="2"/>
        <w:jc w:val="center"/>
        <w:rPr>
          <w:rFonts w:hint="eastAsia" w:eastAsia="仿宋_GB2312" w:cs="仿宋_GB2312"/>
          <w:color w:val="auto"/>
          <w:kern w:val="2"/>
          <w:sz w:val="32"/>
          <w:szCs w:val="32"/>
          <w:highlight w:val="none"/>
          <w:lang w:val="en-US" w:eastAsia="zh-CN" w:bidi="ar-SA"/>
        </w:rPr>
      </w:pPr>
    </w:p>
    <w:p>
      <w:pPr>
        <w:pStyle w:val="2"/>
        <w:jc w:val="center"/>
        <w:rPr>
          <w:rFonts w:hint="eastAsia" w:eastAsia="仿宋_GB2312" w:cs="仿宋_GB2312"/>
          <w:color w:val="auto"/>
          <w:kern w:val="2"/>
          <w:sz w:val="32"/>
          <w:szCs w:val="32"/>
          <w:highlight w:val="none"/>
          <w:lang w:val="en-US" w:eastAsia="zh-CN" w:bidi="ar-SA"/>
        </w:rPr>
      </w:pPr>
    </w:p>
    <w:p>
      <w:pPr>
        <w:pStyle w:val="2"/>
        <w:jc w:val="center"/>
        <w:rPr>
          <w:rFonts w:hint="eastAsia" w:eastAsia="仿宋_GB2312" w:cs="仿宋_GB2312"/>
          <w:color w:val="auto"/>
          <w:kern w:val="2"/>
          <w:sz w:val="32"/>
          <w:szCs w:val="32"/>
          <w:highlight w:val="none"/>
          <w:lang w:val="en-US" w:eastAsia="zh-CN" w:bidi="ar-SA"/>
        </w:rPr>
      </w:pPr>
    </w:p>
    <w:p>
      <w:pPr>
        <w:pStyle w:val="2"/>
        <w:jc w:val="center"/>
        <w:rPr>
          <w:rFonts w:hint="eastAsia"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0"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0"/>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1" w:name="_Toc15377444"/>
      <w:bookmarkStart w:id="32" w:name="_Toc15378460"/>
      <w:bookmarkStart w:id="33" w:name="_Toc15377213"/>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6937.83</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31"/>
      <w:bookmarkEnd w:id="32"/>
      <w:bookmarkEnd w:id="33"/>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公共</w:t>
      </w:r>
      <w:r>
        <w:rPr>
          <w:rFonts w:hint="eastAsia" w:eastAsia="仿宋_GB2312" w:cs="仿宋_GB2312"/>
          <w:color w:val="auto"/>
          <w:kern w:val="2"/>
          <w:sz w:val="32"/>
          <w:szCs w:val="32"/>
          <w:highlight w:val="none"/>
          <w:lang w:val="en-US" w:eastAsia="zh-CN" w:bidi="ar-SA"/>
        </w:rPr>
        <w:t>安全支出：</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6120.88</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.社会保障和就业</w:t>
      </w:r>
      <w:r>
        <w:rPr>
          <w:rFonts w:hint="eastAsia" w:eastAsia="仿宋_GB2312" w:cs="仿宋_GB2312"/>
          <w:color w:val="auto"/>
          <w:kern w:val="2"/>
          <w:sz w:val="32"/>
          <w:szCs w:val="32"/>
          <w:highlight w:val="none"/>
          <w:lang w:val="en-US" w:eastAsia="zh-CN" w:bidi="ar-SA"/>
        </w:rPr>
        <w:t>支出：</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422.08</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.卫生健康</w:t>
      </w:r>
      <w:r>
        <w:rPr>
          <w:rFonts w:hint="eastAsia" w:eastAsia="仿宋_GB2312" w:cs="仿宋_GB2312"/>
          <w:color w:val="auto"/>
          <w:kern w:val="2"/>
          <w:sz w:val="32"/>
          <w:szCs w:val="32"/>
          <w:highlight w:val="none"/>
          <w:lang w:val="en-US" w:eastAsia="zh-CN" w:bidi="ar-SA"/>
        </w:rPr>
        <w:t>支出：</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135.83</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住房保障支出：</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259.02</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tabs>
          <w:tab w:val="right" w:pos="8306"/>
        </w:tabs>
        <w:spacing w:line="600" w:lineRule="exact"/>
        <w:ind w:firstLine="640"/>
        <w:outlineLvl w:val="1"/>
        <w:rPr>
          <w:rStyle w:val="29"/>
          <w:rFonts w:ascii="Times New Roman" w:hAnsi="Times New Roman"/>
          <w:color w:val="auto"/>
          <w:highlight w:val="none"/>
        </w:rPr>
      </w:pPr>
      <w:bookmarkStart w:id="34" w:name="_Toc15396608"/>
      <w:bookmarkStart w:id="35" w:name="_Toc15377214"/>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般公共预算财政拨款基本支出决算情况说明</w:t>
      </w:r>
      <w:bookmarkEnd w:id="34"/>
      <w:bookmarkEnd w:id="35"/>
      <w:r>
        <w:rPr>
          <w:rStyle w:val="29"/>
          <w:rFonts w:ascii="Times New Roman" w:hAnsi="Times New Roman" w:eastAsia="黑体"/>
          <w:b w:val="0"/>
          <w:color w:val="auto"/>
          <w:highlight w:val="none"/>
        </w:rPr>
        <w:tab/>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4973.89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4393.92</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579.98</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outlineLvl w:val="1"/>
        <w:rPr>
          <w:rStyle w:val="29"/>
          <w:rFonts w:ascii="Times New Roman" w:hAnsi="Times New Roman" w:eastAsia="黑体"/>
          <w:b w:val="0"/>
          <w:color w:val="auto"/>
          <w:highlight w:val="none"/>
        </w:rPr>
      </w:pPr>
      <w:bookmarkStart w:id="36" w:name="_Toc15396609"/>
      <w:bookmarkStart w:id="37" w:name="_Toc15377215"/>
      <w:r>
        <w:rPr>
          <w:rFonts w:hint="eastAsia" w:ascii="Times New Roman" w:hAnsi="Times New Roman" w:eastAsia="黑体"/>
          <w:color w:val="auto"/>
          <w:sz w:val="32"/>
          <w:szCs w:val="32"/>
          <w:highlight w:val="none"/>
        </w:rPr>
        <w:t>七、</w:t>
      </w:r>
      <w:r>
        <w:rPr>
          <w:rStyle w:val="29"/>
          <w:rFonts w:hint="eastAsia" w:ascii="Times New Roman" w:hAnsi="Times New Roman" w:eastAsia="黑体"/>
          <w:b w:val="0"/>
          <w:color w:val="auto"/>
          <w:highlight w:val="none"/>
        </w:rPr>
        <w:t>财政拨款</w:t>
      </w:r>
      <w:r>
        <w:rPr>
          <w:rStyle w:val="29"/>
          <w:rFonts w:hint="eastAsia" w:ascii="Times New Roman" w:hAnsi="Times New Roman" w:eastAsia="黑体"/>
          <w:color w:val="auto"/>
          <w:highlight w:val="none"/>
        </w:rPr>
        <w:t>“</w:t>
      </w:r>
      <w:r>
        <w:rPr>
          <w:rStyle w:val="29"/>
          <w:rFonts w:hint="eastAsia" w:ascii="Times New Roman" w:hAnsi="Times New Roman" w:eastAsia="黑体"/>
          <w:b w:val="0"/>
          <w:color w:val="auto"/>
          <w:highlight w:val="none"/>
        </w:rPr>
        <w:t>三公”经费支出决算情况说明</w:t>
      </w:r>
      <w:bookmarkEnd w:id="36"/>
      <w:bookmarkEnd w:id="37"/>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8"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8"/>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29</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与上年持平。</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9"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39"/>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25</w:t>
      </w:r>
      <w:r>
        <w:rPr>
          <w:rFonts w:hint="eastAsia" w:ascii="仿宋_GB2312" w:hAnsi="仿宋_GB2312" w:eastAsia="仿宋_GB2312" w:cs="仿宋_GB2312"/>
          <w:color w:val="auto"/>
          <w:kern w:val="2"/>
          <w:sz w:val="32"/>
          <w:szCs w:val="32"/>
          <w:highlight w:val="none"/>
          <w:lang w:val="en-US" w:eastAsia="zh-CN" w:bidi="ar-SA"/>
        </w:rPr>
        <w:t>万元，占86.21%；公务接待费支出决算</w:t>
      </w:r>
      <w:r>
        <w:rPr>
          <w:rFonts w:hint="eastAsia" w:ascii="仿宋_GB2312" w:hAnsi="仿宋_GB2312" w:eastAsia="仿宋_GB2312" w:cs="仿宋_GB2312"/>
          <w:sz w:val="32"/>
          <w:szCs w:val="32"/>
        </w:rPr>
        <w:t>4</w:t>
      </w:r>
      <w:r>
        <w:rPr>
          <w:rFonts w:hint="eastAsia" w:ascii="仿宋_GB2312" w:hAnsi="仿宋_GB2312" w:eastAsia="仿宋_GB2312" w:cs="仿宋_GB2312"/>
          <w:color w:val="auto"/>
          <w:kern w:val="2"/>
          <w:sz w:val="32"/>
          <w:szCs w:val="32"/>
          <w:highlight w:val="none"/>
          <w:lang w:val="en-US" w:eastAsia="zh-CN" w:bidi="ar-SA"/>
        </w:rPr>
        <w:t>万元，占13.79%。具体情况如下：</w:t>
      </w:r>
    </w:p>
    <w:p>
      <w:pPr>
        <w:pStyle w:val="2"/>
        <w:jc w:val="center"/>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sz w:val="32"/>
          <w:szCs w:val="32"/>
          <w:lang w:eastAsia="zh-CN"/>
        </w:rPr>
        <w:drawing>
          <wp:anchor distT="0" distB="0" distL="114300" distR="114300" simplePos="0" relativeHeight="251679744" behindDoc="0" locked="0" layoutInCell="1" allowOverlap="1">
            <wp:simplePos x="0" y="0"/>
            <wp:positionH relativeFrom="column">
              <wp:posOffset>171450</wp:posOffset>
            </wp:positionH>
            <wp:positionV relativeFrom="paragraph">
              <wp:posOffset>304165</wp:posOffset>
            </wp:positionV>
            <wp:extent cx="5080000" cy="3810000"/>
            <wp:effectExtent l="4445" t="4445" r="20955" b="14605"/>
            <wp:wrapSquare wrapText="bothSides"/>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w:t>
      </w:r>
      <w:r>
        <w:rPr>
          <w:rFonts w:hint="eastAsia" w:eastAsia="仿宋_GB2312" w:cs="仿宋_GB2312"/>
          <w:color w:val="auto"/>
          <w:kern w:val="2"/>
          <w:sz w:val="32"/>
          <w:szCs w:val="32"/>
          <w:highlight w:val="none"/>
          <w:lang w:val="en-US" w:eastAsia="zh-CN" w:bidi="ar-SA"/>
        </w:rPr>
        <w:t>与</w:t>
      </w:r>
      <w:r>
        <w:rPr>
          <w:rFonts w:hint="eastAsia" w:ascii="Times New Roman" w:hAnsi="Times New Roman" w:eastAsia="仿宋_GB2312" w:cs="仿宋_GB2312"/>
          <w:color w:val="auto"/>
          <w:kern w:val="2"/>
          <w:sz w:val="32"/>
          <w:szCs w:val="32"/>
          <w:highlight w:val="none"/>
          <w:lang w:val="en-US" w:eastAsia="zh-CN" w:bidi="ar-SA"/>
        </w:rPr>
        <w:t>2023年</w:t>
      </w:r>
      <w:r>
        <w:rPr>
          <w:rFonts w:hint="eastAsia" w:eastAsia="仿宋_GB2312" w:cs="仿宋_GB2312"/>
          <w:color w:val="auto"/>
          <w:kern w:val="2"/>
          <w:sz w:val="32"/>
          <w:szCs w:val="32"/>
          <w:highlight w:val="none"/>
          <w:lang w:val="en-US" w:eastAsia="zh-CN" w:bidi="ar-SA"/>
        </w:rPr>
        <w:t>持平。</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25万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w:t>
      </w:r>
      <w:r>
        <w:rPr>
          <w:rFonts w:hint="eastAsia" w:eastAsia="仿宋_GB2312" w:cs="仿宋_GB2312"/>
          <w:color w:val="auto"/>
          <w:kern w:val="2"/>
          <w:sz w:val="32"/>
          <w:szCs w:val="32"/>
          <w:highlight w:val="none"/>
          <w:lang w:val="en-US" w:eastAsia="zh-CN" w:bidi="ar-SA"/>
        </w:rPr>
        <w:t>与</w:t>
      </w:r>
      <w:r>
        <w:rPr>
          <w:rFonts w:hint="eastAsia" w:ascii="Times New Roman" w:hAnsi="Times New Roman" w:eastAsia="仿宋_GB2312" w:cs="仿宋_GB2312"/>
          <w:color w:val="auto"/>
          <w:kern w:val="2"/>
          <w:sz w:val="32"/>
          <w:szCs w:val="32"/>
          <w:highlight w:val="none"/>
          <w:lang w:val="en-US" w:eastAsia="zh-CN" w:bidi="ar-SA"/>
        </w:rPr>
        <w:t>2023年度</w:t>
      </w:r>
      <w:r>
        <w:rPr>
          <w:rFonts w:hint="eastAsia" w:eastAsia="仿宋_GB2312" w:cs="仿宋_GB2312"/>
          <w:color w:val="auto"/>
          <w:kern w:val="2"/>
          <w:sz w:val="32"/>
          <w:szCs w:val="32"/>
          <w:highlight w:val="none"/>
          <w:lang w:val="en-US" w:eastAsia="zh-CN" w:bidi="ar-SA"/>
        </w:rPr>
        <w:t>持平。</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辆，截至2024年12月31日，单位共有公务用车</w:t>
      </w:r>
      <w:r>
        <w:rPr>
          <w:rFonts w:hint="eastAsia" w:eastAsia="仿宋_GB2312" w:cs="仿宋_GB2312"/>
          <w:color w:val="auto"/>
          <w:kern w:val="2"/>
          <w:sz w:val="32"/>
          <w:szCs w:val="32"/>
          <w:highlight w:val="none"/>
          <w:lang w:val="en-US" w:eastAsia="zh-CN" w:bidi="ar-SA"/>
        </w:rPr>
        <w:t>39</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33</w:t>
      </w:r>
      <w:r>
        <w:rPr>
          <w:rFonts w:hint="eastAsia" w:ascii="Times New Roman" w:hAnsi="Times New Roman" w:eastAsia="仿宋_GB2312" w:cs="仿宋_GB2312"/>
          <w:color w:val="auto"/>
          <w:kern w:val="2"/>
          <w:sz w:val="32"/>
          <w:szCs w:val="32"/>
          <w:highlight w:val="none"/>
          <w:lang w:val="en-US" w:eastAsia="zh-CN" w:bidi="ar-SA"/>
        </w:rPr>
        <w:t>辆、越野车</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辆、载客汽车</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辆。</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25</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ascii="仿宋_GB2312" w:eastAsia="仿宋_GB2312"/>
          <w:sz w:val="32"/>
          <w:szCs w:val="32"/>
          <w:lang w:val="en-US" w:eastAsia="zh-CN"/>
        </w:rPr>
        <w:t>驻村下乡，外单位开会，市内出差</w:t>
      </w:r>
      <w:r>
        <w:rPr>
          <w:rFonts w:hint="eastAsia" w:ascii="仿宋_GB2312" w:eastAsia="仿宋_GB2312"/>
          <w:sz w:val="32"/>
          <w:szCs w:val="32"/>
        </w:rPr>
        <w:t>等</w:t>
      </w:r>
      <w:r>
        <w:rPr>
          <w:rFonts w:hint="eastAsia" w:ascii="Times New Roman" w:hAnsi="Times New Roman" w:eastAsia="仿宋_GB2312" w:cs="仿宋_GB2312"/>
          <w:color w:val="auto"/>
          <w:kern w:val="2"/>
          <w:sz w:val="32"/>
          <w:szCs w:val="32"/>
          <w:highlight w:val="none"/>
          <w:lang w:val="en-US" w:eastAsia="zh-CN" w:bidi="ar-SA"/>
        </w:rPr>
        <w:t>所需的公务用车燃料费、维修费、过路过桥费、保险费等支出。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4万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w:t>
      </w:r>
      <w:r>
        <w:rPr>
          <w:rFonts w:hint="eastAsia" w:eastAsia="仿宋_GB2312" w:cs="仿宋_GB2312"/>
          <w:color w:val="auto"/>
          <w:kern w:val="2"/>
          <w:sz w:val="32"/>
          <w:szCs w:val="32"/>
          <w:highlight w:val="none"/>
          <w:lang w:val="en-US" w:eastAsia="zh-CN" w:bidi="ar-SA"/>
        </w:rPr>
        <w:t>持平</w:t>
      </w:r>
      <w:r>
        <w:rPr>
          <w:rFonts w:hint="eastAsia" w:ascii="Times New Roman" w:hAnsi="Times New Roman" w:eastAsia="仿宋_GB2312" w:cs="仿宋_GB2312"/>
          <w:color w:val="auto"/>
          <w:kern w:val="2"/>
          <w:sz w:val="32"/>
          <w:szCs w:val="32"/>
          <w:highlight w:val="none"/>
          <w:lang w:val="en-US" w:eastAsia="zh-CN" w:bidi="ar-SA"/>
        </w:rPr>
        <w:t>。其中：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4</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元，主要用于</w:t>
      </w:r>
      <w:r>
        <w:rPr>
          <w:rFonts w:hint="eastAsia" w:ascii="仿宋_GB2312" w:eastAsia="仿宋_GB2312"/>
          <w:sz w:val="32"/>
          <w:szCs w:val="32"/>
        </w:rPr>
        <w:t>执行公务、开展业务活动开支的交通费、住宿费、用餐费等。国内公务接待</w:t>
      </w:r>
      <w:r>
        <w:rPr>
          <w:rFonts w:hint="eastAsia" w:ascii="仿宋_GB2312" w:eastAsia="仿宋_GB2312"/>
          <w:sz w:val="32"/>
          <w:szCs w:val="32"/>
          <w:lang w:val="en-US" w:eastAsia="zh-CN"/>
        </w:rPr>
        <w:t>124</w:t>
      </w:r>
      <w:r>
        <w:rPr>
          <w:rFonts w:hint="eastAsia" w:ascii="仿宋_GB2312" w:eastAsia="仿宋_GB2312"/>
          <w:sz w:val="32"/>
          <w:szCs w:val="32"/>
        </w:rPr>
        <w:t>批次，</w:t>
      </w:r>
      <w:r>
        <w:rPr>
          <w:rFonts w:hint="eastAsia" w:ascii="仿宋_GB2312" w:eastAsia="仿宋_GB2312"/>
          <w:sz w:val="32"/>
          <w:szCs w:val="32"/>
          <w:lang w:val="en-US" w:eastAsia="zh-CN"/>
        </w:rPr>
        <w:t>435</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4</w:t>
      </w:r>
      <w:r>
        <w:rPr>
          <w:rFonts w:hint="eastAsia" w:ascii="仿宋_GB2312" w:eastAsia="仿宋_GB2312"/>
          <w:sz w:val="32"/>
          <w:szCs w:val="32"/>
        </w:rPr>
        <w:t>万元，具体内容包括：</w:t>
      </w:r>
      <w:r>
        <w:rPr>
          <w:rFonts w:hint="eastAsia" w:ascii="仿宋_GB2312" w:eastAsia="仿宋_GB2312"/>
          <w:sz w:val="32"/>
          <w:szCs w:val="32"/>
          <w:lang w:val="en-US" w:eastAsia="zh-CN"/>
        </w:rPr>
        <w:t>市局指导组到我局指导工作等</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rPr>
          <w:rFonts w:hint="eastAsia" w:ascii="Times New Roman" w:hAnsi="Times New Roman" w:eastAsia="仿宋_GB2312" w:cs="仿宋_GB2312"/>
          <w:color w:val="auto"/>
          <w:kern w:val="2"/>
          <w:sz w:val="32"/>
          <w:szCs w:val="32"/>
          <w:highlight w:val="none"/>
          <w:lang w:val="en-US" w:eastAsia="zh-CN" w:bidi="ar-SA"/>
        </w:rPr>
      </w:pPr>
      <w:bookmarkStart w:id="40" w:name="_Toc15377218"/>
      <w:bookmarkStart w:id="41" w:name="_Toc15396610"/>
    </w:p>
    <w:p>
      <w:pPr>
        <w:spacing w:line="600" w:lineRule="exact"/>
        <w:ind w:firstLine="640"/>
        <w:outlineLvl w:val="1"/>
        <w:rPr>
          <w:rStyle w:val="29"/>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29"/>
          <w:rFonts w:hint="eastAsia" w:ascii="Times New Roman" w:hAnsi="Times New Roman" w:eastAsia="黑体"/>
          <w:b w:val="0"/>
          <w:color w:val="auto"/>
          <w:highlight w:val="none"/>
        </w:rPr>
        <w:t>政府性基金预算支出决算情况说明</w:t>
      </w:r>
      <w:bookmarkEnd w:id="40"/>
      <w:bookmarkEnd w:id="41"/>
    </w:p>
    <w:p>
      <w:pPr>
        <w:spacing w:line="600" w:lineRule="exact"/>
        <w:ind w:firstLine="640"/>
        <w:rPr>
          <w:rFonts w:hint="default" w:ascii="Times New Roman" w:hAnsi="Times New Roman"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1939.34</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21.84</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w:t>
      </w:r>
      <w:r>
        <w:rPr>
          <w:rFonts w:hint="eastAsia" w:eastAsia="仿宋_GB2312" w:cs="仿宋_GB2312"/>
          <w:color w:val="auto"/>
          <w:kern w:val="2"/>
          <w:sz w:val="32"/>
          <w:szCs w:val="32"/>
          <w:highlight w:val="none"/>
          <w:lang w:val="en-US" w:eastAsia="zh-CN" w:bidi="ar-SA"/>
        </w:rPr>
        <w:t>1440.53</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288.79</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业务技术用房新建项目开工并按进度支付工程款。</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numPr>
          <w:ilvl w:val="0"/>
          <w:numId w:val="0"/>
        </w:numPr>
        <w:spacing w:line="600" w:lineRule="exact"/>
        <w:ind w:left="630" w:leftChars="0"/>
        <w:outlineLvl w:val="1"/>
        <w:rPr>
          <w:rStyle w:val="29"/>
          <w:rFonts w:ascii="Times New Roman" w:hAnsi="Times New Roman" w:eastAsia="黑体"/>
          <w:b w:val="0"/>
          <w:color w:val="auto"/>
          <w:highlight w:val="none"/>
        </w:rPr>
      </w:pPr>
      <w:bookmarkStart w:id="42" w:name="_Toc15396611"/>
      <w:bookmarkStart w:id="43" w:name="_Toc15377219"/>
      <w:r>
        <w:rPr>
          <w:rStyle w:val="29"/>
          <w:rFonts w:hint="eastAsia" w:ascii="Times New Roman" w:hAnsi="Times New Roman" w:eastAsia="黑体"/>
          <w:b w:val="0"/>
          <w:color w:val="auto"/>
          <w:highlight w:val="none"/>
          <w:lang w:eastAsia="zh-CN"/>
        </w:rPr>
        <w:t>九、</w:t>
      </w:r>
      <w:r>
        <w:rPr>
          <w:rStyle w:val="29"/>
          <w:rFonts w:hint="eastAsia" w:ascii="Times New Roman" w:hAnsi="Times New Roman" w:eastAsia="黑体"/>
          <w:b w:val="0"/>
          <w:color w:val="auto"/>
          <w:highlight w:val="none"/>
        </w:rPr>
        <w:t>国有资本经营预算支出决算情况说明</w:t>
      </w:r>
      <w:bookmarkEnd w:id="42"/>
      <w:bookmarkEnd w:id="43"/>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w:t>
      </w:r>
      <w:r>
        <w:rPr>
          <w:rFonts w:hint="eastAsia" w:eastAsia="仿宋_GB2312" w:cs="仿宋_GB2312"/>
          <w:color w:val="auto"/>
          <w:kern w:val="2"/>
          <w:sz w:val="32"/>
          <w:szCs w:val="32"/>
          <w:highlight w:val="none"/>
          <w:lang w:val="en-US" w:eastAsia="zh-CN" w:bidi="ar-SA"/>
        </w:rPr>
        <w:t>持平。</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numPr>
          <w:ilvl w:val="0"/>
          <w:numId w:val="0"/>
        </w:numPr>
        <w:spacing w:line="600" w:lineRule="exact"/>
        <w:ind w:left="630" w:leftChars="0"/>
        <w:outlineLvl w:val="1"/>
        <w:rPr>
          <w:rStyle w:val="29"/>
          <w:rFonts w:hint="eastAsia" w:ascii="Times New Roman" w:hAnsi="Times New Roman" w:eastAsia="黑体"/>
          <w:b w:val="0"/>
          <w:color w:val="auto"/>
          <w:highlight w:val="none"/>
        </w:rPr>
      </w:pPr>
      <w:bookmarkStart w:id="44" w:name="_Toc15396612"/>
      <w:bookmarkStart w:id="45" w:name="_Toc15377221"/>
      <w:r>
        <w:rPr>
          <w:rStyle w:val="29"/>
          <w:rFonts w:hint="eastAsia" w:ascii="Times New Roman" w:hAnsi="Times New Roman" w:eastAsia="黑体"/>
          <w:b w:val="0"/>
          <w:color w:val="auto"/>
          <w:highlight w:val="none"/>
          <w:lang w:eastAsia="zh-CN"/>
        </w:rPr>
        <w:t>十、</w:t>
      </w:r>
      <w:r>
        <w:rPr>
          <w:rStyle w:val="29"/>
          <w:rFonts w:hint="eastAsia" w:ascii="Times New Roman" w:hAnsi="Times New Roman" w:eastAsia="黑体"/>
          <w:b w:val="0"/>
          <w:color w:val="auto"/>
          <w:highlight w:val="none"/>
        </w:rPr>
        <w:t>其他重要事项的情况说明</w:t>
      </w:r>
      <w:bookmarkEnd w:id="44"/>
      <w:bookmarkEnd w:id="45"/>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6" w:name="_Toc15377222"/>
      <w:r>
        <w:rPr>
          <w:rFonts w:hint="eastAsia" w:ascii="Times New Roman" w:hAnsi="Times New Roman" w:eastAsia="楷体_GB2312" w:cs="楷体_GB2312"/>
          <w:b/>
          <w:color w:val="auto"/>
          <w:sz w:val="32"/>
          <w:szCs w:val="32"/>
          <w:highlight w:val="none"/>
        </w:rPr>
        <w:t>（一）机关运行经费支出情况</w:t>
      </w:r>
      <w:bookmarkEnd w:id="46"/>
    </w:p>
    <w:p>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沐川县公安局</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579.98</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元，比2023年度减少</w:t>
      </w:r>
      <w:r>
        <w:rPr>
          <w:rFonts w:hint="eastAsia" w:eastAsia="仿宋_GB2312" w:cs="仿宋_GB2312"/>
          <w:color w:val="auto"/>
          <w:kern w:val="2"/>
          <w:sz w:val="32"/>
          <w:szCs w:val="32"/>
          <w:highlight w:val="none"/>
          <w:lang w:val="en-US" w:eastAsia="zh-CN" w:bidi="ar-SA"/>
        </w:rPr>
        <w:t>13.79</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2.32</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厉行节约，压减开支。</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7" w:name="_Toc15377223"/>
      <w:r>
        <w:rPr>
          <w:rFonts w:hint="eastAsia" w:ascii="Times New Roman" w:hAnsi="Times New Roman" w:eastAsia="楷体_GB2312" w:cs="楷体_GB2312"/>
          <w:b/>
          <w:color w:val="auto"/>
          <w:sz w:val="32"/>
          <w:szCs w:val="32"/>
          <w:highlight w:val="none"/>
        </w:rPr>
        <w:t>（二）政府采购支出情况</w:t>
      </w:r>
      <w:bookmarkEnd w:id="47"/>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沐川县公安局</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8" w:name="_Toc15377224"/>
      <w:r>
        <w:rPr>
          <w:rFonts w:hint="eastAsia" w:ascii="Times New Roman" w:hAnsi="Times New Roman" w:eastAsia="楷体_GB2312" w:cs="楷体_GB2312"/>
          <w:b/>
          <w:color w:val="auto"/>
          <w:sz w:val="32"/>
          <w:szCs w:val="32"/>
          <w:highlight w:val="none"/>
        </w:rPr>
        <w:t>（三）国有资产占有使用情况</w:t>
      </w:r>
      <w:bookmarkEnd w:id="48"/>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沐川县公安局</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39</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w:t>
      </w:r>
      <w:r>
        <w:rPr>
          <w:rFonts w:hint="eastAsia" w:ascii="仿宋_GB2312" w:eastAsia="仿宋_GB2312"/>
          <w:sz w:val="32"/>
          <w:szCs w:val="32"/>
          <w:lang w:val="en-US" w:eastAsia="zh-CN"/>
        </w:rPr>
        <w:t>执法执勤</w:t>
      </w:r>
      <w:r>
        <w:rPr>
          <w:rFonts w:hint="eastAsia" w:ascii="仿宋_GB2312" w:eastAsia="仿宋_GB2312"/>
          <w:sz w:val="32"/>
          <w:szCs w:val="32"/>
        </w:rPr>
        <w:t>用车</w:t>
      </w:r>
      <w:r>
        <w:rPr>
          <w:rFonts w:hint="eastAsia" w:ascii="仿宋_GB2312" w:eastAsia="仿宋_GB2312"/>
          <w:sz w:val="32"/>
          <w:szCs w:val="32"/>
          <w:lang w:val="en-US" w:eastAsia="zh-CN"/>
        </w:rPr>
        <w:t>39</w:t>
      </w:r>
      <w:r>
        <w:rPr>
          <w:rFonts w:hint="eastAsia" w:ascii="仿宋_GB2312" w:eastAsia="仿宋_GB2312"/>
          <w:sz w:val="32"/>
          <w:szCs w:val="32"/>
        </w:rPr>
        <w:t>辆，主要是用于</w:t>
      </w:r>
      <w:r>
        <w:rPr>
          <w:rFonts w:hint="eastAsia" w:ascii="仿宋_GB2312" w:eastAsia="仿宋_GB2312"/>
          <w:sz w:val="32"/>
          <w:szCs w:val="32"/>
          <w:lang w:val="en-US" w:eastAsia="zh-CN"/>
        </w:rPr>
        <w:t>执法办案</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台（套）</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eastAsia="仿宋_GB2312" w:cs="仿宋_GB2312"/>
          <w:color w:val="auto"/>
          <w:kern w:val="2"/>
          <w:sz w:val="32"/>
          <w:szCs w:val="32"/>
          <w:highlight w:val="none"/>
          <w:lang w:val="en-US" w:eastAsia="zh-CN" w:bidi="ar-SA"/>
        </w:rPr>
        <w:t>本部门</w:t>
      </w:r>
      <w:r>
        <w:rPr>
          <w:rFonts w:hint="eastAsia" w:ascii="Times New Roman" w:hAnsi="Times New Roman" w:eastAsia="仿宋_GB2312" w:cs="仿宋_GB2312"/>
          <w:color w:val="auto"/>
          <w:kern w:val="2"/>
          <w:sz w:val="32"/>
          <w:szCs w:val="32"/>
          <w:highlight w:val="none"/>
          <w:lang w:val="en-US" w:eastAsia="zh-CN" w:bidi="ar-SA"/>
        </w:rPr>
        <w:t>在2024年度预算编制阶段，组织对</w:t>
      </w:r>
      <w:r>
        <w:rPr>
          <w:rFonts w:hint="eastAsia" w:ascii="仿宋_GB2312" w:hAnsi="仿宋_GB2312" w:eastAsia="仿宋_GB2312" w:cs="仿宋_GB2312"/>
          <w:sz w:val="32"/>
          <w:szCs w:val="32"/>
          <w:lang w:val="en-US" w:eastAsia="zh-CN"/>
        </w:rPr>
        <w:t>社戒社康工作经费</w:t>
      </w:r>
      <w:r>
        <w:rPr>
          <w:rFonts w:hint="eastAsia" w:ascii="仿宋_GB2312" w:hAnsi="仿宋_GB2312" w:eastAsia="仿宋_GB2312" w:cs="仿宋_GB2312"/>
          <w:sz w:val="32"/>
          <w:szCs w:val="32"/>
        </w:rPr>
        <w:t>项目</w:t>
      </w:r>
      <w:r>
        <w:rPr>
          <w:rFonts w:hint="eastAsia" w:ascii="Times New Roman" w:hAnsi="Times New Roman" w:eastAsia="仿宋_GB2312" w:cs="仿宋_GB2312"/>
          <w:color w:val="auto"/>
          <w:kern w:val="2"/>
          <w:sz w:val="32"/>
          <w:szCs w:val="32"/>
          <w:highlight w:val="none"/>
          <w:lang w:val="en-US" w:eastAsia="zh-CN" w:bidi="ar-SA"/>
        </w:rPr>
        <w:t>等</w:t>
      </w: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个项目开展了预算事前绩效评估，对</w:t>
      </w: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个项目开展绩效监控。</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组织对2024年度一般公共预算、政府性基金预算、国有资本经营预算、社会保险基金预算以及资本资产、债券资金等全面开展绩效自评，形成</w:t>
      </w:r>
      <w:r>
        <w:rPr>
          <w:rFonts w:hint="eastAsia" w:eastAsia="仿宋_GB2312" w:cs="仿宋_GB2312"/>
          <w:color w:val="auto"/>
          <w:kern w:val="2"/>
          <w:sz w:val="32"/>
          <w:szCs w:val="32"/>
          <w:highlight w:val="none"/>
          <w:lang w:val="en-US" w:eastAsia="zh-CN" w:bidi="ar-SA"/>
        </w:rPr>
        <w:t>公安局</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部门整体（含部门预算项目）绩效自评报告，其中，</w:t>
      </w:r>
      <w:r>
        <w:rPr>
          <w:rFonts w:hint="eastAsia" w:eastAsia="仿宋_GB2312" w:cs="仿宋_GB2312"/>
          <w:color w:val="auto"/>
          <w:kern w:val="2"/>
          <w:sz w:val="32"/>
          <w:szCs w:val="32"/>
          <w:highlight w:val="none"/>
          <w:lang w:val="en-US" w:eastAsia="zh-CN" w:bidi="ar-SA"/>
        </w:rPr>
        <w:t>公安局</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部门整体（含部门预算项目）绩效自评得分为</w:t>
      </w:r>
      <w:r>
        <w:rPr>
          <w:rFonts w:hint="eastAsia" w:eastAsia="仿宋_GB2312" w:cs="仿宋_GB2312"/>
          <w:color w:val="auto"/>
          <w:kern w:val="2"/>
          <w:sz w:val="32"/>
          <w:szCs w:val="32"/>
          <w:highlight w:val="none"/>
          <w:lang w:val="en-US" w:eastAsia="zh-CN" w:bidi="ar-SA"/>
        </w:rPr>
        <w:t>99</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eastAsia="仿宋_GB2312" w:cs="仿宋_GB2312"/>
          <w:color w:val="auto"/>
          <w:kern w:val="2"/>
          <w:sz w:val="32"/>
          <w:szCs w:val="32"/>
          <w:highlight w:val="none"/>
          <w:lang w:val="en-US" w:eastAsia="zh-CN" w:bidi="ar-SA"/>
        </w:rPr>
        <w:t>良好</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lang w:val="en-US" w:eastAsia="zh-CN"/>
        </w:rPr>
        <w:t>社戒社康工作经费</w:t>
      </w:r>
      <w:r>
        <w:rPr>
          <w:rFonts w:hint="eastAsia" w:ascii="仿宋_GB2312" w:hAnsi="仿宋_GB2312" w:eastAsia="仿宋_GB2312" w:cs="仿宋_GB2312"/>
          <w:sz w:val="32"/>
          <w:szCs w:val="32"/>
        </w:rPr>
        <w:t>项目</w:t>
      </w:r>
      <w:r>
        <w:rPr>
          <w:rFonts w:hint="eastAsia" w:ascii="Times New Roman" w:hAnsi="Times New Roman" w:eastAsia="仿宋_GB2312" w:cs="仿宋_GB2312"/>
          <w:color w:val="auto"/>
          <w:kern w:val="2"/>
          <w:sz w:val="32"/>
          <w:szCs w:val="32"/>
          <w:highlight w:val="none"/>
          <w:lang w:val="en-US" w:eastAsia="zh-CN" w:bidi="ar-SA"/>
        </w:rPr>
        <w:t>专项预算项目绩效自评得分为</w:t>
      </w:r>
      <w:r>
        <w:rPr>
          <w:rFonts w:hint="eastAsia" w:eastAsia="仿宋_GB2312" w:cs="仿宋_GB2312"/>
          <w:color w:val="auto"/>
          <w:kern w:val="2"/>
          <w:sz w:val="32"/>
          <w:szCs w:val="32"/>
          <w:highlight w:val="none"/>
          <w:lang w:val="en-US" w:eastAsia="zh-CN" w:bidi="ar-SA"/>
        </w:rPr>
        <w:t>98</w:t>
      </w:r>
      <w:r>
        <w:rPr>
          <w:rFonts w:hint="eastAsia" w:ascii="Times New Roman" w:hAnsi="Times New Roman" w:eastAsia="仿宋_GB2312" w:cs="仿宋_GB2312"/>
          <w:color w:val="auto"/>
          <w:kern w:val="2"/>
          <w:sz w:val="32"/>
          <w:szCs w:val="32"/>
          <w:highlight w:val="none"/>
          <w:lang w:val="en-US" w:eastAsia="zh-CN" w:bidi="ar-SA"/>
        </w:rPr>
        <w:t>分</w:t>
      </w:r>
      <w:r>
        <w:rPr>
          <w:rFonts w:hint="eastAsia"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49" w:name="_Toc15377225"/>
      <w:bookmarkStart w:id="50" w:name="_Toc15396613"/>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9"/>
      <w:bookmarkEnd w:id="50"/>
    </w:p>
    <w:p>
      <w:pPr>
        <w:spacing w:line="600" w:lineRule="exact"/>
        <w:jc w:val="left"/>
        <w:rPr>
          <w:rFonts w:ascii="Times New Roman" w:hAnsi="Times New Roman"/>
          <w:b/>
          <w:color w:val="auto"/>
          <w:sz w:val="44"/>
          <w:szCs w:val="44"/>
          <w:highlight w:val="none"/>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4.其他收入：指单位取得的除上述收入以外的各项收入。主要是</w:t>
      </w:r>
      <w:r>
        <w:rPr>
          <w:rFonts w:hint="eastAsia" w:eastAsia="仿宋_GB2312" w:cs="仿宋_GB2312"/>
          <w:color w:val="auto"/>
          <w:kern w:val="2"/>
          <w:sz w:val="32"/>
          <w:szCs w:val="32"/>
          <w:highlight w:val="none"/>
          <w:lang w:val="en-US" w:eastAsia="zh-CN" w:bidi="ar-SA"/>
        </w:rPr>
        <w:t>协同办案费</w:t>
      </w:r>
      <w:r>
        <w:rPr>
          <w:rFonts w:hint="eastAsia" w:ascii="Times New Roman" w:hAnsi="Times New Roman" w:eastAsia="仿宋_GB2312" w:cs="仿宋_GB2312"/>
          <w:color w:val="auto"/>
          <w:kern w:val="2"/>
          <w:sz w:val="32"/>
          <w:szCs w:val="32"/>
          <w:highlight w:val="none"/>
          <w:lang w:val="en-US" w:eastAsia="zh-CN" w:bidi="ar-SA"/>
        </w:rPr>
        <w:t xml:space="preserve">等。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en-US" w:eastAsia="zh-CN" w:bidi="ar-SA"/>
        </w:rPr>
        <w:t>.年末结转和结余：指单位按有关规定结转到下年或以后年度继续使用的资金。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eastAsia="仿宋_GB2312"/>
          <w:sz w:val="32"/>
          <w:szCs w:val="32"/>
        </w:rPr>
        <w:t>公共安全</w:t>
      </w:r>
      <w:r>
        <w:rPr>
          <w:rFonts w:hint="eastAsia" w:ascii="仿宋_GB2312" w:eastAsia="仿宋_GB2312"/>
          <w:sz w:val="32"/>
          <w:szCs w:val="32"/>
          <w:lang w:val="en-US" w:eastAsia="zh-CN"/>
        </w:rPr>
        <w:t>支出</w:t>
      </w:r>
      <w:r>
        <w:rPr>
          <w:rFonts w:hint="eastAsia" w:ascii="仿宋_GB2312" w:eastAsia="仿宋_GB2312"/>
          <w:sz w:val="32"/>
          <w:szCs w:val="32"/>
        </w:rPr>
        <w:t>：指</w:t>
      </w:r>
      <w:r>
        <w:rPr>
          <w:rFonts w:hint="eastAsia" w:ascii="仿宋_GB2312" w:eastAsia="仿宋_GB2312"/>
          <w:sz w:val="32"/>
          <w:szCs w:val="32"/>
          <w:lang w:val="en-US" w:eastAsia="zh-CN"/>
        </w:rPr>
        <w:t>政府维护社会公共安全方面的支出</w:t>
      </w:r>
      <w:r>
        <w:rPr>
          <w:rFonts w:hint="eastAsia" w:ascii="仿宋_GB2312" w:eastAsia="仿宋_GB2312"/>
          <w:sz w:val="32"/>
          <w:szCs w:val="32"/>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9</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eastAsia="仿宋_GB2312"/>
          <w:sz w:val="32"/>
          <w:szCs w:val="32"/>
          <w:lang w:val="en-US" w:eastAsia="zh-CN"/>
        </w:rPr>
        <w:t>社会保障和就业支出</w:t>
      </w:r>
      <w:r>
        <w:rPr>
          <w:rFonts w:hint="eastAsia" w:ascii="仿宋_GB2312" w:eastAsia="仿宋_GB2312"/>
          <w:sz w:val="32"/>
          <w:szCs w:val="32"/>
        </w:rPr>
        <w:t>：指</w:t>
      </w:r>
      <w:r>
        <w:rPr>
          <w:rFonts w:hint="eastAsia" w:ascii="仿宋_GB2312" w:eastAsia="仿宋_GB2312"/>
          <w:sz w:val="32"/>
          <w:szCs w:val="32"/>
          <w:lang w:val="en-US" w:eastAsia="zh-CN"/>
        </w:rPr>
        <w:t>政府在社会保障与就业方面的支出</w:t>
      </w:r>
      <w:r>
        <w:rPr>
          <w:rFonts w:hint="eastAsia" w:ascii="仿宋_GB2312" w:eastAsia="仿宋_GB2312"/>
          <w:sz w:val="32"/>
          <w:szCs w:val="32"/>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eastAsia="仿宋_GB2312"/>
          <w:sz w:val="32"/>
          <w:szCs w:val="32"/>
        </w:rPr>
        <w:t>卫生健康</w:t>
      </w:r>
      <w:r>
        <w:rPr>
          <w:rFonts w:hint="eastAsia" w:ascii="仿宋_GB2312" w:eastAsia="仿宋_GB2312"/>
          <w:sz w:val="32"/>
          <w:szCs w:val="32"/>
          <w:lang w:val="en-US" w:eastAsia="zh-CN"/>
        </w:rPr>
        <w:t>支出</w:t>
      </w:r>
      <w:r>
        <w:rPr>
          <w:rFonts w:hint="eastAsia" w:ascii="仿宋_GB2312" w:eastAsia="仿宋_GB2312"/>
          <w:sz w:val="32"/>
          <w:szCs w:val="32"/>
        </w:rPr>
        <w:t>：指</w:t>
      </w:r>
      <w:r>
        <w:rPr>
          <w:rFonts w:hint="eastAsia" w:ascii="仿宋_GB2312" w:eastAsia="仿宋_GB2312"/>
          <w:sz w:val="32"/>
          <w:szCs w:val="32"/>
          <w:lang w:val="en-US" w:eastAsia="zh-CN"/>
        </w:rPr>
        <w:t>政府卫生健康方面的支出</w:t>
      </w:r>
      <w:r>
        <w:rPr>
          <w:rFonts w:hint="eastAsia" w:ascii="仿宋_GB2312" w:eastAsia="仿宋_GB2312"/>
          <w:sz w:val="32"/>
          <w:szCs w:val="32"/>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eastAsia="仿宋_GB2312"/>
          <w:sz w:val="32"/>
          <w:szCs w:val="32"/>
        </w:rPr>
        <w:t>住房保障</w:t>
      </w:r>
      <w:r>
        <w:rPr>
          <w:rFonts w:hint="eastAsia" w:ascii="仿宋_GB2312" w:eastAsia="仿宋_GB2312"/>
          <w:sz w:val="32"/>
          <w:szCs w:val="32"/>
          <w:lang w:val="en-US" w:eastAsia="zh-CN"/>
        </w:rPr>
        <w:t>支出</w:t>
      </w:r>
      <w:r>
        <w:rPr>
          <w:rFonts w:hint="eastAsia" w:ascii="仿宋_GB2312" w:eastAsia="仿宋_GB2312"/>
          <w:sz w:val="32"/>
          <w:szCs w:val="32"/>
        </w:rPr>
        <w:t>：指</w:t>
      </w:r>
      <w:r>
        <w:rPr>
          <w:rFonts w:hint="eastAsia" w:ascii="仿宋_GB2312" w:eastAsia="仿宋_GB2312"/>
          <w:sz w:val="32"/>
          <w:szCs w:val="32"/>
          <w:lang w:val="en-US" w:eastAsia="zh-CN"/>
        </w:rPr>
        <w:t>政府用于住房方面的支出</w:t>
      </w:r>
      <w:r>
        <w:rPr>
          <w:rFonts w:hint="eastAsia" w:ascii="仿宋_GB2312" w:eastAsia="仿宋_GB2312"/>
          <w:sz w:val="32"/>
          <w:szCs w:val="32"/>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eastAsia="仿宋_GB2312"/>
          <w:sz w:val="32"/>
          <w:szCs w:val="32"/>
        </w:rPr>
        <w:t>基本支出：指为保障机构正常运转、完成日常工作任务而发生的人员支出和公用支出。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eastAsia="仿宋_GB2312"/>
          <w:sz w:val="32"/>
          <w:szCs w:val="32"/>
        </w:rPr>
        <w:t>项目支出：指在基本支出之外为完成特定行政任务和事业发展目标所发生的支出。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Style w:val="28"/>
          <w:rFonts w:hint="eastAsia" w:ascii="Times New Roman" w:hAnsi="Times New Roman" w:eastAsia="黑体"/>
          <w:b w:val="0"/>
          <w:color w:val="auto"/>
          <w:highlight w:val="none"/>
          <w:lang w:eastAsia="zh-CN"/>
        </w:rPr>
      </w:pPr>
      <w:bookmarkStart w:id="51"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52"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2"/>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（报告范围包括机关和下属单位）</w:t>
      </w:r>
    </w:p>
    <w:p>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部门（单位）基本情况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cs="Times New Roman"/>
          <w:szCs w:val="32"/>
        </w:rPr>
      </w:pPr>
      <w:r>
        <w:rPr>
          <w:rFonts w:hint="eastAsia" w:ascii="Times New Roman" w:hAnsi="Times New Roman" w:eastAsia="楷体_GB2312" w:cs="楷体_GB2312"/>
          <w:b/>
          <w:color w:val="auto"/>
          <w:sz w:val="32"/>
          <w:szCs w:val="32"/>
          <w:highlight w:val="none"/>
          <w:lang w:val="zh-CN"/>
        </w:rPr>
        <w:t>（一）</w:t>
      </w:r>
      <w:r>
        <w:rPr>
          <w:rFonts w:hint="default" w:ascii="Times New Roman" w:hAnsi="Times New Roman" w:eastAsia="楷体_GB2312" w:cs="楷体_GB2312"/>
          <w:b/>
          <w:color w:val="auto"/>
          <w:sz w:val="32"/>
          <w:szCs w:val="32"/>
          <w:highlight w:val="none"/>
          <w:lang w:val="zh-CN"/>
        </w:rPr>
        <w:t>机构组成。</w:t>
      </w:r>
      <w:r>
        <w:rPr>
          <w:rFonts w:hint="eastAsia" w:ascii="Times New Roman" w:hAnsi="Times New Roman" w:eastAsia="仿宋_GB2312" w:cs="Times New Roman"/>
          <w:sz w:val="32"/>
          <w:szCs w:val="32"/>
          <w:lang w:val="en-US" w:eastAsia="zh-CN"/>
        </w:rPr>
        <w:t>沐川县公安局经费开支单位包括内设机构指挥中心、国内安全保卫大队、刑事侦查大队、治安管理大队、禁毒大队、经济犯罪侦查大队、情报中心、网络安全保卫大队、政工监督室、警务保障室、法制室、派出所8个、看守所1个（不计入内设机构）</w:t>
      </w:r>
      <w:r>
        <w:rPr>
          <w:rFonts w:hint="default" w:ascii="Times New Roman" w:hAnsi="Times New Roman" w:eastAsia="仿宋_GB2312" w:cs="Times New Roman"/>
          <w:sz w:val="32"/>
          <w:szCs w:val="32"/>
          <w:lang w:val="en-US"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仿宋_GB2312" w:cs="Times New Roman"/>
          <w:sz w:val="32"/>
          <w:szCs w:val="32"/>
          <w:lang w:val="en-US" w:eastAsia="zh-CN"/>
        </w:rPr>
      </w:pPr>
      <w:r>
        <w:rPr>
          <w:rFonts w:hint="default" w:ascii="Times New Roman" w:hAnsi="Times New Roman" w:eastAsia="楷体_GB2312" w:cs="楷体_GB2312"/>
          <w:b/>
          <w:color w:val="auto"/>
          <w:sz w:val="32"/>
          <w:szCs w:val="32"/>
          <w:highlight w:val="none"/>
          <w:lang w:val="zh-CN"/>
        </w:rPr>
        <w:t>（二）机构职能</w:t>
      </w:r>
      <w:r>
        <w:rPr>
          <w:rFonts w:hint="eastAsia" w:ascii="Times New Roman" w:hAnsi="Times New Roman" w:eastAsia="楷体_GB2312" w:cs="楷体_GB2312"/>
          <w:b/>
          <w:color w:val="auto"/>
          <w:sz w:val="32"/>
          <w:szCs w:val="32"/>
          <w:highlight w:val="none"/>
          <w:lang w:val="zh-CN"/>
        </w:rPr>
        <w:t>。</w:t>
      </w:r>
      <w:r>
        <w:rPr>
          <w:rFonts w:hint="eastAsia" w:ascii="Times New Roman" w:hAnsi="Times New Roman" w:eastAsia="仿宋_GB2312" w:cs="Times New Roman"/>
          <w:sz w:val="32"/>
          <w:szCs w:val="32"/>
          <w:lang w:val="en-US" w:eastAsia="zh-CN"/>
        </w:rPr>
        <w:t>公安局为县政府工作部门，是主管全县治安行政管理和刑事执法的机关，严格执行公安工作路线、方针、政策、法律法规，保护人民、打击犯罪，维护全县政治稳定、社会稳定。</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年重点工作任务是敏锐把握社会矛盾的规律特点，加强谋略研究，积极妥善应对，着力提高预警、发现和控制能力，全力维护国家安全和社会稳定，以不断深化社会治安集中整治，巩固整治成果为中心，建立政治社会治安长效机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cs="Times New Roman"/>
          <w:szCs w:val="32"/>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r>
        <w:rPr>
          <w:rFonts w:hint="default" w:ascii="Times New Roman" w:hAnsi="Times New Roman" w:eastAsia="仿宋_GB2312" w:cs="Times New Roman"/>
          <w:sz w:val="32"/>
          <w:szCs w:val="32"/>
          <w:lang w:val="en-US" w:eastAsia="zh-CN"/>
        </w:rPr>
        <w:t>截至202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年末，</w:t>
      </w:r>
      <w:r>
        <w:rPr>
          <w:rFonts w:hint="eastAsia" w:ascii="仿宋_GB2312" w:eastAsia="仿宋_GB2312"/>
          <w:sz w:val="32"/>
          <w:szCs w:val="32"/>
        </w:rPr>
        <w:t>沐川县公安局现有在职民警1</w:t>
      </w:r>
      <w:r>
        <w:rPr>
          <w:rFonts w:hint="eastAsia" w:ascii="仿宋_GB2312" w:eastAsia="仿宋_GB2312"/>
          <w:sz w:val="32"/>
          <w:szCs w:val="32"/>
          <w:lang w:val="en-US" w:eastAsia="zh-CN"/>
        </w:rPr>
        <w:t>68</w:t>
      </w:r>
      <w:r>
        <w:rPr>
          <w:rFonts w:hint="eastAsia" w:ascii="仿宋_GB2312" w:eastAsia="仿宋_GB2312"/>
          <w:sz w:val="32"/>
          <w:szCs w:val="32"/>
        </w:rPr>
        <w:t>人</w:t>
      </w:r>
      <w:r>
        <w:rPr>
          <w:rFonts w:hint="eastAsia" w:ascii="Times New Roman" w:hAnsi="Times New Roman" w:eastAsia="仿宋_GB2312" w:cs="Times New Roman"/>
          <w:sz w:val="32"/>
          <w:szCs w:val="32"/>
          <w:lang w:val="en-US"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二、部门资金收支情况</w:t>
      </w:r>
    </w:p>
    <w:p>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en-US"/>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eastAsia="仿宋_GB2312" w:cs="仿宋_GB2312"/>
          <w:color w:val="auto"/>
          <w:kern w:val="2"/>
          <w:sz w:val="32"/>
          <w:szCs w:val="32"/>
          <w:highlight w:val="none"/>
          <w:lang w:val="en-US" w:eastAsia="zh-CN" w:bidi="ar-SA"/>
        </w:rPr>
        <w:t>沐川县公安局</w:t>
      </w:r>
      <w:r>
        <w:rPr>
          <w:rFonts w:hint="eastAsia" w:ascii="Times New Roman" w:hAnsi="Times New Roman" w:eastAsia="仿宋_GB2312" w:cs="Times New Roman"/>
          <w:sz w:val="32"/>
          <w:szCs w:val="32"/>
          <w:lang w:val="en-US" w:eastAsia="zh-CN"/>
        </w:rPr>
        <w:t>2024年年初预算收入</w:t>
      </w:r>
      <w:r>
        <w:rPr>
          <w:rFonts w:hint="eastAsia" w:eastAsia="仿宋_GB2312" w:cs="Times New Roman"/>
          <w:sz w:val="32"/>
          <w:szCs w:val="32"/>
          <w:lang w:val="en-US" w:eastAsia="zh-CN"/>
        </w:rPr>
        <w:t>8879.17万元</w:t>
      </w:r>
      <w:r>
        <w:rPr>
          <w:rFonts w:hint="eastAsia" w:ascii="Times New Roman" w:hAnsi="Times New Roman" w:eastAsia="仿宋_GB2312" w:cs="Times New Roman"/>
          <w:sz w:val="32"/>
          <w:szCs w:val="32"/>
          <w:lang w:val="en-US" w:eastAsia="zh-CN"/>
        </w:rPr>
        <w:t>、决算报表收入</w:t>
      </w:r>
      <w:r>
        <w:rPr>
          <w:rFonts w:hint="eastAsia" w:eastAsia="仿宋_GB2312" w:cs="Times New Roman"/>
          <w:sz w:val="32"/>
          <w:szCs w:val="32"/>
          <w:lang w:val="en-US" w:eastAsia="zh-CN"/>
        </w:rPr>
        <w:t>8879.17万元</w:t>
      </w:r>
      <w:r>
        <w:rPr>
          <w:rFonts w:hint="eastAsia" w:ascii="Times New Roman" w:hAnsi="Times New Roman" w:eastAsia="仿宋_GB2312" w:cs="Times New Roman"/>
          <w:sz w:val="32"/>
          <w:szCs w:val="32"/>
          <w:lang w:val="en-US" w:eastAsia="zh-CN"/>
        </w:rPr>
        <w:t>。</w:t>
      </w:r>
    </w:p>
    <w:p>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cs="Times New Roman"/>
          <w:szCs w:val="32"/>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eastAsia="仿宋_GB2312" w:cs="仿宋_GB2312"/>
          <w:color w:val="auto"/>
          <w:kern w:val="2"/>
          <w:sz w:val="32"/>
          <w:szCs w:val="32"/>
          <w:highlight w:val="none"/>
          <w:lang w:val="en-US" w:eastAsia="zh-CN" w:bidi="ar-SA"/>
        </w:rPr>
        <w:t>沐川县公安局</w:t>
      </w:r>
      <w:r>
        <w:rPr>
          <w:rFonts w:hint="eastAsia" w:ascii="Times New Roman" w:hAnsi="Times New Roman" w:eastAsia="仿宋_GB2312" w:cs="Times New Roman"/>
          <w:sz w:val="32"/>
          <w:szCs w:val="32"/>
          <w:lang w:val="en-US" w:eastAsia="zh-CN"/>
        </w:rPr>
        <w:t>2024年年初预算支出</w:t>
      </w:r>
      <w:r>
        <w:rPr>
          <w:rFonts w:hint="eastAsia" w:eastAsia="仿宋_GB2312" w:cs="Times New Roman"/>
          <w:sz w:val="32"/>
          <w:szCs w:val="32"/>
          <w:lang w:val="en-US" w:eastAsia="zh-CN"/>
        </w:rPr>
        <w:t>8879.17万元</w:t>
      </w:r>
      <w:r>
        <w:rPr>
          <w:rFonts w:hint="eastAsia" w:ascii="Times New Roman" w:hAnsi="Times New Roman" w:eastAsia="仿宋_GB2312" w:cs="Times New Roman"/>
          <w:sz w:val="32"/>
          <w:szCs w:val="32"/>
          <w:lang w:val="en-US" w:eastAsia="zh-CN"/>
        </w:rPr>
        <w:t>、决算报表支出</w:t>
      </w:r>
      <w:r>
        <w:rPr>
          <w:rFonts w:hint="eastAsia" w:eastAsia="仿宋_GB2312" w:cs="Times New Roman"/>
          <w:sz w:val="32"/>
          <w:szCs w:val="32"/>
          <w:lang w:val="en-US" w:eastAsia="zh-CN"/>
        </w:rPr>
        <w:t>8879.17万元</w:t>
      </w:r>
      <w:r>
        <w:rPr>
          <w:rFonts w:hint="eastAsia" w:ascii="Times New Roman" w:hAnsi="Times New Roman" w:eastAsia="仿宋_GB2312" w:cs="Times New Roman"/>
          <w:sz w:val="32"/>
          <w:szCs w:val="32"/>
          <w:lang w:val="en-US" w:eastAsia="zh-CN"/>
        </w:rPr>
        <w:t>。</w:t>
      </w:r>
    </w:p>
    <w:p>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Times New Roman"/>
          <w:b w:val="0"/>
          <w:bCs w:val="0"/>
          <w:color w:val="000000"/>
          <w:kern w:val="0"/>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eastAsia="仿宋_GB2312" w:cs="仿宋_GB2312"/>
          <w:color w:val="auto"/>
          <w:kern w:val="2"/>
          <w:sz w:val="32"/>
          <w:szCs w:val="32"/>
          <w:highlight w:val="none"/>
          <w:lang w:val="en-US" w:eastAsia="zh-CN" w:bidi="ar-SA"/>
        </w:rPr>
        <w:t>沐川县公安局</w:t>
      </w:r>
      <w:r>
        <w:rPr>
          <w:rFonts w:hint="eastAsia" w:ascii="Times New Roman" w:hAnsi="Times New Roman" w:eastAsia="仿宋_GB2312" w:cs="Times New Roman"/>
          <w:sz w:val="32"/>
          <w:szCs w:val="32"/>
          <w:lang w:val="en-US" w:eastAsia="zh-CN"/>
        </w:rPr>
        <w:t>2024年决算报表</w:t>
      </w:r>
      <w:r>
        <w:rPr>
          <w:rFonts w:hint="default" w:ascii="Times New Roman" w:hAnsi="Times New Roman" w:eastAsia="仿宋_GB2312" w:cs="Times New Roman"/>
          <w:sz w:val="32"/>
          <w:szCs w:val="32"/>
          <w:lang w:val="en-US" w:eastAsia="zh-CN"/>
        </w:rPr>
        <w:t>结转结余</w:t>
      </w:r>
      <w:r>
        <w:rPr>
          <w:rFonts w:hint="eastAsia" w:eastAsia="仿宋_GB2312" w:cs="Times New Roman"/>
          <w:sz w:val="32"/>
          <w:szCs w:val="32"/>
          <w:lang w:val="en-US" w:eastAsia="zh-CN"/>
        </w:rPr>
        <w:t>为零</w:t>
      </w:r>
      <w:r>
        <w:rPr>
          <w:rFonts w:hint="default" w:ascii="Times New Roman" w:hAnsi="Times New Roman" w:eastAsia="仿宋_GB2312" w:cs="Times New Roman"/>
          <w:sz w:val="32"/>
          <w:szCs w:val="32"/>
          <w:lang w:val="en-US"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三、部门预算绩效分析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部门预算</w:t>
      </w:r>
      <w:r>
        <w:rPr>
          <w:rFonts w:hint="default" w:ascii="Times New Roman" w:hAnsi="Times New Roman" w:eastAsia="楷体_GB2312" w:cs="Times New Roman"/>
          <w:b/>
          <w:bCs/>
          <w:color w:val="000000"/>
          <w:kern w:val="0"/>
          <w:sz w:val="32"/>
          <w:szCs w:val="32"/>
          <w:highlight w:val="none"/>
          <w:shd w:val="clear" w:color="auto" w:fill="FFFFFF"/>
          <w:lang w:val="zh-CN"/>
        </w:rPr>
        <w:t>总体绩效分析。</w:t>
      </w:r>
      <w:r>
        <w:rPr>
          <w:rFonts w:hint="default" w:ascii="Times New Roman" w:hAnsi="Times New Roman" w:eastAsia="仿宋_GB2312" w:cs="仿宋_GB2312"/>
          <w:color w:val="auto"/>
          <w:kern w:val="2"/>
          <w:sz w:val="32"/>
          <w:szCs w:val="32"/>
          <w:highlight w:val="none"/>
          <w:lang w:val="zh-CN" w:eastAsia="zh-CN" w:bidi="ar-SA"/>
        </w:rPr>
        <w:t>根据部门预算绩效评价指标体系</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总体绩效</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涉及</w:t>
      </w:r>
      <w:r>
        <w:rPr>
          <w:rFonts w:hint="eastAsia" w:ascii="Times New Roman" w:hAnsi="Times New Roman" w:eastAsia="仿宋_GB2312" w:cs="仿宋_GB2312"/>
          <w:color w:val="auto"/>
          <w:kern w:val="2"/>
          <w:sz w:val="32"/>
          <w:szCs w:val="32"/>
          <w:highlight w:val="none"/>
          <w:lang w:val="zh-CN" w:eastAsia="zh-CN" w:bidi="ar-SA"/>
        </w:rPr>
        <w:t>二、三级</w:t>
      </w:r>
      <w:r>
        <w:rPr>
          <w:rFonts w:hint="default" w:ascii="Times New Roman" w:hAnsi="Times New Roman" w:eastAsia="仿宋_GB2312" w:cs="仿宋_GB2312"/>
          <w:color w:val="auto"/>
          <w:kern w:val="2"/>
          <w:sz w:val="32"/>
          <w:szCs w:val="32"/>
          <w:highlight w:val="none"/>
          <w:lang w:val="zh-CN" w:eastAsia="zh-CN" w:bidi="ar-SA"/>
        </w:rPr>
        <w:t>指标进行</w:t>
      </w:r>
      <w:r>
        <w:rPr>
          <w:rFonts w:hint="eastAsia" w:ascii="Times New Roman" w:hAnsi="Times New Roman" w:eastAsia="仿宋_GB2312" w:cs="仿宋_GB2312"/>
          <w:color w:val="auto"/>
          <w:kern w:val="2"/>
          <w:sz w:val="32"/>
          <w:szCs w:val="32"/>
          <w:highlight w:val="none"/>
          <w:lang w:val="zh-CN" w:eastAsia="zh-CN" w:bidi="ar-SA"/>
        </w:rPr>
        <w:t>逐项</w:t>
      </w:r>
      <w:r>
        <w:rPr>
          <w:rFonts w:hint="default" w:ascii="Times New Roman" w:hAnsi="Times New Roman" w:eastAsia="仿宋_GB2312" w:cs="仿宋_GB2312"/>
          <w:color w:val="auto"/>
          <w:kern w:val="2"/>
          <w:sz w:val="32"/>
          <w:szCs w:val="32"/>
          <w:highlight w:val="none"/>
          <w:lang w:val="zh-CN" w:eastAsia="zh-CN" w:bidi="ar-SA"/>
        </w:rPr>
        <w:t>绩效分析</w:t>
      </w:r>
      <w:r>
        <w:rPr>
          <w:rFonts w:hint="eastAsia" w:ascii="Times New Roman" w:hAnsi="Times New Roman" w:eastAsia="仿宋_GB2312" w:cs="仿宋_GB2312"/>
          <w:color w:val="auto"/>
          <w:kern w:val="2"/>
          <w:sz w:val="32"/>
          <w:szCs w:val="32"/>
          <w:highlight w:val="none"/>
          <w:lang w:val="zh-CN" w:eastAsia="zh-CN" w:bidi="ar-SA"/>
        </w:rPr>
        <w:t>并评分</w:t>
      </w:r>
      <w:r>
        <w:rPr>
          <w:rFonts w:hint="default" w:ascii="Times New Roman" w:hAnsi="Times New Roman" w:eastAsia="仿宋_GB2312" w:cs="仿宋_GB2312"/>
          <w:color w:val="auto"/>
          <w:kern w:val="2"/>
          <w:sz w:val="32"/>
          <w:szCs w:val="32"/>
          <w:highlight w:val="none"/>
          <w:lang w:val="zh-CN" w:eastAsia="zh-CN" w:bidi="ar-SA"/>
        </w:rPr>
        <w:t>，依次包括履职效能、预算管理、财务管理、资产管理、采购管理等情况。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zh-CN" w:eastAsia="zh-CN" w:bidi="ar-SA"/>
        </w:rPr>
        <w:t>履职效能。部门整体绩效目标中选定3-5个核心职能目标，对职能目标完成效果情况</w:t>
      </w:r>
      <w:r>
        <w:rPr>
          <w:rFonts w:hint="eastAsia" w:eastAsia="仿宋_GB2312" w:cs="仿宋_GB2312"/>
          <w:color w:val="auto"/>
          <w:kern w:val="2"/>
          <w:sz w:val="32"/>
          <w:szCs w:val="32"/>
          <w:highlight w:val="none"/>
          <w:lang w:val="en-US" w:eastAsia="zh-CN" w:bidi="ar-SA"/>
        </w:rPr>
        <w:t>良好</w:t>
      </w:r>
      <w:r>
        <w:rPr>
          <w:rFonts w:hint="eastAsia" w:ascii="Times New Roman" w:hAnsi="Times New Roman" w:eastAsia="仿宋_GB2312" w:cs="仿宋_GB2312"/>
          <w:color w:val="auto"/>
          <w:kern w:val="2"/>
          <w:sz w:val="32"/>
          <w:szCs w:val="32"/>
          <w:highlight w:val="none"/>
          <w:lang w:val="zh-CN"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default" w:ascii="Times New Roman" w:hAnsi="Times New Roman" w:eastAsia="仿宋_GB2312" w:cs="仿宋_GB2312"/>
          <w:color w:val="auto"/>
          <w:kern w:val="2"/>
          <w:sz w:val="32"/>
          <w:szCs w:val="32"/>
          <w:highlight w:val="none"/>
          <w:lang w:val="zh-CN" w:eastAsia="zh-CN" w:bidi="ar-SA"/>
        </w:rPr>
        <w:t>预算管理</w:t>
      </w:r>
      <w:r>
        <w:rPr>
          <w:rFonts w:hint="eastAsia" w:ascii="Times New Roman" w:hAnsi="Times New Roman" w:eastAsia="仿宋_GB2312" w:cs="仿宋_GB2312"/>
          <w:color w:val="auto"/>
          <w:kern w:val="2"/>
          <w:sz w:val="32"/>
          <w:szCs w:val="32"/>
          <w:highlight w:val="none"/>
          <w:lang w:val="zh-CN" w:eastAsia="zh-CN" w:bidi="ar-SA"/>
        </w:rPr>
        <w:t>。围绕预算编制质量、单位收入统筹、支出执行进度、预算年终结余、严控一般性支出</w:t>
      </w:r>
      <w:r>
        <w:rPr>
          <w:rFonts w:hint="eastAsia" w:eastAsia="仿宋_GB2312" w:cs="仿宋_GB2312"/>
          <w:color w:val="auto"/>
          <w:kern w:val="2"/>
          <w:sz w:val="32"/>
          <w:szCs w:val="32"/>
          <w:highlight w:val="none"/>
          <w:lang w:val="en-US" w:eastAsia="zh-CN" w:bidi="ar-SA"/>
        </w:rPr>
        <w:t>严格执行</w:t>
      </w:r>
      <w:r>
        <w:rPr>
          <w:rFonts w:hint="eastAsia" w:ascii="Times New Roman" w:hAnsi="Times New Roman" w:eastAsia="仿宋_GB2312" w:cs="仿宋_GB2312"/>
          <w:color w:val="auto"/>
          <w:kern w:val="2"/>
          <w:sz w:val="32"/>
          <w:szCs w:val="32"/>
          <w:highlight w:val="none"/>
          <w:lang w:val="zh-CN"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default" w:ascii="Times New Roman" w:hAnsi="Times New Roman" w:eastAsia="仿宋_GB2312" w:cs="仿宋_GB2312"/>
          <w:color w:val="auto"/>
          <w:kern w:val="2"/>
          <w:sz w:val="32"/>
          <w:szCs w:val="32"/>
          <w:highlight w:val="none"/>
          <w:lang w:val="zh-CN" w:eastAsia="zh-CN" w:bidi="ar-SA"/>
        </w:rPr>
        <w:t>财务管理</w:t>
      </w:r>
      <w:r>
        <w:rPr>
          <w:rFonts w:hint="eastAsia" w:ascii="Times New Roman" w:hAnsi="Times New Roman" w:eastAsia="仿宋_GB2312" w:cs="仿宋_GB2312"/>
          <w:color w:val="auto"/>
          <w:kern w:val="2"/>
          <w:sz w:val="32"/>
          <w:szCs w:val="32"/>
          <w:highlight w:val="none"/>
          <w:lang w:val="zh-CN" w:eastAsia="zh-CN" w:bidi="ar-SA"/>
        </w:rPr>
        <w:t>。围绕财务管理制度、财务岗位设置、资金使用规范</w:t>
      </w:r>
      <w:r>
        <w:rPr>
          <w:rFonts w:hint="eastAsia" w:eastAsia="仿宋_GB2312" w:cs="仿宋_GB2312"/>
          <w:color w:val="auto"/>
          <w:kern w:val="2"/>
          <w:sz w:val="32"/>
          <w:szCs w:val="32"/>
          <w:highlight w:val="none"/>
          <w:lang w:val="en-US" w:eastAsia="zh-CN" w:bidi="ar-SA"/>
        </w:rPr>
        <w:t>均有效管理</w:t>
      </w:r>
      <w:r>
        <w:rPr>
          <w:rFonts w:hint="eastAsia" w:ascii="Times New Roman" w:hAnsi="Times New Roman" w:eastAsia="仿宋_GB2312" w:cs="仿宋_GB2312"/>
          <w:color w:val="auto"/>
          <w:kern w:val="2"/>
          <w:sz w:val="32"/>
          <w:szCs w:val="32"/>
          <w:highlight w:val="none"/>
          <w:lang w:val="zh-CN"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4.</w:t>
      </w:r>
      <w:r>
        <w:rPr>
          <w:rFonts w:hint="default" w:ascii="Times New Roman" w:hAnsi="Times New Roman" w:eastAsia="仿宋_GB2312" w:cs="仿宋_GB2312"/>
          <w:color w:val="auto"/>
          <w:kern w:val="2"/>
          <w:sz w:val="32"/>
          <w:szCs w:val="32"/>
          <w:highlight w:val="none"/>
          <w:lang w:val="zh-CN" w:eastAsia="zh-CN" w:bidi="ar-SA"/>
        </w:rPr>
        <w:t>资产管理</w:t>
      </w:r>
      <w:r>
        <w:rPr>
          <w:rFonts w:hint="eastAsia" w:ascii="Times New Roman" w:hAnsi="Times New Roman" w:eastAsia="仿宋_GB2312" w:cs="仿宋_GB2312"/>
          <w:color w:val="auto"/>
          <w:kern w:val="2"/>
          <w:sz w:val="32"/>
          <w:szCs w:val="32"/>
          <w:highlight w:val="none"/>
          <w:lang w:val="zh-CN" w:eastAsia="zh-CN" w:bidi="ar-SA"/>
        </w:rPr>
        <w:t>。围绕人均资产变化率、资产利用率、资产盘活率</w:t>
      </w:r>
      <w:r>
        <w:rPr>
          <w:rFonts w:hint="eastAsia" w:eastAsia="仿宋_GB2312" w:cs="仿宋_GB2312"/>
          <w:color w:val="auto"/>
          <w:kern w:val="2"/>
          <w:sz w:val="32"/>
          <w:szCs w:val="32"/>
          <w:highlight w:val="none"/>
          <w:lang w:val="en-US" w:eastAsia="zh-CN" w:bidi="ar-SA"/>
        </w:rPr>
        <w:t>良好</w:t>
      </w:r>
      <w:r>
        <w:rPr>
          <w:rFonts w:hint="eastAsia" w:ascii="Times New Roman" w:hAnsi="Times New Roman" w:eastAsia="仿宋_GB2312" w:cs="仿宋_GB2312"/>
          <w:color w:val="auto"/>
          <w:kern w:val="2"/>
          <w:sz w:val="32"/>
          <w:szCs w:val="32"/>
          <w:highlight w:val="none"/>
          <w:lang w:val="zh-CN"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5.</w:t>
      </w:r>
      <w:r>
        <w:rPr>
          <w:rFonts w:hint="default" w:ascii="Times New Roman" w:hAnsi="Times New Roman" w:eastAsia="仿宋_GB2312" w:cs="仿宋_GB2312"/>
          <w:color w:val="auto"/>
          <w:kern w:val="2"/>
          <w:sz w:val="32"/>
          <w:szCs w:val="32"/>
          <w:highlight w:val="none"/>
          <w:lang w:val="zh-CN" w:eastAsia="zh-CN" w:bidi="ar-SA"/>
        </w:rPr>
        <w:t>采购管理</w:t>
      </w:r>
      <w:r>
        <w:rPr>
          <w:rFonts w:hint="eastAsia" w:ascii="Times New Roman" w:hAnsi="Times New Roman" w:eastAsia="仿宋_GB2312" w:cs="仿宋_GB2312"/>
          <w:color w:val="auto"/>
          <w:kern w:val="2"/>
          <w:sz w:val="32"/>
          <w:szCs w:val="32"/>
          <w:highlight w:val="none"/>
          <w:lang w:val="zh-CN" w:eastAsia="zh-CN" w:bidi="ar-SA"/>
        </w:rPr>
        <w:t>。围绕支持中小企业发展、采购执行率</w:t>
      </w:r>
      <w:r>
        <w:rPr>
          <w:rFonts w:hint="eastAsia" w:eastAsia="仿宋_GB2312" w:cs="仿宋_GB2312"/>
          <w:color w:val="auto"/>
          <w:kern w:val="2"/>
          <w:sz w:val="32"/>
          <w:szCs w:val="32"/>
          <w:highlight w:val="none"/>
          <w:lang w:val="en-US" w:eastAsia="zh-CN" w:bidi="ar-SA"/>
        </w:rPr>
        <w:t>严格按规定执行</w:t>
      </w:r>
      <w:r>
        <w:rPr>
          <w:rFonts w:hint="eastAsia" w:ascii="Times New Roman" w:hAnsi="Times New Roman" w:eastAsia="仿宋_GB2312" w:cs="仿宋_GB2312"/>
          <w:color w:val="auto"/>
          <w:kern w:val="2"/>
          <w:sz w:val="32"/>
          <w:szCs w:val="32"/>
          <w:highlight w:val="none"/>
          <w:lang w:val="zh-CN"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r>
        <w:rPr>
          <w:rFonts w:hint="eastAsia" w:ascii="Times New Roman" w:hAnsi="Times New Roman" w:eastAsia="仿宋_GB2312" w:cs="仿宋_GB2312"/>
          <w:color w:val="auto"/>
          <w:kern w:val="2"/>
          <w:sz w:val="32"/>
          <w:szCs w:val="32"/>
          <w:highlight w:val="none"/>
          <w:lang w:val="zh-CN" w:eastAsia="zh-CN" w:bidi="ar-SA"/>
        </w:rPr>
        <w:t>填报以下数据，并</w:t>
      </w:r>
      <w:r>
        <w:rPr>
          <w:rFonts w:hint="default" w:ascii="Times New Roman" w:hAnsi="Times New Roman" w:eastAsia="仿宋_GB2312" w:cs="仿宋_GB2312"/>
          <w:color w:val="auto"/>
          <w:kern w:val="2"/>
          <w:sz w:val="32"/>
          <w:szCs w:val="32"/>
          <w:highlight w:val="none"/>
          <w:lang w:val="zh-CN" w:eastAsia="zh-CN" w:bidi="ar-SA"/>
        </w:rPr>
        <w:t>根据部门预算绩效评价指标体系</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项目绩效</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涉及</w:t>
      </w:r>
      <w:r>
        <w:rPr>
          <w:rFonts w:hint="eastAsia" w:ascii="Times New Roman" w:hAnsi="Times New Roman" w:eastAsia="仿宋_GB2312" w:cs="仿宋_GB2312"/>
          <w:color w:val="auto"/>
          <w:kern w:val="2"/>
          <w:sz w:val="32"/>
          <w:szCs w:val="32"/>
          <w:highlight w:val="none"/>
          <w:lang w:val="zh-CN" w:eastAsia="zh-CN" w:bidi="ar-SA"/>
        </w:rPr>
        <w:t>二、三级</w:t>
      </w:r>
      <w:r>
        <w:rPr>
          <w:rFonts w:hint="default" w:ascii="Times New Roman" w:hAnsi="Times New Roman" w:eastAsia="仿宋_GB2312" w:cs="仿宋_GB2312"/>
          <w:color w:val="auto"/>
          <w:kern w:val="2"/>
          <w:sz w:val="32"/>
          <w:szCs w:val="32"/>
          <w:highlight w:val="none"/>
          <w:lang w:val="zh-CN" w:eastAsia="zh-CN" w:bidi="ar-SA"/>
        </w:rPr>
        <w:t>指标进行</w:t>
      </w:r>
      <w:r>
        <w:rPr>
          <w:rFonts w:hint="eastAsia" w:ascii="Times New Roman" w:hAnsi="Times New Roman" w:eastAsia="仿宋_GB2312" w:cs="仿宋_GB2312"/>
          <w:color w:val="auto"/>
          <w:kern w:val="2"/>
          <w:sz w:val="32"/>
          <w:szCs w:val="32"/>
          <w:highlight w:val="none"/>
          <w:lang w:val="zh-CN" w:eastAsia="zh-CN" w:bidi="ar-SA"/>
        </w:rPr>
        <w:t>逐项</w:t>
      </w:r>
      <w:r>
        <w:rPr>
          <w:rFonts w:hint="default" w:ascii="Times New Roman" w:hAnsi="Times New Roman" w:eastAsia="仿宋_GB2312" w:cs="仿宋_GB2312"/>
          <w:color w:val="auto"/>
          <w:kern w:val="2"/>
          <w:sz w:val="32"/>
          <w:szCs w:val="32"/>
          <w:highlight w:val="none"/>
          <w:lang w:val="zh-CN" w:eastAsia="zh-CN" w:bidi="ar-SA"/>
        </w:rPr>
        <w:t>绩效分析</w:t>
      </w:r>
      <w:r>
        <w:rPr>
          <w:rFonts w:hint="eastAsia" w:ascii="Times New Roman" w:hAnsi="Times New Roman" w:eastAsia="仿宋_GB2312" w:cs="仿宋_GB2312"/>
          <w:color w:val="auto"/>
          <w:kern w:val="2"/>
          <w:sz w:val="32"/>
          <w:szCs w:val="32"/>
          <w:highlight w:val="none"/>
          <w:lang w:val="zh-CN" w:eastAsia="zh-CN" w:bidi="ar-SA"/>
        </w:rPr>
        <w:t>并评分</w:t>
      </w:r>
      <w:r>
        <w:rPr>
          <w:rFonts w:hint="default" w:ascii="Times New Roman" w:hAnsi="Times New Roman" w:eastAsia="仿宋_GB2312" w:cs="仿宋_GB2312"/>
          <w:color w:val="auto"/>
          <w:kern w:val="2"/>
          <w:sz w:val="32"/>
          <w:szCs w:val="32"/>
          <w:highlight w:val="none"/>
          <w:lang w:val="zh-CN" w:eastAsia="zh-CN" w:bidi="ar-SA"/>
        </w:rPr>
        <w:t>，依次包括项目</w:t>
      </w:r>
      <w:r>
        <w:rPr>
          <w:rFonts w:hint="default" w:ascii="Times New Roman" w:hAnsi="Times New Roman" w:eastAsia="仿宋_GB2312" w:cs="仿宋_GB2312"/>
          <w:color w:val="auto"/>
          <w:kern w:val="2"/>
          <w:sz w:val="32"/>
          <w:szCs w:val="32"/>
          <w:highlight w:val="none"/>
          <w:lang w:val="en-US" w:eastAsia="zh-CN" w:bidi="ar-SA"/>
        </w:rPr>
        <w:t>决策、项目执行、目标实现等情况</w:t>
      </w:r>
      <w:r>
        <w:rPr>
          <w:rFonts w:hint="eastAsia" w:ascii="Times New Roman" w:hAnsi="Times New Roman" w:eastAsia="仿宋_GB2312" w:cs="仿宋_GB2312"/>
          <w:color w:val="auto"/>
          <w:kern w:val="2"/>
          <w:sz w:val="32"/>
          <w:szCs w:val="32"/>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仿宋_GB2312" w:cs="仿宋_GB2312"/>
          <w:color w:val="auto"/>
          <w:kern w:val="2"/>
          <w:sz w:val="32"/>
          <w:szCs w:val="32"/>
          <w:highlight w:val="none"/>
          <w:lang w:val="en-US" w:eastAsia="zh-CN" w:bidi="ar-SA"/>
        </w:rPr>
        <w:t>常年项目绩效分析。</w:t>
      </w:r>
      <w:r>
        <w:rPr>
          <w:rFonts w:hint="default" w:ascii="Times New Roman" w:hAnsi="Times New Roman" w:eastAsia="仿宋_GB2312" w:cs="仿宋_GB2312"/>
          <w:color w:val="auto"/>
          <w:kern w:val="2"/>
          <w:sz w:val="32"/>
          <w:szCs w:val="32"/>
          <w:highlight w:val="none"/>
          <w:lang w:val="zh-CN" w:eastAsia="zh-CN" w:bidi="ar-SA"/>
        </w:rPr>
        <w:t>该类项目总数</w:t>
      </w:r>
      <w:r>
        <w:rPr>
          <w:rFonts w:hint="eastAsia" w:eastAsia="仿宋_GB2312" w:cs="仿宋_GB2312"/>
          <w:color w:val="auto"/>
          <w:kern w:val="2"/>
          <w:sz w:val="32"/>
          <w:szCs w:val="32"/>
          <w:highlight w:val="none"/>
          <w:lang w:val="en-US" w:eastAsia="zh-CN" w:bidi="ar-SA"/>
        </w:rPr>
        <w:t>5</w:t>
      </w:r>
      <w:r>
        <w:rPr>
          <w:rFonts w:hint="default" w:ascii="Times New Roman" w:hAnsi="Times New Roman" w:eastAsia="仿宋_GB2312" w:cs="仿宋_GB2312"/>
          <w:color w:val="auto"/>
          <w:kern w:val="2"/>
          <w:sz w:val="32"/>
          <w:szCs w:val="32"/>
          <w:highlight w:val="none"/>
          <w:lang w:val="zh-CN" w:eastAsia="zh-CN" w:bidi="ar-SA"/>
        </w:rPr>
        <w:t>个，涉及预算总金额</w:t>
      </w:r>
      <w:r>
        <w:rPr>
          <w:rFonts w:hint="eastAsia" w:eastAsia="仿宋_GB2312" w:cs="仿宋_GB2312"/>
          <w:color w:val="auto"/>
          <w:kern w:val="2"/>
          <w:sz w:val="32"/>
          <w:szCs w:val="32"/>
          <w:highlight w:val="none"/>
          <w:lang w:val="en-US" w:eastAsia="zh-CN" w:bidi="ar-SA"/>
        </w:rPr>
        <w:t>230</w:t>
      </w:r>
      <w:r>
        <w:rPr>
          <w:rFonts w:hint="default" w:ascii="Times New Roman" w:hAnsi="Times New Roman" w:eastAsia="仿宋_GB2312" w:cs="仿宋_GB2312"/>
          <w:color w:val="auto"/>
          <w:kern w:val="2"/>
          <w:sz w:val="32"/>
          <w:szCs w:val="32"/>
          <w:highlight w:val="none"/>
          <w:lang w:val="zh-CN" w:eastAsia="zh-CN" w:bidi="ar-SA"/>
        </w:rPr>
        <w:t>万元，1</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1</w:t>
      </w:r>
      <w:r>
        <w:rPr>
          <w:rFonts w:hint="default" w:ascii="Times New Roman" w:hAnsi="Times New Roman" w:eastAsia="仿宋_GB2312" w:cs="仿宋_GB2312"/>
          <w:color w:val="auto"/>
          <w:kern w:val="2"/>
          <w:sz w:val="32"/>
          <w:szCs w:val="32"/>
          <w:highlight w:val="none"/>
          <w:lang w:val="en-US" w:eastAsia="zh-CN" w:bidi="ar-SA"/>
        </w:rPr>
        <w:t>2</w:t>
      </w:r>
      <w:r>
        <w:rPr>
          <w:rFonts w:hint="default" w:ascii="Times New Roman" w:hAnsi="Times New Roman" w:eastAsia="仿宋_GB2312" w:cs="仿宋_GB2312"/>
          <w:color w:val="auto"/>
          <w:kern w:val="2"/>
          <w:sz w:val="32"/>
          <w:szCs w:val="32"/>
          <w:highlight w:val="none"/>
          <w:lang w:val="zh-CN" w:eastAsia="zh-CN" w:bidi="ar-SA"/>
        </w:rPr>
        <w:t>月预算执行总体进度为</w:t>
      </w:r>
      <w:r>
        <w:rPr>
          <w:rFonts w:hint="eastAsia" w:eastAsia="仿宋_GB2312" w:cs="仿宋_GB2312"/>
          <w:color w:val="auto"/>
          <w:kern w:val="2"/>
          <w:sz w:val="32"/>
          <w:szCs w:val="32"/>
          <w:highlight w:val="none"/>
          <w:lang w:val="en-US" w:eastAsia="zh-CN" w:bidi="ar-SA"/>
        </w:rPr>
        <w:t>100</w:t>
      </w:r>
      <w:r>
        <w:rPr>
          <w:rFonts w:hint="default" w:ascii="Times New Roman" w:hAnsi="Times New Roman" w:eastAsia="仿宋_GB2312" w:cs="仿宋_GB2312"/>
          <w:color w:val="auto"/>
          <w:kern w:val="2"/>
          <w:sz w:val="32"/>
          <w:szCs w:val="32"/>
          <w:highlight w:val="none"/>
          <w:lang w:val="zh-CN"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仿宋_GB2312" w:cs="仿宋_GB2312"/>
          <w:color w:val="auto"/>
          <w:kern w:val="2"/>
          <w:sz w:val="32"/>
          <w:szCs w:val="32"/>
          <w:highlight w:val="none"/>
          <w:lang w:val="en-US" w:eastAsia="zh-CN" w:bidi="ar-SA"/>
        </w:rPr>
        <w:t>阶段</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en-US" w:eastAsia="zh-CN" w:bidi="ar-SA"/>
        </w:rPr>
        <w:t>一次性</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en-US" w:eastAsia="zh-CN" w:bidi="ar-SA"/>
        </w:rPr>
        <w:t>项目绩效分析。</w:t>
      </w:r>
      <w:r>
        <w:rPr>
          <w:rFonts w:hint="default" w:ascii="Times New Roman" w:hAnsi="Times New Roman" w:eastAsia="仿宋_GB2312" w:cs="仿宋_GB2312"/>
          <w:color w:val="auto"/>
          <w:kern w:val="2"/>
          <w:sz w:val="32"/>
          <w:szCs w:val="32"/>
          <w:highlight w:val="none"/>
          <w:lang w:val="zh-CN" w:eastAsia="zh-CN" w:bidi="ar-SA"/>
        </w:rPr>
        <w:t>该类项目总数</w:t>
      </w:r>
      <w:r>
        <w:rPr>
          <w:rFonts w:hint="eastAsia" w:eastAsia="仿宋_GB2312" w:cs="仿宋_GB2312"/>
          <w:color w:val="auto"/>
          <w:kern w:val="2"/>
          <w:sz w:val="32"/>
          <w:szCs w:val="32"/>
          <w:highlight w:val="none"/>
          <w:lang w:val="en-US" w:eastAsia="zh-CN" w:bidi="ar-SA"/>
        </w:rPr>
        <w:t>2</w:t>
      </w:r>
      <w:r>
        <w:rPr>
          <w:rFonts w:hint="default" w:ascii="Times New Roman" w:hAnsi="Times New Roman" w:eastAsia="仿宋_GB2312" w:cs="仿宋_GB2312"/>
          <w:color w:val="auto"/>
          <w:kern w:val="2"/>
          <w:sz w:val="32"/>
          <w:szCs w:val="32"/>
          <w:highlight w:val="none"/>
          <w:lang w:val="zh-CN" w:eastAsia="zh-CN" w:bidi="ar-SA"/>
        </w:rPr>
        <w:t>个，涉及预算总金额</w:t>
      </w:r>
      <w:r>
        <w:rPr>
          <w:rFonts w:hint="eastAsia" w:eastAsia="仿宋_GB2312" w:cs="仿宋_GB2312"/>
          <w:color w:val="auto"/>
          <w:kern w:val="2"/>
          <w:sz w:val="32"/>
          <w:szCs w:val="32"/>
          <w:highlight w:val="none"/>
          <w:lang w:val="en-US" w:eastAsia="zh-CN" w:bidi="ar-SA"/>
        </w:rPr>
        <w:t>1500</w:t>
      </w:r>
      <w:r>
        <w:rPr>
          <w:rFonts w:hint="default" w:ascii="Times New Roman" w:hAnsi="Times New Roman" w:eastAsia="仿宋_GB2312" w:cs="仿宋_GB2312"/>
          <w:color w:val="auto"/>
          <w:kern w:val="2"/>
          <w:sz w:val="32"/>
          <w:szCs w:val="32"/>
          <w:highlight w:val="none"/>
          <w:lang w:val="zh-CN" w:eastAsia="zh-CN" w:bidi="ar-SA"/>
        </w:rPr>
        <w:t>万元，1</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1</w:t>
      </w:r>
      <w:r>
        <w:rPr>
          <w:rFonts w:hint="default" w:ascii="Times New Roman" w:hAnsi="Times New Roman" w:eastAsia="仿宋_GB2312" w:cs="仿宋_GB2312"/>
          <w:color w:val="auto"/>
          <w:kern w:val="2"/>
          <w:sz w:val="32"/>
          <w:szCs w:val="32"/>
          <w:highlight w:val="none"/>
          <w:lang w:val="en-US" w:eastAsia="zh-CN" w:bidi="ar-SA"/>
        </w:rPr>
        <w:t>2</w:t>
      </w:r>
      <w:r>
        <w:rPr>
          <w:rFonts w:hint="default" w:ascii="Times New Roman" w:hAnsi="Times New Roman" w:eastAsia="仿宋_GB2312" w:cs="仿宋_GB2312"/>
          <w:color w:val="auto"/>
          <w:kern w:val="2"/>
          <w:sz w:val="32"/>
          <w:szCs w:val="32"/>
          <w:highlight w:val="none"/>
          <w:lang w:val="zh-CN" w:eastAsia="zh-CN" w:bidi="ar-SA"/>
        </w:rPr>
        <w:t>月预算执行总体进度为</w:t>
      </w:r>
      <w:r>
        <w:rPr>
          <w:rFonts w:hint="eastAsia" w:eastAsia="仿宋_GB2312" w:cs="仿宋_GB2312"/>
          <w:color w:val="auto"/>
          <w:kern w:val="2"/>
          <w:sz w:val="32"/>
          <w:szCs w:val="32"/>
          <w:highlight w:val="none"/>
          <w:lang w:val="en-US" w:eastAsia="zh-CN" w:bidi="ar-SA"/>
        </w:rPr>
        <w:t>100</w:t>
      </w:r>
      <w:r>
        <w:rPr>
          <w:rFonts w:hint="default" w:ascii="Times New Roman" w:hAnsi="Times New Roman" w:eastAsia="仿宋_GB2312" w:cs="仿宋_GB2312"/>
          <w:color w:val="auto"/>
          <w:kern w:val="2"/>
          <w:sz w:val="32"/>
          <w:szCs w:val="32"/>
          <w:highlight w:val="none"/>
          <w:lang w:val="zh-CN"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zh-CN" w:eastAsia="zh-CN" w:bidi="ar-SA"/>
        </w:rPr>
        <w:t>项目决策。决策程序</w:t>
      </w:r>
      <w:r>
        <w:rPr>
          <w:rFonts w:hint="eastAsia" w:eastAsia="仿宋_GB2312" w:cs="仿宋_GB2312"/>
          <w:color w:val="auto"/>
          <w:kern w:val="2"/>
          <w:sz w:val="32"/>
          <w:szCs w:val="32"/>
          <w:highlight w:val="none"/>
          <w:lang w:val="en-US" w:eastAsia="zh-CN" w:bidi="ar-SA"/>
        </w:rPr>
        <w:t>完整</w:t>
      </w:r>
      <w:r>
        <w:rPr>
          <w:rFonts w:hint="eastAsia" w:ascii="Times New Roman" w:hAnsi="Times New Roman" w:eastAsia="仿宋_GB2312" w:cs="仿宋_GB2312"/>
          <w:color w:val="auto"/>
          <w:kern w:val="2"/>
          <w:sz w:val="32"/>
          <w:szCs w:val="32"/>
          <w:highlight w:val="none"/>
          <w:lang w:val="zh-CN" w:eastAsia="zh-CN" w:bidi="ar-SA"/>
        </w:rPr>
        <w:t>、目标设置</w:t>
      </w:r>
      <w:r>
        <w:rPr>
          <w:rFonts w:hint="eastAsia" w:eastAsia="仿宋_GB2312" w:cs="仿宋_GB2312"/>
          <w:color w:val="auto"/>
          <w:kern w:val="2"/>
          <w:sz w:val="32"/>
          <w:szCs w:val="32"/>
          <w:highlight w:val="none"/>
          <w:lang w:val="en-US" w:eastAsia="zh-CN" w:bidi="ar-SA"/>
        </w:rPr>
        <w:t>优异</w:t>
      </w:r>
      <w:r>
        <w:rPr>
          <w:rFonts w:hint="eastAsia" w:ascii="Times New Roman" w:hAnsi="Times New Roman" w:eastAsia="仿宋_GB2312" w:cs="仿宋_GB2312"/>
          <w:color w:val="auto"/>
          <w:kern w:val="2"/>
          <w:sz w:val="32"/>
          <w:szCs w:val="32"/>
          <w:highlight w:val="none"/>
          <w:lang w:val="zh-CN" w:eastAsia="zh-CN" w:bidi="ar-SA"/>
        </w:rPr>
        <w:t>、项目入库</w:t>
      </w:r>
      <w:r>
        <w:rPr>
          <w:rFonts w:hint="eastAsia" w:eastAsia="仿宋_GB2312" w:cs="仿宋_GB2312"/>
          <w:color w:val="auto"/>
          <w:kern w:val="2"/>
          <w:sz w:val="32"/>
          <w:szCs w:val="32"/>
          <w:highlight w:val="none"/>
          <w:lang w:val="en-US" w:eastAsia="zh-CN" w:bidi="ar-SA"/>
        </w:rPr>
        <w:t>及时</w:t>
      </w:r>
      <w:r>
        <w:rPr>
          <w:rFonts w:hint="eastAsia" w:ascii="Times New Roman" w:hAnsi="Times New Roman" w:eastAsia="仿宋_GB2312" w:cs="仿宋_GB2312"/>
          <w:color w:val="auto"/>
          <w:kern w:val="2"/>
          <w:sz w:val="32"/>
          <w:szCs w:val="32"/>
          <w:highlight w:val="none"/>
          <w:lang w:val="zh-CN"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2.项目执行</w:t>
      </w:r>
      <w:r>
        <w:rPr>
          <w:rFonts w:hint="eastAsia" w:ascii="Times New Roman" w:hAnsi="Times New Roman" w:eastAsia="仿宋_GB2312" w:cs="仿宋_GB2312"/>
          <w:color w:val="auto"/>
          <w:kern w:val="2"/>
          <w:sz w:val="32"/>
          <w:szCs w:val="32"/>
          <w:highlight w:val="none"/>
          <w:lang w:val="zh-CN" w:eastAsia="zh-CN" w:bidi="ar-SA"/>
        </w:rPr>
        <w:t>。资金执行同向、项目调整</w:t>
      </w:r>
      <w:r>
        <w:rPr>
          <w:rFonts w:hint="eastAsia" w:eastAsia="仿宋_GB2312" w:cs="仿宋_GB2312"/>
          <w:color w:val="auto"/>
          <w:kern w:val="2"/>
          <w:sz w:val="32"/>
          <w:szCs w:val="32"/>
          <w:highlight w:val="none"/>
          <w:lang w:val="en-US" w:eastAsia="zh-CN" w:bidi="ar-SA"/>
        </w:rPr>
        <w:t>及时</w:t>
      </w:r>
      <w:r>
        <w:rPr>
          <w:rFonts w:hint="eastAsia" w:ascii="Times New Roman" w:hAnsi="Times New Roman" w:eastAsia="仿宋_GB2312" w:cs="仿宋_GB2312"/>
          <w:color w:val="auto"/>
          <w:kern w:val="2"/>
          <w:sz w:val="32"/>
          <w:szCs w:val="32"/>
          <w:highlight w:val="none"/>
          <w:lang w:val="zh-CN" w:eastAsia="zh-CN" w:bidi="ar-SA"/>
        </w:rPr>
        <w:t>、执行结果</w:t>
      </w:r>
      <w:r>
        <w:rPr>
          <w:rFonts w:hint="eastAsia" w:eastAsia="仿宋_GB2312" w:cs="仿宋_GB2312"/>
          <w:color w:val="auto"/>
          <w:kern w:val="2"/>
          <w:sz w:val="32"/>
          <w:szCs w:val="32"/>
          <w:highlight w:val="none"/>
          <w:lang w:val="en-US" w:eastAsia="zh-CN" w:bidi="ar-SA"/>
        </w:rPr>
        <w:t>良好</w:t>
      </w:r>
      <w:r>
        <w:rPr>
          <w:rFonts w:hint="eastAsia" w:ascii="Times New Roman" w:hAnsi="Times New Roman" w:eastAsia="仿宋_GB2312" w:cs="仿宋_GB2312"/>
          <w:color w:val="auto"/>
          <w:kern w:val="2"/>
          <w:sz w:val="32"/>
          <w:szCs w:val="32"/>
          <w:highlight w:val="none"/>
          <w:lang w:val="zh-CN"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zh-CN" w:eastAsia="zh-CN" w:bidi="ar-SA"/>
        </w:rPr>
        <w:t>目标实现。目标完成</w:t>
      </w:r>
      <w:r>
        <w:rPr>
          <w:rFonts w:hint="eastAsia" w:eastAsia="仿宋_GB2312" w:cs="仿宋_GB2312"/>
          <w:color w:val="auto"/>
          <w:kern w:val="2"/>
          <w:sz w:val="32"/>
          <w:szCs w:val="32"/>
          <w:highlight w:val="none"/>
          <w:lang w:val="en-US" w:eastAsia="zh-CN" w:bidi="ar-SA"/>
        </w:rPr>
        <w:t>情况良好</w:t>
      </w:r>
      <w:r>
        <w:rPr>
          <w:rFonts w:hint="eastAsia" w:ascii="Times New Roman" w:hAnsi="Times New Roman" w:eastAsia="仿宋_GB2312" w:cs="仿宋_GB2312"/>
          <w:color w:val="auto"/>
          <w:kern w:val="2"/>
          <w:sz w:val="32"/>
          <w:szCs w:val="32"/>
          <w:highlight w:val="none"/>
          <w:lang w:val="zh-CN" w:eastAsia="zh-CN" w:bidi="ar-SA"/>
        </w:rPr>
        <w:t>、目标偏离</w:t>
      </w:r>
      <w:r>
        <w:rPr>
          <w:rFonts w:hint="eastAsia" w:eastAsia="仿宋_GB2312" w:cs="仿宋_GB2312"/>
          <w:color w:val="auto"/>
          <w:kern w:val="2"/>
          <w:sz w:val="32"/>
          <w:szCs w:val="32"/>
          <w:highlight w:val="none"/>
          <w:lang w:val="en-US" w:eastAsia="zh-CN" w:bidi="ar-SA"/>
        </w:rPr>
        <w:t>杜低</w:t>
      </w:r>
      <w:r>
        <w:rPr>
          <w:rFonts w:hint="eastAsia" w:ascii="Times New Roman" w:hAnsi="Times New Roman" w:eastAsia="仿宋_GB2312" w:cs="仿宋_GB2312"/>
          <w:color w:val="auto"/>
          <w:kern w:val="2"/>
          <w:sz w:val="32"/>
          <w:szCs w:val="32"/>
          <w:highlight w:val="none"/>
          <w:lang w:val="zh-CN" w:eastAsia="zh-CN" w:bidi="ar-SA"/>
        </w:rPr>
        <w:t>、实现效果</w:t>
      </w:r>
      <w:r>
        <w:rPr>
          <w:rFonts w:hint="eastAsia" w:eastAsia="仿宋_GB2312" w:cs="仿宋_GB2312"/>
          <w:color w:val="auto"/>
          <w:kern w:val="2"/>
          <w:sz w:val="32"/>
          <w:szCs w:val="32"/>
          <w:highlight w:val="none"/>
          <w:lang w:val="en-US" w:eastAsia="zh-CN" w:bidi="ar-SA"/>
        </w:rPr>
        <w:t>优异</w:t>
      </w:r>
      <w:r>
        <w:rPr>
          <w:rFonts w:hint="eastAsia" w:ascii="Times New Roman" w:hAnsi="Times New Roman" w:eastAsia="仿宋_GB2312" w:cs="仿宋_GB2312"/>
          <w:color w:val="auto"/>
          <w:kern w:val="2"/>
          <w:sz w:val="32"/>
          <w:szCs w:val="32"/>
          <w:highlight w:val="none"/>
          <w:lang w:val="zh-CN" w:eastAsia="zh-CN" w:bidi="ar-SA"/>
        </w:rPr>
        <w:t>。</w:t>
      </w:r>
    </w:p>
    <w:p>
      <w:pPr>
        <w:keepNext w:val="0"/>
        <w:keepLines w:val="0"/>
        <w:pageBreakBefore w:val="0"/>
        <w:widowControl w:val="0"/>
        <w:kinsoku/>
        <w:wordWrap/>
        <w:overflowPunct/>
        <w:topLinePunct w:val="0"/>
        <w:autoSpaceDE/>
        <w:autoSpaceDN/>
        <w:bidi w:val="0"/>
        <w:snapToGrid w:val="0"/>
        <w:spacing w:line="600" w:lineRule="exact"/>
        <w:ind w:firstLine="643" w:firstLineChars="200"/>
        <w:textAlignment w:val="auto"/>
        <w:rPr>
          <w:rFonts w:hint="default" w:ascii="Times New Roman" w:hAnsi="Times New Roman" w:eastAsia="仿宋_GB2312" w:cs="Times New Roman"/>
          <w:sz w:val="32"/>
          <w:szCs w:val="32"/>
          <w:highlight w:val="none"/>
          <w:u w:val="none"/>
          <w:lang w:bidi="ar"/>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eastAsia="楷体_GB2312" w:cs="Times New Roman"/>
          <w:b/>
          <w:bCs/>
          <w:color w:val="000000"/>
          <w:kern w:val="0"/>
          <w:sz w:val="32"/>
          <w:szCs w:val="32"/>
          <w:highlight w:val="none"/>
          <w:shd w:val="clear" w:color="auto" w:fill="FFFFFF"/>
          <w:lang w:val="en-US" w:eastAsia="zh-CN"/>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rPr>
        <w:t>）绩效结果应用情况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Times New Roman" w:hAnsi="Times New Roman" w:eastAsia="仿宋_GB2312" w:cs="Times New Roman"/>
          <w:sz w:val="32"/>
          <w:szCs w:val="32"/>
          <w:highlight w:val="none"/>
          <w:u w:val="none"/>
          <w:lang w:val="zh-CN" w:eastAsia="zh-CN" w:bidi="ar"/>
        </w:rPr>
        <w:t>内部应用情况</w:t>
      </w:r>
      <w:r>
        <w:rPr>
          <w:rFonts w:hint="eastAsia" w:eastAsia="仿宋_GB2312" w:cs="Times New Roman"/>
          <w:sz w:val="32"/>
          <w:szCs w:val="32"/>
          <w:highlight w:val="none"/>
          <w:u w:val="none"/>
          <w:lang w:val="en-US" w:eastAsia="zh-CN" w:bidi="ar"/>
        </w:rPr>
        <w:t>良好</w:t>
      </w:r>
      <w:r>
        <w:rPr>
          <w:rFonts w:hint="eastAsia" w:ascii="Times New Roman" w:hAnsi="Times New Roman" w:eastAsia="仿宋_GB2312" w:cs="Times New Roman"/>
          <w:sz w:val="32"/>
          <w:szCs w:val="32"/>
          <w:highlight w:val="none"/>
          <w:u w:val="none"/>
          <w:lang w:val="zh-CN" w:eastAsia="zh-CN" w:bidi="ar"/>
        </w:rPr>
        <w:t>、</w:t>
      </w:r>
      <w:r>
        <w:rPr>
          <w:rFonts w:hint="default" w:ascii="Times New Roman" w:hAnsi="Times New Roman" w:eastAsia="仿宋_GB2312" w:cs="Times New Roman"/>
          <w:sz w:val="32"/>
          <w:szCs w:val="32"/>
          <w:highlight w:val="none"/>
          <w:u w:val="none"/>
          <w:lang w:val="zh-CN" w:eastAsia="zh-CN" w:bidi="ar"/>
        </w:rPr>
        <w:t>信息公开情况</w:t>
      </w:r>
      <w:r>
        <w:rPr>
          <w:rFonts w:hint="eastAsia" w:eastAsia="仿宋_GB2312" w:cs="Times New Roman"/>
          <w:sz w:val="32"/>
          <w:szCs w:val="32"/>
          <w:highlight w:val="none"/>
          <w:u w:val="none"/>
          <w:lang w:val="en-US" w:eastAsia="zh-CN" w:bidi="ar"/>
        </w:rPr>
        <w:t>及时</w:t>
      </w:r>
      <w:r>
        <w:rPr>
          <w:rFonts w:hint="eastAsia" w:ascii="Times New Roman" w:hAnsi="Times New Roman" w:eastAsia="仿宋_GB2312" w:cs="Times New Roman"/>
          <w:sz w:val="32"/>
          <w:szCs w:val="32"/>
          <w:highlight w:val="none"/>
          <w:u w:val="none"/>
          <w:lang w:val="zh-CN" w:eastAsia="zh-CN" w:bidi="ar"/>
        </w:rPr>
        <w:t>、</w:t>
      </w:r>
      <w:r>
        <w:rPr>
          <w:rFonts w:hint="default" w:ascii="Times New Roman" w:hAnsi="Times New Roman" w:eastAsia="仿宋_GB2312" w:cs="Times New Roman"/>
          <w:sz w:val="32"/>
          <w:szCs w:val="32"/>
          <w:highlight w:val="none"/>
          <w:u w:val="none"/>
          <w:lang w:val="zh-CN" w:eastAsia="zh-CN" w:bidi="ar"/>
        </w:rPr>
        <w:t>整改反馈情况</w:t>
      </w:r>
      <w:r>
        <w:rPr>
          <w:rFonts w:hint="eastAsia" w:eastAsia="仿宋_GB2312" w:cs="Times New Roman"/>
          <w:sz w:val="32"/>
          <w:szCs w:val="32"/>
          <w:highlight w:val="none"/>
          <w:u w:val="none"/>
          <w:lang w:val="en-US" w:eastAsia="zh-CN" w:bidi="ar"/>
        </w:rPr>
        <w:t>良好</w:t>
      </w:r>
      <w:r>
        <w:rPr>
          <w:rFonts w:hint="eastAsia" w:ascii="Times New Roman" w:hAnsi="Times New Roman" w:eastAsia="仿宋_GB2312" w:cs="Times New Roman"/>
          <w:sz w:val="32"/>
          <w:szCs w:val="32"/>
          <w:highlight w:val="none"/>
          <w:u w:val="none"/>
          <w:lang w:val="zh-CN" w:eastAsia="zh-CN" w:bidi="ar"/>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lang w:val="zh-CN" w:eastAsia="zh-CN"/>
        </w:rPr>
        <w:t>四、</w:t>
      </w:r>
      <w:r>
        <w:rPr>
          <w:rFonts w:hint="default" w:ascii="Times New Roman" w:hAnsi="Times New Roman" w:eastAsia="黑体" w:cs="Times New Roman"/>
          <w:color w:val="000000"/>
          <w:kern w:val="0"/>
          <w:sz w:val="32"/>
          <w:szCs w:val="32"/>
          <w:highlight w:val="none"/>
          <w:shd w:val="clear" w:color="auto" w:fill="FFFFFF"/>
          <w:lang w:val="zh-CN"/>
        </w:rPr>
        <w:t>评价结论及建议</w:t>
      </w:r>
    </w:p>
    <w:p>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Times New Roman"/>
          <w:sz w:val="32"/>
          <w:szCs w:val="32"/>
          <w:highlight w:val="none"/>
          <w:u w:val="none"/>
          <w:lang w:val="en-US"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r>
        <w:rPr>
          <w:rFonts w:hint="eastAsia" w:ascii="Times New Roman" w:hAnsi="Times New Roman" w:eastAsia="仿宋_GB2312" w:cs="Times New Roman"/>
          <w:sz w:val="32"/>
          <w:szCs w:val="32"/>
          <w:highlight w:val="none"/>
          <w:u w:val="none"/>
          <w:lang w:val="zh-CN" w:eastAsia="zh-CN" w:bidi="ar"/>
        </w:rPr>
        <w:t>沐川县公安局财政预算支出，保障了公安机关日常运转，为维护社会治安稳定、打击刑事犯罪、侦办各类案件、重大活动安保、执勤巡逻等工作提供了强有力的保障，使得我局圆满完成了市公安局及县委、县政府下达的各项工作任务。</w:t>
      </w:r>
    </w:p>
    <w:p>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仿宋_GB2312" w:cs="Times New Roman"/>
          <w:sz w:val="32"/>
          <w:szCs w:val="32"/>
          <w:u w:val="none"/>
          <w:lang w:val="en-US"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rPr>
        <w:t>（二）存在问题。</w:t>
      </w:r>
      <w:r>
        <w:rPr>
          <w:rFonts w:hint="eastAsia" w:eastAsia="仿宋_GB2312" w:cs="Times New Roman"/>
          <w:sz w:val="32"/>
          <w:szCs w:val="32"/>
          <w:u w:val="none"/>
          <w:lang w:val="en-US" w:eastAsia="zh-CN" w:bidi="ar"/>
        </w:rPr>
        <w:t>无</w:t>
      </w:r>
      <w:r>
        <w:rPr>
          <w:rFonts w:hint="eastAsia" w:ascii="Times New Roman" w:hAnsi="Times New Roman" w:eastAsia="仿宋_GB2312" w:cs="Times New Roman"/>
          <w:sz w:val="32"/>
          <w:szCs w:val="32"/>
          <w:u w:val="none"/>
          <w:lang w:val="en-US" w:eastAsia="zh-CN" w:bidi="ar"/>
        </w:rPr>
        <w:t>。</w:t>
      </w:r>
    </w:p>
    <w:p>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仿宋_GB2312" w:cs="Times New Roman"/>
          <w:sz w:val="32"/>
          <w:szCs w:val="32"/>
          <w:u w:val="none"/>
          <w:lang w:val="en"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（三）改进建议。</w:t>
      </w:r>
      <w:bookmarkStart w:id="53" w:name="_Hlk110546638"/>
      <w:r>
        <w:rPr>
          <w:rFonts w:hint="eastAsia" w:eastAsia="仿宋_GB2312" w:cs="Times New Roman"/>
          <w:sz w:val="32"/>
          <w:szCs w:val="32"/>
          <w:u w:val="none"/>
          <w:lang w:val="en-US" w:eastAsia="zh-CN" w:bidi="ar"/>
        </w:rPr>
        <w:t>无</w:t>
      </w:r>
      <w:r>
        <w:rPr>
          <w:rFonts w:hint="eastAsia" w:ascii="Times New Roman" w:hAnsi="Times New Roman" w:eastAsia="仿宋_GB2312" w:cs="Times New Roman"/>
          <w:sz w:val="32"/>
          <w:szCs w:val="32"/>
          <w:u w:val="none"/>
          <w:lang w:val="en-US" w:eastAsia="zh-CN" w:bidi="ar"/>
        </w:rPr>
        <w:t>。</w:t>
      </w:r>
    </w:p>
    <w:bookmarkEnd w:id="53"/>
    <w:p>
      <w:pPr>
        <w:pStyle w:val="7"/>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p>
    <w:p>
      <w:pPr>
        <w:pStyle w:val="7"/>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Times New Roman"/>
          <w:kern w:val="2"/>
          <w:sz w:val="32"/>
          <w:szCs w:val="32"/>
          <w:u w:val="none"/>
          <w:lang w:val="zh-CN" w:eastAsia="zh-CN" w:bidi="ar"/>
        </w:rPr>
        <w:t>附表：</w:t>
      </w:r>
      <w:r>
        <w:rPr>
          <w:rFonts w:hint="eastAsia" w:ascii="Times New Roman" w:hAnsi="Times New Roman" w:eastAsia="仿宋_GB2312" w:cs="Times New Roman"/>
          <w:kern w:val="2"/>
          <w:sz w:val="32"/>
          <w:szCs w:val="32"/>
          <w:u w:val="none"/>
          <w:lang w:val="en-US" w:eastAsia="zh-CN" w:bidi="ar"/>
        </w:rPr>
        <w:t>部门预算项目支出绩效自评表（2024年度）</w:t>
      </w:r>
    </w:p>
    <w:p>
      <w:pPr>
        <w:pStyle w:val="7"/>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pPr>
        <w:pStyle w:val="2"/>
        <w:rPr>
          <w:rFonts w:hint="eastAsia" w:ascii="Times New Roman" w:hAnsi="Times New Roman" w:cs="宋体"/>
          <w:color w:val="FF0000"/>
          <w:kern w:val="0"/>
          <w:sz w:val="32"/>
          <w:szCs w:val="32"/>
          <w:highlight w:val="yellow"/>
          <w:shd w:val="clear" w:color="auto" w:fill="FFFFFF"/>
          <w:lang w:val="zh-CN"/>
        </w:rPr>
      </w:pPr>
    </w:p>
    <w:p>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p>
      <w:pPr>
        <w:pStyle w:val="2"/>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pPr>
        <w:pStyle w:val="34"/>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4"/>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专项预算项目绩效评价报告</w:t>
      </w:r>
    </w:p>
    <w:p>
      <w:pPr>
        <w:pStyle w:val="34"/>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Times New Roman" w:hAnsi="Times New Roman"/>
          <w:color w:val="auto"/>
          <w:kern w:val="2"/>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eastAsia="黑体"/>
          <w:sz w:val="32"/>
          <w:szCs w:val="32"/>
          <w:highlight w:val="none"/>
          <w:lang w:val="zh-CN"/>
        </w:rPr>
      </w:pPr>
      <w:r>
        <w:rPr>
          <w:rFonts w:hint="eastAsia" w:ascii="Times New Roman" w:hAnsi="Times New Roman" w:eastAsia="黑体"/>
          <w:sz w:val="32"/>
          <w:szCs w:val="32"/>
          <w:highlight w:val="none"/>
        </w:rPr>
        <w:t>一、</w:t>
      </w:r>
      <w:r>
        <w:rPr>
          <w:rFonts w:hint="eastAsia" w:ascii="Times New Roman" w:hAnsi="Times New Roman" w:eastAsia="黑体"/>
          <w:sz w:val="32"/>
          <w:szCs w:val="32"/>
          <w:highlight w:val="none"/>
          <w:lang w:val="zh-CN"/>
        </w:rPr>
        <w:t>项目概况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仿宋_GB2312" w:cs="仿宋_GB2312"/>
          <w:color w:val="auto"/>
          <w:kern w:val="0"/>
          <w:sz w:val="32"/>
          <w:szCs w:val="32"/>
          <w:highlight w:val="none"/>
          <w:u w:val="none"/>
          <w:shd w:val="clear" w:color="auto" w:fill="FFFFFF"/>
          <w:lang w:val="zh-CN"/>
        </w:rPr>
      </w:pPr>
      <w:r>
        <w:rPr>
          <w:rFonts w:hint="eastAsia" w:ascii="Times New Roman" w:hAnsi="Times New Roman" w:eastAsia="楷体_GB2312"/>
          <w:b/>
          <w:color w:val="auto"/>
          <w:sz w:val="32"/>
          <w:szCs w:val="32"/>
          <w:highlight w:val="none"/>
          <w:u w:val="none"/>
          <w:lang w:val="zh-CN"/>
        </w:rPr>
        <w:t>（一）设立背景及基本情况。</w:t>
      </w:r>
      <w:r>
        <w:rPr>
          <w:rFonts w:hint="eastAsia" w:ascii="Times New Roman" w:hAnsi="Times New Roman" w:eastAsia="仿宋_GB2312" w:cs="仿宋_GB2312"/>
          <w:b w:val="0"/>
          <w:bCs w:val="0"/>
          <w:kern w:val="0"/>
          <w:position w:val="0"/>
          <w:sz w:val="32"/>
          <w:szCs w:val="32"/>
          <w:highlight w:val="none"/>
          <w:lang w:val="en-US" w:eastAsia="zh-CN" w:bidi="ar-SA"/>
        </w:rPr>
        <w:t>项目</w:t>
      </w:r>
      <w:r>
        <w:rPr>
          <w:rFonts w:hint="eastAsia" w:eastAsia="仿宋_GB2312" w:cs="仿宋_GB2312"/>
          <w:b w:val="0"/>
          <w:bCs w:val="0"/>
          <w:kern w:val="0"/>
          <w:position w:val="0"/>
          <w:sz w:val="32"/>
          <w:szCs w:val="32"/>
          <w:highlight w:val="none"/>
          <w:lang w:val="en-US" w:eastAsia="zh-CN" w:bidi="ar-SA"/>
        </w:rPr>
        <w:t>因开展社区禁毒、戒毒等工作</w:t>
      </w:r>
      <w:r>
        <w:rPr>
          <w:rFonts w:hint="eastAsia" w:ascii="Times New Roman" w:hAnsi="Times New Roman" w:eastAsia="仿宋_GB2312" w:cs="仿宋_GB2312"/>
          <w:b w:val="0"/>
          <w:bCs w:val="0"/>
          <w:kern w:val="0"/>
          <w:position w:val="0"/>
          <w:sz w:val="32"/>
          <w:szCs w:val="32"/>
          <w:highlight w:val="none"/>
          <w:lang w:val="en-US" w:eastAsia="zh-CN" w:bidi="ar-SA"/>
        </w:rPr>
        <w:t>设立</w:t>
      </w:r>
      <w:r>
        <w:rPr>
          <w:rFonts w:hint="eastAsia" w:eastAsia="仿宋_GB2312" w:cs="仿宋_GB2312"/>
          <w:b w:val="0"/>
          <w:bCs w:val="0"/>
          <w:kern w:val="0"/>
          <w:position w:val="0"/>
          <w:sz w:val="32"/>
          <w:szCs w:val="32"/>
          <w:highlight w:val="none"/>
          <w:lang w:val="en-US" w:eastAsia="zh-CN" w:bidi="ar-SA"/>
        </w:rPr>
        <w:t>，确保社区戒毒康复工作有序推进</w:t>
      </w:r>
      <w:r>
        <w:rPr>
          <w:rFonts w:hint="eastAsia" w:ascii="Times New Roman" w:hAnsi="Times New Roman"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zh-CN" w:eastAsia="zh-CN" w:bidi="ar-SA"/>
        </w:rPr>
        <w:t>项目</w:t>
      </w:r>
      <w:r>
        <w:rPr>
          <w:rFonts w:hint="eastAsia" w:eastAsia="仿宋_GB2312" w:cs="仿宋_GB2312"/>
          <w:b w:val="0"/>
          <w:bCs w:val="0"/>
          <w:kern w:val="0"/>
          <w:position w:val="0"/>
          <w:sz w:val="32"/>
          <w:szCs w:val="32"/>
          <w:highlight w:val="none"/>
          <w:lang w:val="en-US" w:eastAsia="zh-CN" w:bidi="ar-SA"/>
        </w:rPr>
        <w:t>不通过</w:t>
      </w:r>
      <w:r>
        <w:rPr>
          <w:rFonts w:hint="eastAsia" w:ascii="Times New Roman" w:hAnsi="Times New Roman" w:eastAsia="仿宋_GB2312" w:cs="仿宋_GB2312"/>
          <w:b w:val="0"/>
          <w:bCs w:val="0"/>
          <w:kern w:val="0"/>
          <w:position w:val="0"/>
          <w:sz w:val="32"/>
          <w:szCs w:val="32"/>
          <w:highlight w:val="none"/>
          <w:lang w:val="zh-CN" w:eastAsia="zh-CN" w:bidi="ar-SA"/>
        </w:rPr>
        <w:t>立项、资金申报</w:t>
      </w:r>
      <w:r>
        <w:rPr>
          <w:rFonts w:hint="eastAsia" w:eastAsia="仿宋_GB2312" w:cs="仿宋_GB2312"/>
          <w:b w:val="0"/>
          <w:bCs w:val="0"/>
          <w:kern w:val="0"/>
          <w:position w:val="0"/>
          <w:sz w:val="32"/>
          <w:szCs w:val="32"/>
          <w:highlight w:val="none"/>
          <w:lang w:val="en-US" w:eastAsia="zh-CN" w:bidi="ar-SA"/>
        </w:rPr>
        <w:t>按社区戒毒、康复人数，每人每年4000元预算。</w:t>
      </w:r>
    </w:p>
    <w:p>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w:t>
      </w:r>
      <w:r>
        <w:rPr>
          <w:rFonts w:hint="eastAsia"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eastAsia" w:ascii="Times New Roman" w:hAnsi="Times New Roman" w:eastAsia="楷体_GB2312" w:cs="Times New Roman"/>
          <w:b/>
          <w:color w:val="auto"/>
          <w:sz w:val="32"/>
          <w:szCs w:val="32"/>
          <w:highlight w:val="none"/>
          <w:u w:val="none"/>
          <w:lang w:val="en-US" w:eastAsia="zh-CN"/>
        </w:rPr>
        <w:t>。</w:t>
      </w:r>
      <w:r>
        <w:rPr>
          <w:rFonts w:hint="eastAsia" w:ascii="Times New Roman" w:hAnsi="Times New Roman" w:eastAsia="仿宋_GB2312" w:cs="仿宋_GB2312"/>
          <w:b w:val="0"/>
          <w:bCs w:val="0"/>
          <w:kern w:val="0"/>
          <w:position w:val="0"/>
          <w:sz w:val="32"/>
          <w:szCs w:val="32"/>
          <w:highlight w:val="none"/>
          <w:lang w:val="en-US" w:eastAsia="zh-CN" w:bidi="ar-SA"/>
        </w:rPr>
        <w:t>项目资金</w:t>
      </w:r>
      <w:r>
        <w:rPr>
          <w:rFonts w:hint="eastAsia" w:ascii="Times New Roman" w:hAnsi="Times New Roman" w:eastAsia="仿宋_GB2312" w:cs="仿宋_GB2312"/>
          <w:b w:val="0"/>
          <w:bCs w:val="0"/>
          <w:kern w:val="0"/>
          <w:position w:val="0"/>
          <w:sz w:val="32"/>
          <w:szCs w:val="32"/>
          <w:highlight w:val="none"/>
          <w:lang w:val="zh-CN" w:eastAsia="zh-CN" w:bidi="ar-SA"/>
        </w:rPr>
        <w:t>管理办法</w:t>
      </w:r>
      <w:r>
        <w:rPr>
          <w:rFonts w:hint="eastAsia" w:eastAsia="仿宋_GB2312" w:cs="仿宋_GB2312"/>
          <w:b w:val="0"/>
          <w:bCs w:val="0"/>
          <w:kern w:val="0"/>
          <w:position w:val="0"/>
          <w:sz w:val="32"/>
          <w:szCs w:val="32"/>
          <w:highlight w:val="none"/>
          <w:lang w:val="en-US" w:eastAsia="zh-CN" w:bidi="ar-SA"/>
        </w:rPr>
        <w:t>根据县局总体管理办法实施，支持方向为方便工作开展</w:t>
      </w:r>
      <w:r>
        <w:rPr>
          <w:rFonts w:hint="eastAsia" w:ascii="Times New Roman" w:hAnsi="Times New Roman" w:eastAsia="仿宋_GB2312" w:cs="仿宋_GB2312"/>
          <w:b w:val="0"/>
          <w:bCs w:val="0"/>
          <w:kern w:val="0"/>
          <w:position w:val="0"/>
          <w:sz w:val="32"/>
          <w:szCs w:val="32"/>
          <w:highlight w:val="none"/>
          <w:lang w:val="zh-CN" w:eastAsia="zh-CN" w:bidi="ar-SA"/>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eastAsia" w:ascii="Times New Roman" w:hAnsi="Times New Roman" w:eastAsia="楷体_GB2312" w:cs="Times New Roman"/>
          <w:b/>
          <w:color w:val="auto"/>
          <w:sz w:val="32"/>
          <w:szCs w:val="32"/>
          <w:highlight w:val="none"/>
          <w:u w:val="none"/>
          <w:lang w:val="zh-CN" w:eastAsia="zh-CN"/>
        </w:rPr>
        <w:t>。</w:t>
      </w:r>
      <w:r>
        <w:rPr>
          <w:rFonts w:hint="eastAsia" w:eastAsia="仿宋_GB2312" w:cs="仿宋_GB2312"/>
          <w:b w:val="0"/>
          <w:bCs w:val="0"/>
          <w:kern w:val="0"/>
          <w:position w:val="0"/>
          <w:sz w:val="32"/>
          <w:szCs w:val="32"/>
          <w:highlight w:val="none"/>
          <w:lang w:val="en-US" w:eastAsia="zh-CN" w:bidi="ar-SA"/>
        </w:rPr>
        <w:t>项目资金按社区戒毒康复人数按实预算</w:t>
      </w:r>
      <w:r>
        <w:rPr>
          <w:rFonts w:hint="eastAsia" w:ascii="Times New Roman" w:hAnsi="Times New Roman" w:eastAsia="仿宋_GB2312" w:cs="仿宋_GB2312"/>
          <w:b w:val="0"/>
          <w:bCs w:val="0"/>
          <w:kern w:val="0"/>
          <w:position w:val="0"/>
          <w:sz w:val="32"/>
          <w:szCs w:val="32"/>
          <w:highlight w:val="none"/>
          <w:lang w:val="zh-CN" w:eastAsia="zh-CN" w:bidi="ar-SA"/>
        </w:rPr>
        <w:t>。</w:t>
      </w:r>
    </w:p>
    <w:p>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default"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eastAsia="zh-CN"/>
        </w:rPr>
        <w:t>（四）项目绩效目标设置。</w:t>
      </w:r>
      <w:r>
        <w:rPr>
          <w:rFonts w:hint="eastAsia" w:ascii="Times New Roman" w:hAnsi="Times New Roman" w:eastAsia="仿宋_GB2312" w:cs="仿宋_GB2312"/>
          <w:b w:val="0"/>
          <w:bCs w:val="0"/>
          <w:kern w:val="0"/>
          <w:position w:val="0"/>
          <w:sz w:val="32"/>
          <w:szCs w:val="32"/>
          <w:highlight w:val="none"/>
          <w:lang w:val="zh-CN" w:eastAsia="zh-CN" w:bidi="ar-SA"/>
        </w:rPr>
        <w:t>项目整体、区域和具体绩效目标设置情况</w:t>
      </w:r>
      <w:r>
        <w:rPr>
          <w:rFonts w:hint="eastAsia" w:eastAsia="仿宋_GB2312" w:cs="仿宋_GB2312"/>
          <w:b w:val="0"/>
          <w:bCs w:val="0"/>
          <w:kern w:val="0"/>
          <w:position w:val="0"/>
          <w:sz w:val="32"/>
          <w:szCs w:val="32"/>
          <w:highlight w:val="none"/>
          <w:lang w:val="en-US" w:eastAsia="zh-CN" w:bidi="ar-SA"/>
        </w:rPr>
        <w:t>良好</w:t>
      </w:r>
      <w:r>
        <w:rPr>
          <w:rFonts w:hint="eastAsia" w:ascii="Times New Roman" w:hAnsi="Times New Roman" w:eastAsia="仿宋_GB2312" w:cs="仿宋_GB2312"/>
          <w:b w:val="0"/>
          <w:bCs w:val="0"/>
          <w:kern w:val="0"/>
          <w:position w:val="0"/>
          <w:sz w:val="32"/>
          <w:szCs w:val="32"/>
          <w:highlight w:val="none"/>
          <w:lang w:val="zh-CN" w:eastAsia="zh-CN" w:bidi="ar-SA"/>
        </w:rPr>
        <w:t>，项目自评工作开展情况</w:t>
      </w:r>
      <w:r>
        <w:rPr>
          <w:rFonts w:hint="eastAsia" w:eastAsia="仿宋_GB2312" w:cs="仿宋_GB2312"/>
          <w:b w:val="0"/>
          <w:bCs w:val="0"/>
          <w:kern w:val="0"/>
          <w:position w:val="0"/>
          <w:sz w:val="32"/>
          <w:szCs w:val="32"/>
          <w:highlight w:val="none"/>
          <w:lang w:val="en-US" w:eastAsia="zh-CN" w:bidi="ar-SA"/>
        </w:rPr>
        <w:t>良好</w:t>
      </w:r>
      <w:r>
        <w:rPr>
          <w:rFonts w:hint="eastAsia" w:ascii="Times New Roman" w:hAnsi="Times New Roman" w:eastAsia="仿宋_GB2312" w:cs="仿宋_GB2312"/>
          <w:b w:val="0"/>
          <w:bCs w:val="0"/>
          <w:kern w:val="0"/>
          <w:position w:val="0"/>
          <w:sz w:val="32"/>
          <w:szCs w:val="32"/>
          <w:highlight w:val="none"/>
          <w:lang w:val="zh-CN" w:eastAsia="zh-CN" w:bidi="ar-SA"/>
        </w:rPr>
        <w:t>。</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Times New Roman" w:hAnsi="Times New Roman" w:eastAsia="黑体"/>
          <w:sz w:val="32"/>
          <w:szCs w:val="32"/>
          <w:highlight w:val="none"/>
          <w:lang w:eastAsia="zh-CN"/>
        </w:rPr>
      </w:pPr>
      <w:r>
        <w:rPr>
          <w:rFonts w:hint="eastAsia" w:ascii="Times New Roman" w:hAnsi="Times New Roman" w:eastAsia="黑体"/>
          <w:sz w:val="32"/>
          <w:szCs w:val="32"/>
          <w:highlight w:val="none"/>
        </w:rPr>
        <w:t>二、</w:t>
      </w:r>
      <w:r>
        <w:rPr>
          <w:rFonts w:hint="eastAsia" w:ascii="Times New Roman" w:hAnsi="Times New Roman" w:eastAsia="黑体"/>
          <w:sz w:val="32"/>
          <w:szCs w:val="32"/>
          <w:highlight w:val="none"/>
          <w:lang w:eastAsia="zh-CN"/>
        </w:rPr>
        <w:t>评价实施</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（一）评价目的。</w:t>
      </w:r>
      <w:r>
        <w:rPr>
          <w:rFonts w:hint="eastAsia" w:ascii="Times New Roman" w:hAnsi="Times New Roman" w:eastAsia="仿宋_GB2312" w:cs="仿宋_GB2312"/>
          <w:b w:val="0"/>
          <w:bCs w:val="0"/>
          <w:kern w:val="0"/>
          <w:position w:val="0"/>
          <w:sz w:val="32"/>
          <w:szCs w:val="32"/>
          <w:highlight w:val="none"/>
          <w:lang w:val="zh-CN" w:eastAsia="zh-CN" w:bidi="ar-SA"/>
        </w:rPr>
        <w:t>通过项目绩效自评要实现的目的</w:t>
      </w:r>
      <w:r>
        <w:rPr>
          <w:rFonts w:hint="eastAsia" w:eastAsia="仿宋_GB2312" w:cs="仿宋_GB2312"/>
          <w:b w:val="0"/>
          <w:bCs w:val="0"/>
          <w:kern w:val="0"/>
          <w:position w:val="0"/>
          <w:sz w:val="32"/>
          <w:szCs w:val="32"/>
          <w:highlight w:val="none"/>
          <w:lang w:val="en-US" w:eastAsia="zh-CN" w:bidi="ar-SA"/>
        </w:rPr>
        <w:t>是监管社区禁毒、康复工作是否落到实处，对相关戒毒、康复人员是否监管到位，戒毒率、康复率是否有所改善</w:t>
      </w:r>
      <w:r>
        <w:rPr>
          <w:rFonts w:hint="eastAsia" w:ascii="Times New Roman" w:hAnsi="Times New Roman" w:eastAsia="仿宋_GB2312" w:cs="仿宋_GB2312"/>
          <w:b w:val="0"/>
          <w:bCs w:val="0"/>
          <w:kern w:val="0"/>
          <w:position w:val="0"/>
          <w:sz w:val="32"/>
          <w:szCs w:val="32"/>
          <w:highlight w:val="none"/>
          <w:lang w:val="zh-CN" w:eastAsia="zh-CN" w:bidi="ar-SA"/>
        </w:rPr>
        <w:t>。</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（二）预设问题及评价重点。</w:t>
      </w:r>
      <w:r>
        <w:rPr>
          <w:rFonts w:hint="eastAsia" w:ascii="Times New Roman" w:hAnsi="Times New Roman" w:eastAsia="仿宋_GB2312" w:cs="仿宋_GB2312"/>
          <w:b w:val="0"/>
          <w:bCs w:val="0"/>
          <w:kern w:val="0"/>
          <w:position w:val="0"/>
          <w:sz w:val="32"/>
          <w:szCs w:val="32"/>
          <w:highlight w:val="none"/>
          <w:lang w:val="zh-CN" w:eastAsia="zh-CN" w:bidi="ar-SA"/>
        </w:rPr>
        <w:t>按照绩效评价指标体系，对资金支出使用全过程及其实施效果进行综合评价和判断</w:t>
      </w:r>
      <w:r>
        <w:rPr>
          <w:rFonts w:hint="eastAsia" w:eastAsia="仿宋_GB2312" w:cs="仿宋_GB2312"/>
          <w:b w:val="0"/>
          <w:bCs w:val="0"/>
          <w:kern w:val="0"/>
          <w:position w:val="0"/>
          <w:sz w:val="32"/>
          <w:szCs w:val="32"/>
          <w:highlight w:val="none"/>
          <w:lang w:val="zh-CN" w:eastAsia="zh-CN" w:bidi="ar-SA"/>
        </w:rPr>
        <w:t>，</w:t>
      </w:r>
      <w:r>
        <w:rPr>
          <w:rFonts w:hint="eastAsia" w:eastAsia="仿宋_GB2312" w:cs="仿宋_GB2312"/>
          <w:b w:val="0"/>
          <w:bCs w:val="0"/>
          <w:kern w:val="0"/>
          <w:position w:val="0"/>
          <w:sz w:val="32"/>
          <w:szCs w:val="32"/>
          <w:highlight w:val="none"/>
          <w:lang w:val="en-US" w:eastAsia="zh-CN" w:bidi="ar-SA"/>
        </w:rPr>
        <w:t>该项目执行情况良好，达到预期效果</w:t>
      </w:r>
      <w:r>
        <w:rPr>
          <w:rFonts w:hint="eastAsia" w:ascii="Times New Roman" w:hAnsi="Times New Roman" w:eastAsia="仿宋_GB2312" w:cs="仿宋_GB2312"/>
          <w:b w:val="0"/>
          <w:bCs w:val="0"/>
          <w:kern w:val="0"/>
          <w:position w:val="0"/>
          <w:sz w:val="32"/>
          <w:szCs w:val="32"/>
          <w:highlight w:val="none"/>
          <w:lang w:val="zh-CN" w:eastAsia="zh-CN" w:bidi="ar-SA"/>
        </w:rPr>
        <w:t>。</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（三）评价选点。</w:t>
      </w:r>
      <w:r>
        <w:rPr>
          <w:rFonts w:hint="eastAsia" w:ascii="Times New Roman" w:hAnsi="Times New Roman" w:eastAsia="仿宋_GB2312" w:cs="仿宋_GB2312"/>
          <w:b w:val="0"/>
          <w:color w:val="auto"/>
          <w:kern w:val="0"/>
          <w:sz w:val="32"/>
          <w:szCs w:val="32"/>
          <w:highlight w:val="none"/>
          <w:u w:val="none"/>
          <w:lang w:val="zh-CN"/>
        </w:rPr>
        <w:t>项目绩效自评所抽样点位情况。每个专项预算项目应选取专项资金分配涉及市县总数的20%、总计不超过20个的市县点位进行实地踏勘，且点位清单应作为自评附表。</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（四）评价方法。</w:t>
      </w:r>
      <w:r>
        <w:rPr>
          <w:rFonts w:hint="eastAsia" w:ascii="Times New Roman" w:hAnsi="Times New Roman" w:eastAsia="仿宋_GB2312" w:cs="仿宋_GB2312"/>
          <w:b w:val="0"/>
          <w:bCs w:val="0"/>
          <w:kern w:val="0"/>
          <w:position w:val="0"/>
          <w:sz w:val="32"/>
          <w:szCs w:val="32"/>
          <w:highlight w:val="none"/>
          <w:lang w:val="zh-CN" w:eastAsia="zh-CN" w:bidi="ar-SA"/>
        </w:rPr>
        <w:t>根据项目情况和评价重点，采用成本效益分析法、标杆管理法、案卷研究法、单位自评法、实地勘察法、问卷调查法、座谈调研法等多种方法。</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bCs/>
          <w:lang w:eastAsia="zh-CN"/>
        </w:rPr>
      </w:pPr>
      <w:r>
        <w:rPr>
          <w:rFonts w:hint="eastAsia" w:ascii="Times New Roman" w:hAnsi="Times New Roman" w:eastAsia="楷体_GB2312"/>
          <w:b/>
          <w:color w:val="auto"/>
          <w:sz w:val="32"/>
          <w:szCs w:val="32"/>
          <w:highlight w:val="none"/>
          <w:u w:val="none"/>
          <w:lang w:val="zh-CN"/>
        </w:rPr>
        <w:t>（五）评价组织。</w:t>
      </w:r>
      <w:r>
        <w:rPr>
          <w:rFonts w:hint="eastAsia" w:ascii="Times New Roman" w:hAnsi="Times New Roman" w:eastAsia="仿宋_GB2312" w:cs="仿宋_GB2312"/>
          <w:b w:val="0"/>
          <w:bCs w:val="0"/>
          <w:kern w:val="0"/>
          <w:position w:val="0"/>
          <w:sz w:val="32"/>
          <w:szCs w:val="32"/>
          <w:highlight w:val="none"/>
          <w:lang w:val="zh-CN" w:eastAsia="zh-CN" w:bidi="ar-SA"/>
        </w:rPr>
        <w:t>评价组人员</w:t>
      </w:r>
      <w:r>
        <w:rPr>
          <w:rFonts w:hint="eastAsia" w:eastAsia="仿宋_GB2312" w:cs="仿宋_GB2312"/>
          <w:b w:val="0"/>
          <w:bCs w:val="0"/>
          <w:kern w:val="0"/>
          <w:position w:val="0"/>
          <w:sz w:val="32"/>
          <w:szCs w:val="32"/>
          <w:highlight w:val="none"/>
          <w:lang w:val="en-US" w:eastAsia="zh-CN" w:bidi="ar-SA"/>
        </w:rPr>
        <w:t>主要由县局督审、后勤、禁毒等相关部门</w:t>
      </w:r>
      <w:r>
        <w:rPr>
          <w:rFonts w:hint="eastAsia" w:ascii="Times New Roman" w:hAnsi="Times New Roman" w:eastAsia="仿宋_GB2312" w:cs="仿宋_GB2312"/>
          <w:b w:val="0"/>
          <w:bCs w:val="0"/>
          <w:kern w:val="0"/>
          <w:position w:val="0"/>
          <w:sz w:val="32"/>
          <w:szCs w:val="32"/>
          <w:highlight w:val="none"/>
          <w:lang w:val="zh-CN" w:eastAsia="zh-CN" w:bidi="ar-SA"/>
        </w:rPr>
        <w:t>构成。</w:t>
      </w:r>
    </w:p>
    <w:p>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color w:val="auto"/>
          <w:sz w:val="32"/>
          <w:szCs w:val="32"/>
          <w:highlight w:val="none"/>
          <w:u w:val="none"/>
          <w:lang w:val="zh-CN"/>
        </w:rPr>
      </w:pPr>
      <w:r>
        <w:rPr>
          <w:rFonts w:hint="eastAsia" w:ascii="Times New Roman" w:hAnsi="Times New Roman" w:eastAsia="黑体"/>
          <w:color w:val="auto"/>
          <w:sz w:val="32"/>
          <w:szCs w:val="32"/>
          <w:highlight w:val="none"/>
          <w:u w:val="none"/>
        </w:rPr>
        <w:t>三、</w:t>
      </w:r>
      <w:r>
        <w:rPr>
          <w:rFonts w:hint="eastAsia" w:ascii="Times New Roman" w:hAnsi="Times New Roman" w:eastAsia="黑体"/>
          <w:color w:val="auto"/>
          <w:sz w:val="32"/>
          <w:szCs w:val="32"/>
          <w:highlight w:val="none"/>
          <w:u w:val="none"/>
          <w:lang w:eastAsia="zh-CN"/>
        </w:rPr>
        <w:t>绩效分析</w:t>
      </w:r>
      <w:r>
        <w:rPr>
          <w:rFonts w:hint="eastAsia" w:ascii="Times New Roman" w:hAnsi="Times New Roman"/>
          <w:color w:val="auto"/>
          <w:sz w:val="32"/>
          <w:szCs w:val="32"/>
          <w:highlight w:val="none"/>
          <w:u w:val="none"/>
          <w:lang w:val="zh-CN"/>
        </w:rPr>
        <w:tab/>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zh-CN" w:eastAsia="zh-CN" w:bidi="ar-SA"/>
        </w:rPr>
        <w:t>根据</w:t>
      </w:r>
      <w:r>
        <w:rPr>
          <w:rFonts w:hint="eastAsia" w:ascii="Times New Roman" w:hAnsi="Times New Roman" w:eastAsia="仿宋_GB2312" w:cs="仿宋_GB2312"/>
          <w:b w:val="0"/>
          <w:bCs w:val="0"/>
          <w:kern w:val="0"/>
          <w:position w:val="0"/>
          <w:sz w:val="32"/>
          <w:szCs w:val="32"/>
          <w:highlight w:val="none"/>
          <w:lang w:val="zh-CN" w:eastAsia="zh-CN" w:bidi="ar-SA"/>
        </w:rPr>
        <w:t>项目</w:t>
      </w:r>
      <w:r>
        <w:rPr>
          <w:rFonts w:hint="default" w:ascii="Times New Roman" w:hAnsi="Times New Roman" w:eastAsia="仿宋_GB2312" w:cs="仿宋_GB2312"/>
          <w:b w:val="0"/>
          <w:bCs w:val="0"/>
          <w:kern w:val="0"/>
          <w:position w:val="0"/>
          <w:sz w:val="32"/>
          <w:szCs w:val="32"/>
          <w:highlight w:val="none"/>
          <w:lang w:val="zh-CN" w:eastAsia="zh-CN" w:bidi="ar-SA"/>
        </w:rPr>
        <w:t>预算绩效评价指标体系</w:t>
      </w:r>
      <w:r>
        <w:rPr>
          <w:rFonts w:hint="eastAsia" w:ascii="Times New Roman" w:hAnsi="Times New Roman" w:eastAsia="仿宋_GB2312" w:cs="仿宋_GB2312"/>
          <w:b w:val="0"/>
          <w:bCs w:val="0"/>
          <w:kern w:val="0"/>
          <w:position w:val="0"/>
          <w:sz w:val="32"/>
          <w:szCs w:val="32"/>
          <w:highlight w:val="none"/>
          <w:lang w:val="zh-CN" w:eastAsia="zh-CN" w:bidi="ar-SA"/>
        </w:rPr>
        <w:t>通用指标、专用指标、个性指标</w:t>
      </w:r>
      <w:r>
        <w:rPr>
          <w:rFonts w:hint="default" w:ascii="Times New Roman" w:hAnsi="Times New Roman" w:eastAsia="仿宋_GB2312" w:cs="仿宋_GB2312"/>
          <w:b w:val="0"/>
          <w:bCs w:val="0"/>
          <w:kern w:val="0"/>
          <w:position w:val="0"/>
          <w:sz w:val="32"/>
          <w:szCs w:val="32"/>
          <w:highlight w:val="none"/>
          <w:lang w:val="zh-CN" w:eastAsia="zh-CN" w:bidi="ar-SA"/>
        </w:rPr>
        <w:t>涉及</w:t>
      </w:r>
      <w:r>
        <w:rPr>
          <w:rFonts w:hint="eastAsia" w:ascii="Times New Roman" w:hAnsi="Times New Roman" w:eastAsia="仿宋_GB2312" w:cs="仿宋_GB2312"/>
          <w:b w:val="0"/>
          <w:bCs w:val="0"/>
          <w:kern w:val="0"/>
          <w:position w:val="0"/>
          <w:sz w:val="32"/>
          <w:szCs w:val="32"/>
          <w:highlight w:val="none"/>
          <w:lang w:val="zh-CN" w:eastAsia="zh-CN" w:bidi="ar-SA"/>
        </w:rPr>
        <w:t>二、三级</w:t>
      </w:r>
      <w:r>
        <w:rPr>
          <w:rFonts w:hint="default" w:ascii="Times New Roman" w:hAnsi="Times New Roman" w:eastAsia="仿宋_GB2312" w:cs="仿宋_GB2312"/>
          <w:b w:val="0"/>
          <w:bCs w:val="0"/>
          <w:kern w:val="0"/>
          <w:position w:val="0"/>
          <w:sz w:val="32"/>
          <w:szCs w:val="32"/>
          <w:highlight w:val="none"/>
          <w:lang w:val="zh-CN" w:eastAsia="zh-CN" w:bidi="ar-SA"/>
        </w:rPr>
        <w:t>指标进行</w:t>
      </w:r>
      <w:r>
        <w:rPr>
          <w:rFonts w:hint="eastAsia" w:ascii="Times New Roman" w:hAnsi="Times New Roman" w:eastAsia="仿宋_GB2312" w:cs="仿宋_GB2312"/>
          <w:b w:val="0"/>
          <w:bCs w:val="0"/>
          <w:kern w:val="0"/>
          <w:position w:val="0"/>
          <w:sz w:val="32"/>
          <w:szCs w:val="32"/>
          <w:highlight w:val="none"/>
          <w:lang w:val="zh-CN" w:eastAsia="zh-CN" w:bidi="ar-SA"/>
        </w:rPr>
        <w:t>逐项</w:t>
      </w:r>
      <w:r>
        <w:rPr>
          <w:rFonts w:hint="default" w:ascii="Times New Roman" w:hAnsi="Times New Roman" w:eastAsia="仿宋_GB2312" w:cs="仿宋_GB2312"/>
          <w:b w:val="0"/>
          <w:bCs w:val="0"/>
          <w:kern w:val="0"/>
          <w:position w:val="0"/>
          <w:sz w:val="32"/>
          <w:szCs w:val="32"/>
          <w:highlight w:val="none"/>
          <w:lang w:val="zh-CN" w:eastAsia="zh-CN" w:bidi="ar-SA"/>
        </w:rPr>
        <w:t>绩效分析</w:t>
      </w:r>
      <w:r>
        <w:rPr>
          <w:rFonts w:hint="eastAsia" w:eastAsia="仿宋_GB2312" w:cs="仿宋_GB2312"/>
          <w:b w:val="0"/>
          <w:bCs w:val="0"/>
          <w:kern w:val="0"/>
          <w:position w:val="0"/>
          <w:sz w:val="32"/>
          <w:szCs w:val="32"/>
          <w:highlight w:val="none"/>
          <w:lang w:val="en-US" w:eastAsia="zh-CN" w:bidi="ar-SA"/>
        </w:rPr>
        <w:t>最终得分98分</w:t>
      </w:r>
      <w:r>
        <w:rPr>
          <w:rFonts w:hint="eastAsia" w:ascii="Times New Roman" w:hAnsi="Times New Roman" w:eastAsia="仿宋_GB2312" w:cs="仿宋_GB2312"/>
          <w:b w:val="0"/>
          <w:bCs w:val="0"/>
          <w:kern w:val="0"/>
          <w:position w:val="0"/>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楷体_GB2312" w:cs="Times New Roman"/>
          <w:b/>
          <w:color w:val="auto"/>
          <w:sz w:val="32"/>
          <w:szCs w:val="32"/>
          <w:highlight w:val="none"/>
          <w:u w:val="none"/>
          <w:lang w:val="en-US" w:eastAsia="zh-CN"/>
        </w:rPr>
      </w:pPr>
      <w:r>
        <w:rPr>
          <w:rFonts w:hint="eastAsia" w:ascii="Times New Roman" w:hAnsi="Times New Roman" w:eastAsia="楷体_GB2312" w:cs="Times New Roman"/>
          <w:b/>
          <w:color w:val="auto"/>
          <w:sz w:val="32"/>
          <w:szCs w:val="32"/>
          <w:highlight w:val="none"/>
          <w:u w:val="none"/>
          <w:lang w:val="zh-CN"/>
        </w:rPr>
        <w:t>（一）</w:t>
      </w:r>
      <w:r>
        <w:rPr>
          <w:rFonts w:hint="eastAsia" w:ascii="Times New Roman" w:hAnsi="Times New Roman"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w:t>
      </w:r>
      <w:r>
        <w:rPr>
          <w:rFonts w:hint="eastAsia" w:ascii="Times New Roman" w:hAnsi="Times New Roman" w:eastAsia="仿宋_GB2312" w:cs="仿宋_GB2312"/>
          <w:b w:val="0"/>
          <w:bCs w:val="0"/>
          <w:kern w:val="0"/>
          <w:position w:val="0"/>
          <w:sz w:val="32"/>
          <w:szCs w:val="32"/>
          <w:highlight w:val="none"/>
          <w:lang w:val="zh-CN" w:eastAsia="zh-CN" w:bidi="ar-SA"/>
        </w:rPr>
        <w:t>项目决策。决策程序</w:t>
      </w:r>
      <w:r>
        <w:rPr>
          <w:rFonts w:hint="eastAsia" w:eastAsia="仿宋_GB2312" w:cs="仿宋_GB2312"/>
          <w:b w:val="0"/>
          <w:bCs w:val="0"/>
          <w:kern w:val="0"/>
          <w:position w:val="0"/>
          <w:sz w:val="32"/>
          <w:szCs w:val="32"/>
          <w:highlight w:val="none"/>
          <w:lang w:val="en-US" w:eastAsia="zh-CN" w:bidi="ar-SA"/>
        </w:rPr>
        <w:t>完善</w:t>
      </w:r>
      <w:r>
        <w:rPr>
          <w:rFonts w:hint="eastAsia" w:ascii="Times New Roman" w:hAnsi="Times New Roman" w:eastAsia="仿宋_GB2312" w:cs="仿宋_GB2312"/>
          <w:b w:val="0"/>
          <w:bCs w:val="0"/>
          <w:kern w:val="0"/>
          <w:position w:val="0"/>
          <w:sz w:val="32"/>
          <w:szCs w:val="32"/>
          <w:highlight w:val="none"/>
          <w:lang w:val="zh-CN" w:eastAsia="zh-CN" w:bidi="ar-SA"/>
        </w:rPr>
        <w:t>、规划论证</w:t>
      </w:r>
      <w:r>
        <w:rPr>
          <w:rFonts w:hint="eastAsia" w:eastAsia="仿宋_GB2312" w:cs="仿宋_GB2312"/>
          <w:b w:val="0"/>
          <w:bCs w:val="0"/>
          <w:kern w:val="0"/>
          <w:position w:val="0"/>
          <w:sz w:val="32"/>
          <w:szCs w:val="32"/>
          <w:highlight w:val="none"/>
          <w:lang w:val="en-US" w:eastAsia="zh-CN" w:bidi="ar-SA"/>
        </w:rPr>
        <w:t>较好</w:t>
      </w:r>
      <w:r>
        <w:rPr>
          <w:rFonts w:hint="eastAsia" w:ascii="Times New Roman" w:hAnsi="Times New Roman" w:eastAsia="仿宋_GB2312" w:cs="仿宋_GB2312"/>
          <w:b w:val="0"/>
          <w:bCs w:val="0"/>
          <w:kern w:val="0"/>
          <w:position w:val="0"/>
          <w:sz w:val="32"/>
          <w:szCs w:val="32"/>
          <w:highlight w:val="none"/>
          <w:lang w:val="zh-CN" w:eastAsia="zh-CN" w:bidi="ar-SA"/>
        </w:rPr>
        <w:t>、资金投向</w:t>
      </w:r>
      <w:r>
        <w:rPr>
          <w:rFonts w:hint="eastAsia" w:eastAsia="仿宋_GB2312" w:cs="仿宋_GB2312"/>
          <w:b w:val="0"/>
          <w:bCs w:val="0"/>
          <w:kern w:val="0"/>
          <w:position w:val="0"/>
          <w:sz w:val="32"/>
          <w:szCs w:val="32"/>
          <w:highlight w:val="none"/>
          <w:lang w:val="en-US" w:eastAsia="zh-CN" w:bidi="ar-SA"/>
        </w:rPr>
        <w:t>有效</w:t>
      </w:r>
      <w:r>
        <w:rPr>
          <w:rFonts w:hint="eastAsia" w:ascii="Times New Roman" w:hAnsi="Times New Roman" w:eastAsia="仿宋_GB2312" w:cs="仿宋_GB2312"/>
          <w:b w:val="0"/>
          <w:bCs w:val="0"/>
          <w:kern w:val="0"/>
          <w:position w:val="0"/>
          <w:sz w:val="32"/>
          <w:szCs w:val="32"/>
          <w:highlight w:val="none"/>
          <w:lang w:val="zh-CN" w:eastAsia="zh-CN" w:bidi="ar-SA"/>
        </w:rPr>
        <w:t>。</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zh-CN" w:eastAsia="zh-CN" w:bidi="ar-SA"/>
        </w:rPr>
        <w:t>项目管理。制度办法</w:t>
      </w:r>
      <w:r>
        <w:rPr>
          <w:rFonts w:hint="eastAsia" w:eastAsia="仿宋_GB2312" w:cs="仿宋_GB2312"/>
          <w:b w:val="0"/>
          <w:bCs w:val="0"/>
          <w:kern w:val="0"/>
          <w:position w:val="0"/>
          <w:sz w:val="32"/>
          <w:szCs w:val="32"/>
          <w:highlight w:val="none"/>
          <w:lang w:val="en-US" w:eastAsia="zh-CN" w:bidi="ar-SA"/>
        </w:rPr>
        <w:t>完善</w:t>
      </w:r>
      <w:r>
        <w:rPr>
          <w:rFonts w:hint="eastAsia" w:ascii="Times New Roman" w:hAnsi="Times New Roman" w:eastAsia="仿宋_GB2312" w:cs="仿宋_GB2312"/>
          <w:b w:val="0"/>
          <w:bCs w:val="0"/>
          <w:kern w:val="0"/>
          <w:position w:val="0"/>
          <w:sz w:val="32"/>
          <w:szCs w:val="32"/>
          <w:highlight w:val="none"/>
          <w:lang w:val="zh-CN" w:eastAsia="zh-CN" w:bidi="ar-SA"/>
        </w:rPr>
        <w:t>、分配管理</w:t>
      </w:r>
      <w:r>
        <w:rPr>
          <w:rFonts w:hint="eastAsia" w:eastAsia="仿宋_GB2312" w:cs="仿宋_GB2312"/>
          <w:b w:val="0"/>
          <w:bCs w:val="0"/>
          <w:kern w:val="0"/>
          <w:position w:val="0"/>
          <w:sz w:val="32"/>
          <w:szCs w:val="32"/>
          <w:highlight w:val="none"/>
          <w:lang w:val="en-US" w:eastAsia="zh-CN" w:bidi="ar-SA"/>
        </w:rPr>
        <w:t>合理</w:t>
      </w:r>
      <w:r>
        <w:rPr>
          <w:rFonts w:hint="eastAsia" w:ascii="Times New Roman" w:hAnsi="Times New Roman" w:eastAsia="仿宋_GB2312" w:cs="仿宋_GB2312"/>
          <w:b w:val="0"/>
          <w:bCs w:val="0"/>
          <w:kern w:val="0"/>
          <w:position w:val="0"/>
          <w:sz w:val="32"/>
          <w:szCs w:val="32"/>
          <w:highlight w:val="none"/>
          <w:lang w:val="zh-CN" w:eastAsia="zh-CN" w:bidi="ar-SA"/>
        </w:rPr>
        <w:t>、绩效监管</w:t>
      </w:r>
      <w:r>
        <w:rPr>
          <w:rFonts w:hint="eastAsia" w:eastAsia="仿宋_GB2312" w:cs="仿宋_GB2312"/>
          <w:b w:val="0"/>
          <w:bCs w:val="0"/>
          <w:kern w:val="0"/>
          <w:position w:val="0"/>
          <w:sz w:val="32"/>
          <w:szCs w:val="32"/>
          <w:highlight w:val="none"/>
          <w:lang w:val="en-US" w:eastAsia="zh-CN" w:bidi="ar-SA"/>
        </w:rPr>
        <w:t>到位</w:t>
      </w:r>
      <w:r>
        <w:rPr>
          <w:rFonts w:hint="eastAsia" w:ascii="Times New Roman" w:hAnsi="Times New Roman" w:eastAsia="仿宋_GB2312" w:cs="仿宋_GB2312"/>
          <w:b w:val="0"/>
          <w:bCs w:val="0"/>
          <w:kern w:val="0"/>
          <w:position w:val="0"/>
          <w:sz w:val="32"/>
          <w:szCs w:val="32"/>
          <w:highlight w:val="none"/>
          <w:lang w:val="zh-CN" w:eastAsia="zh-CN" w:bidi="ar-SA"/>
        </w:rPr>
        <w:t>。</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3.项目实施。</w:t>
      </w:r>
      <w:r>
        <w:rPr>
          <w:rFonts w:hint="eastAsia" w:ascii="Times New Roman" w:hAnsi="Times New Roman" w:eastAsia="仿宋_GB2312" w:cs="仿宋_GB2312"/>
          <w:b w:val="0"/>
          <w:bCs w:val="0"/>
          <w:kern w:val="0"/>
          <w:position w:val="0"/>
          <w:sz w:val="32"/>
          <w:szCs w:val="32"/>
          <w:highlight w:val="none"/>
          <w:lang w:val="zh-CN" w:eastAsia="zh-CN" w:bidi="ar-SA"/>
        </w:rPr>
        <w:t>预算执行</w:t>
      </w:r>
      <w:r>
        <w:rPr>
          <w:rFonts w:hint="eastAsia" w:eastAsia="仿宋_GB2312" w:cs="仿宋_GB2312"/>
          <w:b w:val="0"/>
          <w:bCs w:val="0"/>
          <w:kern w:val="0"/>
          <w:position w:val="0"/>
          <w:sz w:val="32"/>
          <w:szCs w:val="32"/>
          <w:highlight w:val="none"/>
          <w:lang w:val="en-US" w:eastAsia="zh-CN" w:bidi="ar-SA"/>
        </w:rPr>
        <w:t>较好</w:t>
      </w:r>
      <w:r>
        <w:rPr>
          <w:rFonts w:hint="eastAsia" w:ascii="Times New Roman" w:hAnsi="Times New Roman" w:eastAsia="仿宋_GB2312" w:cs="仿宋_GB2312"/>
          <w:b w:val="0"/>
          <w:bCs w:val="0"/>
          <w:kern w:val="0"/>
          <w:position w:val="0"/>
          <w:sz w:val="32"/>
          <w:szCs w:val="32"/>
          <w:highlight w:val="none"/>
          <w:lang w:val="zh-CN" w:eastAsia="zh-CN" w:bidi="ar-SA"/>
        </w:rPr>
        <w:t>、资金使用</w:t>
      </w:r>
      <w:r>
        <w:rPr>
          <w:rFonts w:hint="eastAsia" w:eastAsia="仿宋_GB2312" w:cs="仿宋_GB2312"/>
          <w:b w:val="0"/>
          <w:bCs w:val="0"/>
          <w:kern w:val="0"/>
          <w:position w:val="0"/>
          <w:sz w:val="32"/>
          <w:szCs w:val="32"/>
          <w:highlight w:val="none"/>
          <w:lang w:val="en-US" w:eastAsia="zh-CN" w:bidi="ar-SA"/>
        </w:rPr>
        <w:t>有效</w:t>
      </w:r>
      <w:r>
        <w:rPr>
          <w:rFonts w:hint="eastAsia" w:ascii="Times New Roman" w:hAnsi="Times New Roman" w:eastAsia="仿宋_GB2312" w:cs="仿宋_GB2312"/>
          <w:b w:val="0"/>
          <w:bCs w:val="0"/>
          <w:kern w:val="0"/>
          <w:position w:val="0"/>
          <w:sz w:val="32"/>
          <w:szCs w:val="32"/>
          <w:highlight w:val="none"/>
          <w:lang w:val="zh-CN" w:eastAsia="zh-CN" w:bidi="ar-SA"/>
        </w:rPr>
        <w:t>。</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4.项目结果。</w:t>
      </w:r>
      <w:r>
        <w:rPr>
          <w:rFonts w:hint="eastAsia" w:ascii="Times New Roman" w:hAnsi="Times New Roman" w:eastAsia="仿宋_GB2312" w:cs="仿宋_GB2312"/>
          <w:b w:val="0"/>
          <w:bCs w:val="0"/>
          <w:kern w:val="0"/>
          <w:position w:val="0"/>
          <w:sz w:val="32"/>
          <w:szCs w:val="32"/>
          <w:highlight w:val="none"/>
          <w:lang w:val="zh-CN" w:eastAsia="zh-CN" w:bidi="ar-SA"/>
        </w:rPr>
        <w:t>目标完成</w:t>
      </w:r>
      <w:r>
        <w:rPr>
          <w:rFonts w:hint="eastAsia" w:eastAsia="仿宋_GB2312" w:cs="仿宋_GB2312"/>
          <w:b w:val="0"/>
          <w:bCs w:val="0"/>
          <w:kern w:val="0"/>
          <w:position w:val="0"/>
          <w:sz w:val="32"/>
          <w:szCs w:val="32"/>
          <w:highlight w:val="none"/>
          <w:lang w:val="en-US" w:eastAsia="zh-CN" w:bidi="ar-SA"/>
        </w:rPr>
        <w:t>良好</w:t>
      </w:r>
      <w:r>
        <w:rPr>
          <w:rFonts w:hint="eastAsia" w:ascii="Times New Roman" w:hAnsi="Times New Roman" w:eastAsia="仿宋_GB2312" w:cs="仿宋_GB2312"/>
          <w:b w:val="0"/>
          <w:bCs w:val="0"/>
          <w:kern w:val="0"/>
          <w:position w:val="0"/>
          <w:sz w:val="32"/>
          <w:szCs w:val="32"/>
          <w:highlight w:val="none"/>
          <w:lang w:val="zh-CN" w:eastAsia="zh-CN" w:bidi="ar-SA"/>
        </w:rPr>
        <w:t>、完成时效</w:t>
      </w:r>
      <w:r>
        <w:rPr>
          <w:rFonts w:hint="eastAsia" w:eastAsia="仿宋_GB2312" w:cs="仿宋_GB2312"/>
          <w:b w:val="0"/>
          <w:bCs w:val="0"/>
          <w:kern w:val="0"/>
          <w:position w:val="0"/>
          <w:sz w:val="32"/>
          <w:szCs w:val="32"/>
          <w:highlight w:val="none"/>
          <w:lang w:val="en-US" w:eastAsia="zh-CN" w:bidi="ar-SA"/>
        </w:rPr>
        <w:t>及时</w:t>
      </w:r>
      <w:r>
        <w:rPr>
          <w:rFonts w:hint="eastAsia" w:ascii="Times New Roman" w:hAnsi="Times New Roman" w:eastAsia="仿宋_GB2312" w:cs="仿宋_GB2312"/>
          <w:b w:val="0"/>
          <w:bCs w:val="0"/>
          <w:kern w:val="0"/>
          <w:position w:val="0"/>
          <w:sz w:val="32"/>
          <w:szCs w:val="32"/>
          <w:highlight w:val="none"/>
          <w:lang w:val="zh-CN" w:eastAsia="zh-CN" w:bidi="ar-SA"/>
        </w:rPr>
        <w:t>。</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rPr>
        <w:t>（二）</w:t>
      </w:r>
      <w:r>
        <w:rPr>
          <w:rFonts w:hint="eastAsia" w:ascii="Times New Roman" w:hAnsi="Times New Roman"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eastAsia" w:ascii="Times New Roman" w:hAnsi="Times New Roman" w:eastAsia="仿宋_GB2312" w:cs="仿宋_GB2312"/>
          <w:b w:val="0"/>
          <w:bCs w:val="0"/>
          <w:kern w:val="0"/>
          <w:position w:val="0"/>
          <w:sz w:val="32"/>
          <w:szCs w:val="32"/>
          <w:highlight w:val="none"/>
          <w:lang w:val="zh-CN" w:eastAsia="zh-CN" w:bidi="ar-SA"/>
        </w:rPr>
        <w:t>根据</w:t>
      </w:r>
      <w:r>
        <w:rPr>
          <w:rFonts w:hint="eastAsia" w:ascii="Times New Roman" w:hAnsi="Times New Roman" w:eastAsia="仿宋_GB2312" w:cs="仿宋_GB2312"/>
          <w:b w:val="0"/>
          <w:bCs w:val="0"/>
          <w:kern w:val="0"/>
          <w:position w:val="0"/>
          <w:sz w:val="32"/>
          <w:szCs w:val="32"/>
          <w:highlight w:val="none"/>
          <w:lang w:val="en-US" w:eastAsia="zh-CN" w:bidi="ar-SA"/>
        </w:rPr>
        <w:t>专项预算项目资金支持对象选择所属指标进行绩效分析。支持对象</w:t>
      </w:r>
      <w:r>
        <w:rPr>
          <w:rFonts w:hint="eastAsia" w:ascii="Times New Roman" w:hAnsi="Times New Roman" w:eastAsia="仿宋_GB2312" w:cs="仿宋_GB2312"/>
          <w:b w:val="0"/>
          <w:bCs w:val="0"/>
          <w:kern w:val="0"/>
          <w:position w:val="0"/>
          <w:sz w:val="32"/>
          <w:szCs w:val="32"/>
          <w:highlight w:val="none"/>
          <w:lang w:val="zh-CN" w:eastAsia="zh-CN" w:bidi="ar-SA"/>
        </w:rPr>
        <w:t>包括产业发展、民生保障、基础设施、行政运转等方面。</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1.产业发展。</w:t>
      </w:r>
      <w:r>
        <w:rPr>
          <w:rFonts w:hint="eastAsia" w:eastAsia="仿宋_GB2312" w:cs="仿宋_GB2312"/>
          <w:b w:val="0"/>
          <w:bCs w:val="0"/>
          <w:kern w:val="0"/>
          <w:position w:val="0"/>
          <w:sz w:val="32"/>
          <w:szCs w:val="32"/>
          <w:highlight w:val="none"/>
          <w:lang w:val="en-US" w:eastAsia="zh-CN" w:bidi="ar-SA"/>
        </w:rPr>
        <w:t>项目</w:t>
      </w:r>
      <w:r>
        <w:rPr>
          <w:rFonts w:hint="eastAsia" w:ascii="Times New Roman" w:hAnsi="Times New Roman" w:eastAsia="仿宋_GB2312" w:cs="仿宋_GB2312"/>
          <w:b w:val="0"/>
          <w:bCs w:val="0"/>
          <w:kern w:val="0"/>
          <w:position w:val="0"/>
          <w:sz w:val="32"/>
          <w:szCs w:val="32"/>
          <w:highlight w:val="none"/>
          <w:lang w:val="en-US" w:eastAsia="zh-CN" w:bidi="ar-SA"/>
        </w:rPr>
        <w:t>符合性、成长性、经济性</w:t>
      </w:r>
      <w:r>
        <w:rPr>
          <w:rFonts w:hint="eastAsia" w:eastAsia="仿宋_GB2312" w:cs="仿宋_GB2312"/>
          <w:b w:val="0"/>
          <w:bCs w:val="0"/>
          <w:kern w:val="0"/>
          <w:position w:val="0"/>
          <w:sz w:val="32"/>
          <w:szCs w:val="32"/>
          <w:highlight w:val="none"/>
          <w:lang w:val="en-US" w:eastAsia="zh-CN" w:bidi="ar-SA"/>
        </w:rPr>
        <w:t>均达到预期效果</w:t>
      </w:r>
      <w:r>
        <w:rPr>
          <w:rFonts w:hint="eastAsia" w:ascii="Times New Roman" w:hAnsi="Times New Roman" w:eastAsia="仿宋_GB2312" w:cs="仿宋_GB2312"/>
          <w:b w:val="0"/>
          <w:bCs w:val="0"/>
          <w:kern w:val="0"/>
          <w:position w:val="0"/>
          <w:sz w:val="32"/>
          <w:szCs w:val="32"/>
          <w:highlight w:val="none"/>
          <w:lang w:val="en-US" w:eastAsia="zh-CN" w:bidi="ar-SA"/>
        </w:rPr>
        <w:t>。</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zh-CN" w:eastAsia="zh-CN" w:bidi="ar-SA"/>
        </w:rPr>
        <w:t>民生保障。</w:t>
      </w:r>
      <w:r>
        <w:rPr>
          <w:rFonts w:hint="eastAsia" w:ascii="Times New Roman" w:hAnsi="Times New Roman" w:eastAsia="仿宋_GB2312" w:cs="仿宋_GB2312"/>
          <w:b w:val="0"/>
          <w:bCs w:val="0"/>
          <w:kern w:val="0"/>
          <w:position w:val="0"/>
          <w:sz w:val="32"/>
          <w:szCs w:val="32"/>
          <w:highlight w:val="none"/>
          <w:lang w:val="en-US" w:eastAsia="zh-CN" w:bidi="ar-SA"/>
        </w:rPr>
        <w:t>区域均衡性、对象精准性、标准合理性、群众满意度</w:t>
      </w:r>
      <w:r>
        <w:rPr>
          <w:rFonts w:hint="eastAsia" w:eastAsia="仿宋_GB2312" w:cs="仿宋_GB2312"/>
          <w:b w:val="0"/>
          <w:bCs w:val="0"/>
          <w:kern w:val="0"/>
          <w:position w:val="0"/>
          <w:sz w:val="32"/>
          <w:szCs w:val="32"/>
          <w:highlight w:val="none"/>
          <w:lang w:val="en-US" w:eastAsia="zh-CN" w:bidi="ar-SA"/>
        </w:rPr>
        <w:t>均良好</w:t>
      </w:r>
      <w:r>
        <w:rPr>
          <w:rFonts w:hint="eastAsia" w:ascii="Times New Roman" w:hAnsi="Times New Roman" w:eastAsia="仿宋_GB2312" w:cs="仿宋_GB2312"/>
          <w:b w:val="0"/>
          <w:bCs w:val="0"/>
          <w:kern w:val="0"/>
          <w:position w:val="0"/>
          <w:sz w:val="32"/>
          <w:szCs w:val="32"/>
          <w:highlight w:val="none"/>
          <w:lang w:val="en-US" w:eastAsia="zh-CN" w:bidi="ar-SA"/>
        </w:rPr>
        <w:t>。</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3</w:t>
      </w:r>
      <w:r>
        <w:rPr>
          <w:rFonts w:hint="eastAsia" w:ascii="Times New Roman" w:hAnsi="Times New Roman"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zh-CN" w:eastAsia="zh-CN" w:bidi="ar-SA"/>
        </w:rPr>
        <w:t>行政运转。用途合规性、程序合规性、标准合规性</w:t>
      </w:r>
      <w:r>
        <w:rPr>
          <w:rFonts w:hint="eastAsia" w:eastAsia="仿宋_GB2312" w:cs="仿宋_GB2312"/>
          <w:b w:val="0"/>
          <w:bCs w:val="0"/>
          <w:kern w:val="0"/>
          <w:position w:val="0"/>
          <w:sz w:val="32"/>
          <w:szCs w:val="32"/>
          <w:highlight w:val="none"/>
          <w:lang w:val="en-US" w:eastAsia="zh-CN" w:bidi="ar-SA"/>
        </w:rPr>
        <w:t>较好</w:t>
      </w:r>
      <w:r>
        <w:rPr>
          <w:rFonts w:hint="eastAsia" w:ascii="Times New Roman" w:hAnsi="Times New Roman" w:eastAsia="仿宋_GB2312" w:cs="仿宋_GB2312"/>
          <w:b w:val="0"/>
          <w:bCs w:val="0"/>
          <w:kern w:val="0"/>
          <w:position w:val="0"/>
          <w:sz w:val="32"/>
          <w:szCs w:val="32"/>
          <w:highlight w:val="none"/>
          <w:lang w:val="zh-CN" w:eastAsia="zh-CN" w:bidi="ar-SA"/>
        </w:rPr>
        <w:t>。</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楷体_GB2312" w:cs="Times New Roman"/>
          <w:b/>
          <w:color w:val="auto"/>
          <w:sz w:val="32"/>
          <w:szCs w:val="32"/>
          <w:highlight w:val="none"/>
          <w:u w:val="none"/>
          <w:lang w:val="zh-CN"/>
        </w:rPr>
        <w:t>（三）</w:t>
      </w:r>
      <w:r>
        <w:rPr>
          <w:rFonts w:hint="eastAsia" w:ascii="Times New Roman" w:hAnsi="Times New Roman"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eastAsia" w:ascii="Times New Roman" w:hAnsi="Times New Roman" w:eastAsia="仿宋_GB2312" w:cs="仿宋_GB2312"/>
          <w:b w:val="0"/>
          <w:bCs w:val="0"/>
          <w:kern w:val="0"/>
          <w:position w:val="0"/>
          <w:sz w:val="32"/>
          <w:szCs w:val="32"/>
          <w:highlight w:val="none"/>
          <w:lang w:val="zh-CN" w:eastAsia="zh-CN" w:bidi="ar-SA"/>
        </w:rPr>
        <w:t>根据项目个性自行设定部分指标，反映该项指标执行完成情况。</w:t>
      </w:r>
      <w:bookmarkStart w:id="68" w:name="_GoBack"/>
      <w:bookmarkEnd w:id="68"/>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四、评价结论</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专项预算项目绩效自评总体</w:t>
      </w:r>
      <w:r>
        <w:rPr>
          <w:rFonts w:hint="eastAsia" w:eastAsia="仿宋_GB2312" w:cs="仿宋_GB2312"/>
          <w:b w:val="0"/>
          <w:bCs w:val="0"/>
          <w:kern w:val="0"/>
          <w:position w:val="0"/>
          <w:sz w:val="32"/>
          <w:szCs w:val="32"/>
          <w:highlight w:val="none"/>
          <w:lang w:val="en-US" w:eastAsia="zh-CN" w:bidi="ar-SA"/>
        </w:rPr>
        <w:t>结果达到预期</w:t>
      </w:r>
      <w:r>
        <w:rPr>
          <w:rFonts w:hint="eastAsia" w:ascii="Times New Roman" w:hAnsi="Times New Roman" w:eastAsia="仿宋_GB2312" w:cs="仿宋_GB2312"/>
          <w:b w:val="0"/>
          <w:bCs w:val="0"/>
          <w:kern w:val="0"/>
          <w:position w:val="0"/>
          <w:sz w:val="32"/>
          <w:szCs w:val="32"/>
          <w:highlight w:val="none"/>
          <w:lang w:val="en-US" w:eastAsia="zh-CN" w:bidi="ar-SA"/>
        </w:rPr>
        <w:t>，</w:t>
      </w:r>
      <w:r>
        <w:rPr>
          <w:rFonts w:hint="eastAsia" w:eastAsia="仿宋_GB2312" w:cs="仿宋_GB2312"/>
          <w:b w:val="0"/>
          <w:bCs w:val="0"/>
          <w:kern w:val="0"/>
          <w:position w:val="0"/>
          <w:sz w:val="32"/>
          <w:szCs w:val="32"/>
          <w:highlight w:val="none"/>
          <w:lang w:val="en-US" w:eastAsia="zh-CN" w:bidi="ar-SA"/>
        </w:rPr>
        <w:t>项目自评得分98分，整体运行良好</w:t>
      </w:r>
      <w:r>
        <w:rPr>
          <w:rFonts w:hint="eastAsia" w:ascii="Times New Roman" w:hAnsi="Times New Roman" w:eastAsia="仿宋_GB2312" w:cs="仿宋_GB2312"/>
          <w:b w:val="0"/>
          <w:bCs w:val="0"/>
          <w:kern w:val="0"/>
          <w:position w:val="0"/>
          <w:sz w:val="32"/>
          <w:szCs w:val="32"/>
          <w:highlight w:val="none"/>
          <w:lang w:val="zh-CN" w:eastAsia="zh-CN" w:bidi="ar-SA"/>
        </w:rPr>
        <w:t>。</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五、存在主要问题</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无</w:t>
      </w:r>
      <w:r>
        <w:rPr>
          <w:rFonts w:hint="eastAsia" w:ascii="Times New Roman" w:hAnsi="Times New Roman" w:eastAsia="仿宋_GB2312" w:cs="仿宋_GB2312"/>
          <w:b w:val="0"/>
          <w:bCs w:val="0"/>
          <w:kern w:val="0"/>
          <w:position w:val="0"/>
          <w:sz w:val="32"/>
          <w:szCs w:val="32"/>
          <w:highlight w:val="none"/>
          <w:lang w:val="en-US" w:eastAsia="zh-CN" w:bidi="ar-SA"/>
        </w:rPr>
        <w:t>。</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zh-CN" w:eastAsia="zh-CN" w:bidi="ar-SA"/>
        </w:rPr>
      </w:pPr>
      <w:r>
        <w:rPr>
          <w:rFonts w:hint="eastAsia" w:ascii="黑体" w:hAnsi="黑体" w:eastAsia="黑体" w:cs="黑体"/>
          <w:b w:val="0"/>
          <w:bCs w:val="0"/>
          <w:kern w:val="0"/>
          <w:position w:val="0"/>
          <w:sz w:val="32"/>
          <w:szCs w:val="32"/>
          <w:highlight w:val="none"/>
          <w:lang w:val="zh-CN" w:eastAsia="zh-CN" w:bidi="ar-SA"/>
        </w:rPr>
        <w:t>六、改进建议</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无</w:t>
      </w:r>
      <w:r>
        <w:rPr>
          <w:rFonts w:hint="eastAsia" w:ascii="Times New Roman" w:hAnsi="Times New Roman" w:eastAsia="仿宋_GB2312" w:cs="仿宋_GB2312"/>
          <w:b w:val="0"/>
          <w:bCs w:val="0"/>
          <w:kern w:val="0"/>
          <w:position w:val="0"/>
          <w:sz w:val="32"/>
          <w:szCs w:val="32"/>
          <w:highlight w:val="none"/>
          <w:lang w:val="en-US" w:eastAsia="zh-CN" w:bidi="ar-SA"/>
        </w:rPr>
        <w:t>。</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54"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8"/>
          <w:rFonts w:hint="eastAsia" w:ascii="Times New Roman" w:hAnsi="Times New Roman" w:eastAsia="黑体"/>
          <w:b w:val="0"/>
          <w:color w:val="auto"/>
          <w:highlight w:val="none"/>
        </w:rPr>
        <w:t>五部分 附表</w:t>
      </w:r>
      <w:bookmarkEnd w:id="51"/>
      <w:bookmarkEnd w:id="54"/>
      <w:bookmarkStart w:id="55" w:name="_Toc15396619"/>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5"/>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0"/>
      <w:r>
        <w:rPr>
          <w:rFonts w:hint="eastAsia" w:ascii="Times New Roman" w:hAnsi="Times New Roman" w:eastAsia="仿宋_GB2312" w:cs="仿宋_GB2312"/>
          <w:color w:val="auto"/>
          <w:sz w:val="32"/>
          <w:szCs w:val="32"/>
          <w:highlight w:val="none"/>
        </w:rPr>
        <w:t>二、收入决算表</w:t>
      </w:r>
      <w:bookmarkEnd w:id="56"/>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1"/>
      <w:r>
        <w:rPr>
          <w:rFonts w:hint="eastAsia" w:ascii="Times New Roman" w:hAnsi="Times New Roman" w:eastAsia="仿宋_GB2312" w:cs="仿宋_GB2312"/>
          <w:color w:val="auto"/>
          <w:sz w:val="32"/>
          <w:szCs w:val="32"/>
          <w:highlight w:val="none"/>
        </w:rPr>
        <w:t>三、支出决算表</w:t>
      </w:r>
      <w:bookmarkEnd w:id="57"/>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2"/>
      <w:r>
        <w:rPr>
          <w:rFonts w:hint="eastAsia" w:ascii="Times New Roman" w:hAnsi="Times New Roman" w:eastAsia="仿宋_GB2312" w:cs="仿宋_GB2312"/>
          <w:color w:val="auto"/>
          <w:sz w:val="32"/>
          <w:szCs w:val="32"/>
          <w:highlight w:val="none"/>
        </w:rPr>
        <w:t>四、财政拨款收入支出决算总表</w:t>
      </w:r>
      <w:bookmarkEnd w:id="58"/>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3"/>
      <w:r>
        <w:rPr>
          <w:rFonts w:hint="eastAsia" w:ascii="Times New Roman" w:hAnsi="Times New Roman" w:eastAsia="仿宋_GB2312" w:cs="仿宋_GB2312"/>
          <w:color w:val="auto"/>
          <w:sz w:val="32"/>
          <w:szCs w:val="32"/>
          <w:highlight w:val="none"/>
        </w:rPr>
        <w:t>五、财政拨款支出决算明细表</w:t>
      </w:r>
      <w:bookmarkEnd w:id="59"/>
      <w:bookmarkStart w:id="60" w:name="_Toc15396624"/>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0"/>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5"/>
      <w:r>
        <w:rPr>
          <w:rFonts w:hint="eastAsia" w:ascii="Times New Roman" w:hAnsi="Times New Roman" w:eastAsia="仿宋_GB2312" w:cs="仿宋_GB2312"/>
          <w:color w:val="auto"/>
          <w:sz w:val="32"/>
          <w:szCs w:val="32"/>
          <w:highlight w:val="none"/>
        </w:rPr>
        <w:t>七、一般公共预算财政拨款支出决算明细表</w:t>
      </w:r>
      <w:bookmarkEnd w:id="61"/>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6"/>
      <w:r>
        <w:rPr>
          <w:rFonts w:hint="eastAsia" w:ascii="Times New Roman" w:hAnsi="Times New Roman" w:eastAsia="仿宋_GB2312" w:cs="仿宋_GB2312"/>
          <w:color w:val="auto"/>
          <w:sz w:val="32"/>
          <w:szCs w:val="32"/>
          <w:highlight w:val="none"/>
        </w:rPr>
        <w:t>八、一般公共预算财政拨款基本支出决算表</w:t>
      </w:r>
      <w:bookmarkEnd w:id="62"/>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7"/>
      <w:r>
        <w:rPr>
          <w:rFonts w:hint="eastAsia" w:ascii="Times New Roman" w:hAnsi="Times New Roman" w:eastAsia="仿宋_GB2312" w:cs="仿宋_GB2312"/>
          <w:color w:val="auto"/>
          <w:sz w:val="32"/>
          <w:szCs w:val="32"/>
          <w:highlight w:val="none"/>
        </w:rPr>
        <w:t>九、一般公共预算财政拨款项目支出决算表</w:t>
      </w:r>
      <w:bookmarkEnd w:id="63"/>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8"/>
      <w:r>
        <w:rPr>
          <w:rFonts w:hint="eastAsia" w:ascii="Times New Roman" w:hAnsi="Times New Roman" w:eastAsia="仿宋_GB2312" w:cs="仿宋_GB2312"/>
          <w:color w:val="auto"/>
          <w:sz w:val="32"/>
          <w:szCs w:val="32"/>
          <w:highlight w:val="none"/>
        </w:rPr>
        <w:t>十、</w:t>
      </w:r>
      <w:bookmarkEnd w:id="64"/>
      <w:r>
        <w:rPr>
          <w:rFonts w:hint="eastAsia" w:ascii="Times New Roman" w:hAnsi="Times New Roman" w:eastAsia="仿宋_GB2312" w:cs="仿宋_GB2312"/>
          <w:color w:val="auto"/>
          <w:sz w:val="32"/>
          <w:szCs w:val="32"/>
          <w:highlight w:val="none"/>
        </w:rPr>
        <w:t>政府性基金预算财政拨款收入支出决算表</w:t>
      </w:r>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29"/>
      <w:r>
        <w:rPr>
          <w:rFonts w:hint="eastAsia" w:ascii="Times New Roman" w:hAnsi="Times New Roman" w:eastAsia="仿宋_GB2312" w:cs="仿宋_GB2312"/>
          <w:color w:val="auto"/>
          <w:sz w:val="32"/>
          <w:szCs w:val="32"/>
          <w:highlight w:val="none"/>
        </w:rPr>
        <w:t>十一、</w:t>
      </w:r>
      <w:bookmarkEnd w:id="65"/>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6" w:name="_Toc15396630"/>
      <w:r>
        <w:rPr>
          <w:rFonts w:hint="eastAsia" w:ascii="Times New Roman" w:hAnsi="Times New Roman" w:eastAsia="仿宋_GB2312" w:cs="仿宋_GB2312"/>
          <w:color w:val="auto"/>
          <w:sz w:val="32"/>
          <w:szCs w:val="32"/>
          <w:highlight w:val="none"/>
        </w:rPr>
        <w:t>十二、</w:t>
      </w:r>
      <w:bookmarkEnd w:id="66"/>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7" w:name="_Toc15396631"/>
      <w:r>
        <w:rPr>
          <w:rFonts w:hint="eastAsia" w:ascii="Times New Roman" w:hAnsi="Times New Roman" w:eastAsia="仿宋_GB2312" w:cs="仿宋_GB2312"/>
          <w:color w:val="auto"/>
          <w:sz w:val="32"/>
          <w:szCs w:val="32"/>
          <w:highlight w:val="none"/>
        </w:rPr>
        <w:t>十三、</w:t>
      </w:r>
      <w:bookmarkEnd w:id="67"/>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06779B"/>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0A94508"/>
    <w:rsid w:val="62BF3928"/>
    <w:rsid w:val="63B3701E"/>
    <w:rsid w:val="647F5392"/>
    <w:rsid w:val="6491701C"/>
    <w:rsid w:val="64EE1C2C"/>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link w:val="25"/>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Chars="200"/>
    </w:pPr>
    <w:rPr>
      <w:rFonts w:ascii="仿宋_GB2312"/>
      <w:szCs w:val="32"/>
    </w:rPr>
  </w:style>
  <w:style w:type="paragraph" w:styleId="7">
    <w:name w:val="Body Text First Indent 2"/>
    <w:basedOn w:val="6"/>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2"/>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3"/>
    <w:qFormat/>
    <w:uiPriority w:val="9"/>
    <w:rPr>
      <w:rFonts w:ascii="Times New Roman" w:hAnsi="Times New Roman"/>
      <w:b/>
      <w:bCs/>
      <w:kern w:val="44"/>
      <w:sz w:val="44"/>
      <w:szCs w:val="44"/>
    </w:rPr>
  </w:style>
  <w:style w:type="character" w:customStyle="1" w:styleId="29">
    <w:name w:val="标题 2 Char"/>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5"/>
    <w:qFormat/>
    <w:uiPriority w:val="9"/>
    <w:rPr>
      <w:rFonts w:ascii="Times New Roman" w:hAnsi="Times New Roman"/>
      <w:b/>
      <w:bCs/>
      <w:kern w:val="2"/>
      <w:sz w:val="32"/>
      <w:szCs w:val="32"/>
    </w:rPr>
  </w:style>
  <w:style w:type="paragraph" w:customStyle="1" w:styleId="33">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percentStack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6593.97</c:v>
                </c:pt>
                <c:pt idx="1">
                  <c:v>8879.17</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Sheet1!$C$2:$C$3</c:f>
              <c:numCache>
                <c:formatCode>General</c:formatCode>
                <c:ptCount val="2"/>
                <c:pt idx="0">
                  <c:v>6593.97</c:v>
                </c:pt>
                <c:pt idx="1">
                  <c:v>8879.17</c:v>
                </c:pt>
              </c:numCache>
            </c:numRef>
          </c:val>
        </c:ser>
        <c:ser>
          <c:idx val="2"/>
          <c:order val="2"/>
          <c:tx>
            <c:strRef>
              <c:f>Sheet1!#REF!</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150"/>
        <c:overlap val="100"/>
        <c:axId val="951128039"/>
        <c:axId val="78644193"/>
      </c:barChart>
      <c:catAx>
        <c:axId val="95112803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644193"/>
        <c:crosses val="autoZero"/>
        <c:auto val="1"/>
        <c:lblAlgn val="ctr"/>
        <c:lblOffset val="100"/>
        <c:noMultiLvlLbl val="0"/>
      </c:catAx>
      <c:valAx>
        <c:axId val="7864419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1128039"/>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2024年度</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一般公共预算财政拨款收入</c:v>
                </c:pt>
                <c:pt idx="1">
                  <c:v>政府性基金预算财政拨款收入</c:v>
                </c:pt>
                <c:pt idx="2">
                  <c:v>其他收入</c:v>
                </c:pt>
              </c:strCache>
            </c:strRef>
          </c:cat>
          <c:val>
            <c:numRef>
              <c:f>Sheet1!$B$2:$B$4</c:f>
              <c:numCache>
                <c:formatCode>General</c:formatCode>
                <c:ptCount val="3"/>
                <c:pt idx="0">
                  <c:v>6937.83</c:v>
                </c:pt>
                <c:pt idx="1">
                  <c:v>1939.34</c:v>
                </c:pt>
                <c:pt idx="2">
                  <c:v>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2024年</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基本支出</c:v>
                </c:pt>
                <c:pt idx="1">
                  <c:v>项目支出</c:v>
                </c:pt>
              </c:strCache>
            </c:strRef>
          </c:cat>
          <c:val>
            <c:numRef>
              <c:f>Sheet1!$B$2:$B$5</c:f>
              <c:numCache>
                <c:formatCode>General</c:formatCode>
                <c:ptCount val="4"/>
                <c:pt idx="0">
                  <c:v>4973.89</c:v>
                </c:pt>
                <c:pt idx="1">
                  <c:v>3905.28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42325"/>
          <c:y val="0.127"/>
          <c:w val="0.927925"/>
          <c:h val="0.716566666666667"/>
        </c:manualLayout>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收入</c:v>
                </c:pt>
                <c:pt idx="1">
                  <c:v>支出</c:v>
                </c:pt>
              </c:strCache>
            </c:strRef>
          </c:cat>
          <c:val>
            <c:numRef>
              <c:f>Sheet1!$B$2:$B$5</c:f>
              <c:numCache>
                <c:formatCode>General</c:formatCode>
                <c:ptCount val="4"/>
                <c:pt idx="0">
                  <c:v>6543.18</c:v>
                </c:pt>
                <c:pt idx="1">
                  <c:v>6593.97</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收入</c:v>
                </c:pt>
                <c:pt idx="1">
                  <c:v>支出</c:v>
                </c:pt>
              </c:strCache>
            </c:strRef>
          </c:cat>
          <c:val>
            <c:numRef>
              <c:f>Sheet1!$C$2:$C$5</c:f>
              <c:numCache>
                <c:formatCode>General</c:formatCode>
                <c:ptCount val="4"/>
                <c:pt idx="0">
                  <c:v>8877.17</c:v>
                </c:pt>
                <c:pt idx="1">
                  <c:v>8877.17</c:v>
                </c:pt>
              </c:numCache>
            </c:numRef>
          </c:val>
        </c:ser>
        <c:ser>
          <c:idx val="2"/>
          <c:order val="2"/>
          <c:tx>
            <c:strRef>
              <c:f>Sheet1!#REF!</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收入</c:v>
                </c:pt>
                <c:pt idx="1">
                  <c:v>支出</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19"/>
        <c:overlap val="-27"/>
        <c:axId val="824315728"/>
        <c:axId val="673617219"/>
      </c:barChart>
      <c:catAx>
        <c:axId val="82431572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3617219"/>
        <c:crosses val="autoZero"/>
        <c:auto val="1"/>
        <c:lblAlgn val="ctr"/>
        <c:lblOffset val="100"/>
        <c:noMultiLvlLbl val="0"/>
      </c:catAx>
      <c:valAx>
        <c:axId val="6736172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431572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一般公共预算财政支出</a:t>
            </a:r>
          </a:p>
        </c:rich>
      </c:tx>
      <c:layout/>
      <c:overlay val="0"/>
      <c:spPr>
        <a:noFill/>
        <a:ln>
          <a:noFill/>
        </a:ln>
        <a:effectLst/>
      </c:spPr>
    </c:title>
    <c:autoTitleDeleted val="0"/>
    <c:plotArea>
      <c:layout/>
      <c:barChart>
        <c:barDir val="col"/>
        <c:grouping val="stack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一般公共预算支出</c:v>
                </c:pt>
              </c:strCache>
            </c:strRef>
          </c:cat>
          <c:val>
            <c:numRef>
              <c:f>Sheet1!$B$2:$B$5</c:f>
              <c:numCache>
                <c:formatCode>General</c:formatCode>
                <c:ptCount val="4"/>
                <c:pt idx="0">
                  <c:v>6083.43</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一般公共预算支出</c:v>
                </c:pt>
              </c:strCache>
            </c:strRef>
          </c:cat>
          <c:val>
            <c:numRef>
              <c:f>Sheet1!$C$2:$C$5</c:f>
              <c:numCache>
                <c:formatCode>General</c:formatCode>
                <c:ptCount val="4"/>
                <c:pt idx="0">
                  <c:v>6937.83</c:v>
                </c:pt>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一般公共预算支出</c:v>
                </c:pt>
              </c:strCache>
            </c:strRef>
          </c:cat>
          <c:val>
            <c:numRef>
              <c:f>Sheet1!$D$2:$D$5</c:f>
              <c:numCache>
                <c:formatCode>General</c:formatCode>
                <c:ptCount val="4"/>
              </c:numCache>
            </c:numRef>
          </c:val>
        </c:ser>
        <c:dLbls>
          <c:showLegendKey val="0"/>
          <c:showVal val="1"/>
          <c:showCatName val="0"/>
          <c:showSerName val="0"/>
          <c:showPercent val="0"/>
          <c:showBubbleSize val="0"/>
        </c:dLbls>
        <c:gapWidth val="150"/>
        <c:overlap val="100"/>
        <c:axId val="835385707"/>
        <c:axId val="631494240"/>
      </c:barChart>
      <c:catAx>
        <c:axId val="83538570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1494240"/>
        <c:crosses val="autoZero"/>
        <c:auto val="1"/>
        <c:lblAlgn val="ctr"/>
        <c:lblOffset val="100"/>
        <c:noMultiLvlLbl val="0"/>
      </c:catAx>
      <c:valAx>
        <c:axId val="631494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5385707"/>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一般公共预算支出</a:t>
            </a:r>
          </a:p>
        </c:rich>
      </c:tx>
      <c:layout/>
      <c:overlay val="0"/>
      <c:spPr>
        <a:noFill/>
        <a:ln>
          <a:noFill/>
        </a:ln>
        <a:effectLst/>
      </c:spPr>
    </c:title>
    <c:autoTitleDeleted val="0"/>
    <c:plotArea>
      <c:layout/>
      <c:pieChart>
        <c:varyColors val="1"/>
        <c:ser>
          <c:idx val="0"/>
          <c:order val="0"/>
          <c:tx>
            <c:strRef>
              <c:f>Sheet1!$B$1</c:f>
              <c:strCache>
                <c:ptCount val="1"/>
                <c:pt idx="0">
                  <c:v>一般公共预算支出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公共安全支出</c:v>
                </c:pt>
                <c:pt idx="1">
                  <c:v>社会保障和就业支出</c:v>
                </c:pt>
                <c:pt idx="2">
                  <c:v>卫生健康支出</c:v>
                </c:pt>
                <c:pt idx="3">
                  <c:v>住房保障支出</c:v>
                </c:pt>
              </c:strCache>
            </c:strRef>
          </c:cat>
          <c:val>
            <c:numRef>
              <c:f>Sheet1!$B$2:$B$5</c:f>
              <c:numCache>
                <c:formatCode>General</c:formatCode>
                <c:ptCount val="4"/>
                <c:pt idx="0">
                  <c:v>6120.88</c:v>
                </c:pt>
                <c:pt idx="1">
                  <c:v>422.08</c:v>
                </c:pt>
                <c:pt idx="2">
                  <c:v>135.83</c:v>
                </c:pt>
                <c:pt idx="3">
                  <c:v>259.02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公务用车运行维护费</c:v>
                </c:pt>
                <c:pt idx="1">
                  <c:v>接待费</c:v>
                </c:pt>
                <c:pt idx="2">
                  <c:v>因公出国境</c:v>
                </c:pt>
              </c:strCache>
            </c:strRef>
          </c:cat>
          <c:val>
            <c:numRef>
              <c:f>Sheet1!$B$2:$B$5</c:f>
              <c:numCache>
                <c:formatCode>General</c:formatCode>
                <c:ptCount val="4"/>
                <c:pt idx="0">
                  <c:v>25</c:v>
                </c:pt>
                <c:pt idx="1">
                  <c:v>4</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1299</Words>
  <Characters>7410</Characters>
  <Lines>61</Lines>
  <Paragraphs>17</Paragraphs>
  <TotalTime>11</TotalTime>
  <ScaleCrop>false</ScaleCrop>
  <LinksUpToDate>false</LinksUpToDate>
  <CharactersWithSpaces>8692</CharactersWithSpaces>
  <Application>WPS Office_11.1.0.8799_F1E327BC-269C-435d-A152-05C5408002CA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Administrator</cp:lastModifiedBy>
  <cp:lastPrinted>2025-08-06T17:34:00Z</cp:lastPrinted>
  <dcterms:modified xsi:type="dcterms:W3CDTF">2025-09-11T02:00:42Z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2052-11.1.0.8799</vt:lpwstr>
  </property>
  <property fmtid="{D5CDD505-2E9C-101B-9397-08002B2CF9AE}" pid="3" name="ICV">
    <vt:lpwstr>04787F2533EB45DC91BCDE4AB213247F</vt:lpwstr>
  </property>
</Properties>
</file>