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C35BA8">
      <w:pPr>
        <w:pStyle w:val="7"/>
        <w:spacing w:before="93"/>
        <w:jc w:val="center"/>
        <w:rPr>
          <w:rFonts w:ascii="Times New Roman" w:eastAsia="方正小标宋简体"/>
          <w:kern w:val="2"/>
          <w:sz w:val="44"/>
          <w:szCs w:val="44"/>
        </w:rPr>
      </w:pPr>
      <w:bookmarkStart w:id="0" w:name="_Toc15378441"/>
      <w:bookmarkStart w:id="1" w:name="_Toc15377193"/>
      <w:bookmarkStart w:id="2" w:name="_Toc15396597"/>
      <w:bookmarkStart w:id="3" w:name="_Toc15377425"/>
      <w:bookmarkStart w:id="4" w:name="_Toc15396475"/>
      <w:bookmarkStart w:id="5" w:name="_Toc15306267"/>
    </w:p>
    <w:p w14:paraId="22B6E2A1">
      <w:pPr>
        <w:pStyle w:val="7"/>
        <w:spacing w:before="93"/>
        <w:jc w:val="center"/>
        <w:rPr>
          <w:rFonts w:ascii="Times New Roman" w:eastAsia="方正小标宋简体"/>
          <w:kern w:val="2"/>
          <w:sz w:val="44"/>
          <w:szCs w:val="44"/>
        </w:rPr>
      </w:pPr>
    </w:p>
    <w:p w14:paraId="19191D54">
      <w:pPr>
        <w:pStyle w:val="7"/>
        <w:spacing w:before="93"/>
        <w:jc w:val="center"/>
        <w:rPr>
          <w:rFonts w:ascii="Times New Roman" w:eastAsia="方正小标宋简体"/>
          <w:kern w:val="2"/>
          <w:sz w:val="44"/>
          <w:szCs w:val="44"/>
        </w:rPr>
      </w:pPr>
    </w:p>
    <w:p w14:paraId="5F38A148">
      <w:pPr>
        <w:pStyle w:val="7"/>
        <w:spacing w:before="93"/>
        <w:jc w:val="center"/>
        <w:rPr>
          <w:rFonts w:ascii="Times New Roman" w:eastAsia="方正小标宋简体"/>
          <w:kern w:val="2"/>
          <w:sz w:val="44"/>
          <w:szCs w:val="44"/>
        </w:rPr>
      </w:pPr>
    </w:p>
    <w:bookmarkEnd w:id="0"/>
    <w:bookmarkEnd w:id="1"/>
    <w:bookmarkEnd w:id="2"/>
    <w:bookmarkEnd w:id="3"/>
    <w:bookmarkEnd w:id="4"/>
    <w:p w14:paraId="3C2E17CC">
      <w:pPr>
        <w:pStyle w:val="7"/>
        <w:spacing w:before="93"/>
        <w:jc w:val="center"/>
        <w:rPr>
          <w:rFonts w:ascii="Times New Roman" w:eastAsia="方正小标宋简体"/>
          <w:kern w:val="2"/>
          <w:sz w:val="44"/>
          <w:szCs w:val="44"/>
        </w:rPr>
      </w:pPr>
      <w:bookmarkStart w:id="6" w:name="_Toc15396476"/>
      <w:bookmarkStart w:id="7" w:name="_Toc15377426"/>
      <w:bookmarkStart w:id="8" w:name="_Toc15396598"/>
      <w:bookmarkStart w:id="9" w:name="_Toc15378442"/>
      <w:bookmarkStart w:id="10" w:name="_Toc15377194"/>
      <w:r>
        <w:rPr>
          <w:rFonts w:hint="eastAsia" w:ascii="Times New Roman" w:eastAsia="方正小标宋简体"/>
          <w:kern w:val="2"/>
          <w:sz w:val="44"/>
          <w:szCs w:val="44"/>
        </w:rPr>
        <w:t>2024年度四川省</w:t>
      </w:r>
      <w:bookmarkEnd w:id="5"/>
      <w:bookmarkStart w:id="11" w:name="_Toc15306268"/>
      <w:r>
        <w:rPr>
          <w:rFonts w:hint="eastAsia" w:ascii="Times New Roman" w:eastAsia="方正小标宋简体"/>
          <w:kern w:val="2"/>
          <w:sz w:val="44"/>
          <w:szCs w:val="44"/>
        </w:rPr>
        <w:t>沐川县红十字会</w:t>
      </w:r>
    </w:p>
    <w:p w14:paraId="2933B6B1">
      <w:pPr>
        <w:pStyle w:val="7"/>
        <w:spacing w:before="93"/>
        <w:jc w:val="center"/>
        <w:rPr>
          <w:rFonts w:ascii="Times New Roman" w:eastAsia="方正小标宋简体"/>
          <w:kern w:val="2"/>
          <w:sz w:val="44"/>
          <w:szCs w:val="44"/>
        </w:rPr>
      </w:pPr>
      <w:r>
        <w:rPr>
          <w:rFonts w:hint="eastAsia" w:ascii="Times New Roman" w:eastAsia="方正小标宋简体"/>
          <w:kern w:val="2"/>
          <w:sz w:val="44"/>
          <w:szCs w:val="44"/>
        </w:rPr>
        <w:t>部门决算</w:t>
      </w:r>
      <w:bookmarkEnd w:id="6"/>
      <w:bookmarkEnd w:id="7"/>
      <w:bookmarkEnd w:id="8"/>
      <w:bookmarkEnd w:id="9"/>
      <w:bookmarkEnd w:id="10"/>
      <w:bookmarkEnd w:id="11"/>
    </w:p>
    <w:p w14:paraId="528F9FEA">
      <w:pPr>
        <w:pStyle w:val="7"/>
        <w:spacing w:before="93"/>
        <w:jc w:val="center"/>
        <w:rPr>
          <w:rFonts w:ascii="Times New Roman" w:eastAsia="方正小标宋简体"/>
          <w:kern w:val="2"/>
          <w:sz w:val="44"/>
          <w:szCs w:val="44"/>
        </w:rPr>
      </w:pPr>
    </w:p>
    <w:p w14:paraId="5E9D9CA6">
      <w:pPr>
        <w:pStyle w:val="7"/>
        <w:spacing w:before="93"/>
        <w:jc w:val="center"/>
        <w:rPr>
          <w:rFonts w:ascii="Times New Roman" w:eastAsia="方正小标宋简体"/>
          <w:kern w:val="2"/>
          <w:sz w:val="44"/>
          <w:szCs w:val="44"/>
        </w:rPr>
      </w:pPr>
    </w:p>
    <w:p w14:paraId="592F5AC6">
      <w:pPr>
        <w:widowControl/>
        <w:jc w:val="center"/>
        <w:rPr>
          <w:rFonts w:eastAsia="黑体"/>
          <w:sz w:val="48"/>
          <w:szCs w:val="48"/>
        </w:rPr>
      </w:pPr>
      <w:r>
        <w:rPr>
          <w:rFonts w:eastAsia="方正小标宋简体"/>
          <w:sz w:val="36"/>
          <w:szCs w:val="36"/>
        </w:rPr>
        <w:br w:type="page"/>
      </w:r>
      <w:r>
        <w:rPr>
          <w:rFonts w:hint="eastAsia" w:eastAsia="黑体"/>
          <w:sz w:val="48"/>
          <w:szCs w:val="48"/>
        </w:rPr>
        <w:t>目录</w:t>
      </w:r>
    </w:p>
    <w:p w14:paraId="06E449F6">
      <w:pPr>
        <w:widowControl/>
        <w:jc w:val="center"/>
        <w:rPr>
          <w:rFonts w:eastAsia="黑体" w:cstheme="minorBidi"/>
          <w:sz w:val="28"/>
          <w:szCs w:val="28"/>
        </w:rPr>
      </w:pPr>
    </w:p>
    <w:p w14:paraId="61813D88">
      <w:pPr>
        <w:pStyle w:val="14"/>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公开时间：2025年 9 月 23 日</w:t>
      </w:r>
    </w:p>
    <w:p w14:paraId="163FA000"/>
    <w:p w14:paraId="7FA96176">
      <w:pPr>
        <w:pStyle w:val="14"/>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第一部分 部门概况</w:t>
      </w:r>
      <w:r>
        <w:rPr>
          <w:rFonts w:hint="eastAsia" w:ascii="Times New Roman" w:hAnsi="Times New Roman" w:eastAsia="黑体" w:cs="黑体"/>
          <w:sz w:val="32"/>
          <w:szCs w:val="32"/>
        </w:rPr>
        <w:tab/>
      </w:r>
      <w:r>
        <w:rPr>
          <w:rFonts w:hint="eastAsia" w:ascii="Times New Roman" w:hAnsi="Times New Roman" w:eastAsia="黑体" w:cs="黑体"/>
          <w:sz w:val="32"/>
          <w:szCs w:val="32"/>
        </w:rPr>
        <w:t>1</w:t>
      </w:r>
    </w:p>
    <w:p w14:paraId="602199D4">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一、部门职责</w:t>
      </w:r>
      <w:r>
        <w:rPr>
          <w:rFonts w:hint="eastAsia" w:eastAsia="仿宋_GB2312" w:cs="仿宋_GB2312"/>
          <w:sz w:val="32"/>
          <w:szCs w:val="32"/>
        </w:rPr>
        <w:tab/>
      </w:r>
      <w:r>
        <w:rPr>
          <w:rFonts w:hint="eastAsia" w:eastAsia="仿宋_GB2312" w:cs="仿宋_GB2312"/>
          <w:sz w:val="32"/>
          <w:szCs w:val="32"/>
        </w:rPr>
        <w:t>1</w:t>
      </w:r>
    </w:p>
    <w:p w14:paraId="712D6ACF">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二、机构设置</w:t>
      </w:r>
      <w:r>
        <w:rPr>
          <w:rFonts w:hint="eastAsia" w:eastAsia="仿宋_GB2312" w:cs="仿宋_GB2312"/>
          <w:sz w:val="32"/>
          <w:szCs w:val="32"/>
        </w:rPr>
        <w:tab/>
      </w:r>
      <w:r>
        <w:rPr>
          <w:rFonts w:hint="eastAsia" w:eastAsia="仿宋_GB2312" w:cs="仿宋_GB2312"/>
          <w:sz w:val="32"/>
          <w:szCs w:val="32"/>
        </w:rPr>
        <w:t>1</w:t>
      </w:r>
    </w:p>
    <w:p w14:paraId="3B5DE38A">
      <w:pPr>
        <w:pStyle w:val="14"/>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第二部分 2024年度部门决算情况说明</w:t>
      </w:r>
      <w:r>
        <w:rPr>
          <w:rFonts w:hint="eastAsia" w:ascii="Times New Roman" w:hAnsi="Times New Roman" w:eastAsia="黑体" w:cs="黑体"/>
          <w:sz w:val="32"/>
          <w:szCs w:val="32"/>
        </w:rPr>
        <w:tab/>
      </w:r>
      <w:r>
        <w:rPr>
          <w:rFonts w:hint="eastAsia" w:ascii="Times New Roman" w:hAnsi="Times New Roman" w:eastAsia="黑体" w:cs="黑体"/>
          <w:sz w:val="32"/>
          <w:szCs w:val="32"/>
        </w:rPr>
        <w:t>2</w:t>
      </w:r>
    </w:p>
    <w:p w14:paraId="64BDCE45">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一、收入支出决算总体情况说明</w:t>
      </w:r>
      <w:r>
        <w:rPr>
          <w:rFonts w:hint="eastAsia" w:eastAsia="仿宋_GB2312" w:cs="仿宋_GB2312"/>
          <w:sz w:val="32"/>
          <w:szCs w:val="32"/>
        </w:rPr>
        <w:tab/>
      </w:r>
      <w:r>
        <w:rPr>
          <w:rFonts w:hint="eastAsia" w:eastAsia="仿宋_GB2312" w:cs="仿宋_GB2312"/>
          <w:sz w:val="32"/>
          <w:szCs w:val="32"/>
        </w:rPr>
        <w:t>2</w:t>
      </w:r>
    </w:p>
    <w:p w14:paraId="3C000C92">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二、收入决算情况说明</w:t>
      </w:r>
      <w:r>
        <w:rPr>
          <w:rFonts w:hint="eastAsia" w:eastAsia="仿宋_GB2312" w:cs="仿宋_GB2312"/>
          <w:sz w:val="32"/>
          <w:szCs w:val="32"/>
        </w:rPr>
        <w:tab/>
      </w:r>
      <w:r>
        <w:rPr>
          <w:rFonts w:hint="eastAsia" w:eastAsia="仿宋_GB2312" w:cs="仿宋_GB2312"/>
          <w:sz w:val="32"/>
          <w:szCs w:val="32"/>
        </w:rPr>
        <w:t>2</w:t>
      </w:r>
    </w:p>
    <w:p w14:paraId="66E71E4E">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三、支出决算情况说明</w:t>
      </w:r>
      <w:r>
        <w:rPr>
          <w:rFonts w:hint="eastAsia" w:eastAsia="仿宋_GB2312" w:cs="仿宋_GB2312"/>
          <w:sz w:val="32"/>
          <w:szCs w:val="32"/>
        </w:rPr>
        <w:tab/>
      </w:r>
      <w:r>
        <w:rPr>
          <w:rFonts w:hint="eastAsia" w:eastAsia="仿宋_GB2312" w:cs="仿宋_GB2312"/>
          <w:sz w:val="32"/>
          <w:szCs w:val="32"/>
        </w:rPr>
        <w:t>3</w:t>
      </w:r>
    </w:p>
    <w:p w14:paraId="6B266BC6">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四、财政拨款收入支出决算总体情况说明</w:t>
      </w:r>
      <w:r>
        <w:rPr>
          <w:rFonts w:hint="eastAsia" w:eastAsia="仿宋_GB2312" w:cs="仿宋_GB2312"/>
          <w:sz w:val="32"/>
          <w:szCs w:val="32"/>
        </w:rPr>
        <w:tab/>
      </w:r>
      <w:r>
        <w:rPr>
          <w:rFonts w:hint="eastAsia" w:eastAsia="仿宋_GB2312" w:cs="仿宋_GB2312"/>
          <w:sz w:val="32"/>
          <w:szCs w:val="32"/>
        </w:rPr>
        <w:t>4</w:t>
      </w:r>
    </w:p>
    <w:p w14:paraId="4B75B79F">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五、一般公共预算财政拨款支出决算情况说明</w:t>
      </w:r>
      <w:r>
        <w:rPr>
          <w:rFonts w:hint="eastAsia" w:eastAsia="仿宋_GB2312" w:cs="仿宋_GB2312"/>
          <w:sz w:val="32"/>
          <w:szCs w:val="32"/>
        </w:rPr>
        <w:tab/>
      </w:r>
      <w:r>
        <w:rPr>
          <w:rFonts w:hint="eastAsia" w:eastAsia="仿宋_GB2312" w:cs="仿宋_GB2312"/>
          <w:sz w:val="32"/>
          <w:szCs w:val="32"/>
        </w:rPr>
        <w:t>4</w:t>
      </w:r>
    </w:p>
    <w:p w14:paraId="67CC78C1">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六、一般公共预算财政拨款基本支出决算情况说明</w:t>
      </w:r>
      <w:r>
        <w:rPr>
          <w:rFonts w:hint="eastAsia" w:eastAsia="仿宋_GB2312" w:cs="仿宋_GB2312"/>
          <w:sz w:val="32"/>
          <w:szCs w:val="32"/>
        </w:rPr>
        <w:tab/>
      </w:r>
      <w:r>
        <w:rPr>
          <w:rFonts w:hint="eastAsia" w:eastAsia="仿宋_GB2312" w:cs="仿宋_GB2312"/>
          <w:sz w:val="32"/>
          <w:szCs w:val="32"/>
        </w:rPr>
        <w:t>7</w:t>
      </w:r>
    </w:p>
    <w:p w14:paraId="6BAFF032">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七、财政拨款“三公”经费支出决算情况说明</w:t>
      </w:r>
      <w:r>
        <w:rPr>
          <w:rFonts w:hint="eastAsia" w:eastAsia="仿宋_GB2312" w:cs="仿宋_GB2312"/>
          <w:sz w:val="32"/>
          <w:szCs w:val="32"/>
        </w:rPr>
        <w:tab/>
      </w:r>
      <w:r>
        <w:rPr>
          <w:rFonts w:hint="eastAsia" w:eastAsia="仿宋_GB2312" w:cs="仿宋_GB2312"/>
          <w:sz w:val="32"/>
          <w:szCs w:val="32"/>
        </w:rPr>
        <w:t>7</w:t>
      </w:r>
    </w:p>
    <w:p w14:paraId="3B780EB5">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八、政府性基金预算支出决算情况说明</w:t>
      </w:r>
      <w:r>
        <w:rPr>
          <w:rFonts w:hint="eastAsia" w:eastAsia="仿宋_GB2312" w:cs="仿宋_GB2312"/>
          <w:sz w:val="32"/>
          <w:szCs w:val="32"/>
        </w:rPr>
        <w:tab/>
      </w:r>
      <w:r>
        <w:rPr>
          <w:rFonts w:hint="eastAsia" w:eastAsia="仿宋_GB2312" w:cs="仿宋_GB2312"/>
          <w:sz w:val="32"/>
          <w:szCs w:val="32"/>
        </w:rPr>
        <w:t>9</w:t>
      </w:r>
    </w:p>
    <w:p w14:paraId="63B38FB2">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九、国有资本经营预算支出决算情况说明</w:t>
      </w:r>
      <w:r>
        <w:rPr>
          <w:rFonts w:hint="eastAsia" w:eastAsia="仿宋_GB2312" w:cs="仿宋_GB2312"/>
          <w:sz w:val="32"/>
          <w:szCs w:val="32"/>
        </w:rPr>
        <w:tab/>
      </w:r>
      <w:r>
        <w:rPr>
          <w:rFonts w:hint="eastAsia" w:eastAsia="仿宋_GB2312" w:cs="仿宋_GB2312"/>
          <w:sz w:val="32"/>
          <w:szCs w:val="32"/>
        </w:rPr>
        <w:t>9</w:t>
      </w:r>
    </w:p>
    <w:p w14:paraId="25F983C9">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十、其他重要事项的情况说明</w:t>
      </w:r>
      <w:r>
        <w:rPr>
          <w:rFonts w:hint="eastAsia" w:eastAsia="仿宋_GB2312" w:cs="仿宋_GB2312"/>
          <w:sz w:val="32"/>
          <w:szCs w:val="32"/>
        </w:rPr>
        <w:tab/>
      </w:r>
      <w:r>
        <w:rPr>
          <w:rFonts w:hint="eastAsia" w:eastAsia="仿宋_GB2312" w:cs="仿宋_GB2312"/>
          <w:sz w:val="32"/>
          <w:szCs w:val="32"/>
        </w:rPr>
        <w:t>9</w:t>
      </w:r>
    </w:p>
    <w:p w14:paraId="2122DEC2">
      <w:pPr>
        <w:pStyle w:val="14"/>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第三部分 名词解释</w:t>
      </w:r>
      <w:r>
        <w:rPr>
          <w:rFonts w:hint="eastAsia" w:ascii="Times New Roman" w:hAnsi="Times New Roman" w:eastAsia="黑体" w:cs="黑体"/>
          <w:sz w:val="32"/>
          <w:szCs w:val="32"/>
        </w:rPr>
        <w:tab/>
      </w:r>
      <w:r>
        <w:rPr>
          <w:rFonts w:hint="eastAsia" w:ascii="Times New Roman" w:hAnsi="Times New Roman" w:eastAsia="黑体" w:cs="黑体"/>
          <w:sz w:val="32"/>
          <w:szCs w:val="32"/>
        </w:rPr>
        <w:t>11</w:t>
      </w:r>
    </w:p>
    <w:p w14:paraId="3784127F">
      <w:pPr>
        <w:pStyle w:val="14"/>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第四部分 附件</w:t>
      </w:r>
      <w:r>
        <w:rPr>
          <w:rFonts w:hint="eastAsia" w:ascii="Times New Roman" w:hAnsi="Times New Roman" w:eastAsia="黑体" w:cs="黑体"/>
          <w:sz w:val="32"/>
          <w:szCs w:val="32"/>
        </w:rPr>
        <w:tab/>
      </w:r>
      <w:r>
        <w:rPr>
          <w:rFonts w:hint="eastAsia" w:ascii="Times New Roman" w:hAnsi="Times New Roman" w:eastAsia="黑体" w:cs="黑体"/>
          <w:sz w:val="32"/>
          <w:szCs w:val="32"/>
        </w:rPr>
        <w:t>14</w:t>
      </w:r>
    </w:p>
    <w:p w14:paraId="02968A5C">
      <w:pPr>
        <w:pStyle w:val="14"/>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第五部分 附表</w:t>
      </w:r>
      <w:r>
        <w:rPr>
          <w:rFonts w:hint="eastAsia" w:ascii="Times New Roman" w:hAnsi="Times New Roman" w:eastAsia="黑体" w:cs="黑体"/>
          <w:sz w:val="32"/>
          <w:szCs w:val="32"/>
        </w:rPr>
        <w:tab/>
      </w:r>
      <w:r>
        <w:rPr>
          <w:rFonts w:hint="eastAsia" w:ascii="Times New Roman" w:hAnsi="Times New Roman" w:eastAsia="黑体" w:cs="黑体"/>
          <w:sz w:val="32"/>
          <w:szCs w:val="32"/>
        </w:rPr>
        <w:t>21</w:t>
      </w:r>
    </w:p>
    <w:p w14:paraId="4EBE1BFC">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一、收入支出决算总表</w:t>
      </w:r>
      <w:r>
        <w:rPr>
          <w:rFonts w:hint="eastAsia" w:eastAsia="仿宋_GB2312" w:cs="仿宋_GB2312"/>
          <w:sz w:val="32"/>
          <w:szCs w:val="32"/>
        </w:rPr>
        <w:tab/>
      </w:r>
      <w:r>
        <w:rPr>
          <w:rFonts w:hint="eastAsia" w:eastAsia="仿宋_GB2312" w:cs="仿宋_GB2312"/>
          <w:sz w:val="32"/>
          <w:szCs w:val="32"/>
        </w:rPr>
        <w:t>21</w:t>
      </w:r>
    </w:p>
    <w:p w14:paraId="647EF743">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w:t>
      </w:r>
      <w:r>
        <w:rPr>
          <w:rFonts w:hint="eastAsia" w:eastAsia="仿宋_GB2312" w:cs="仿宋_GB2312"/>
          <w:sz w:val="32"/>
          <w:szCs w:val="32"/>
        </w:rPr>
        <w:tab/>
      </w:r>
      <w:r>
        <w:rPr>
          <w:rFonts w:hint="eastAsia" w:eastAsia="仿宋_GB2312" w:cs="仿宋_GB2312"/>
          <w:sz w:val="32"/>
          <w:szCs w:val="32"/>
        </w:rPr>
        <w:t>21</w:t>
      </w:r>
    </w:p>
    <w:p w14:paraId="22F196AE">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w:t>
      </w:r>
      <w:r>
        <w:rPr>
          <w:rFonts w:hint="eastAsia" w:eastAsia="仿宋_GB2312" w:cs="仿宋_GB2312"/>
          <w:sz w:val="32"/>
          <w:szCs w:val="32"/>
        </w:rPr>
        <w:tab/>
      </w:r>
      <w:r>
        <w:rPr>
          <w:rFonts w:hint="eastAsia" w:eastAsia="仿宋_GB2312" w:cs="仿宋_GB2312"/>
          <w:sz w:val="32"/>
          <w:szCs w:val="32"/>
        </w:rPr>
        <w:t>21</w:t>
      </w:r>
    </w:p>
    <w:p w14:paraId="24D56BE3">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w:t>
      </w:r>
      <w:r>
        <w:rPr>
          <w:rFonts w:hint="eastAsia" w:eastAsia="仿宋_GB2312" w:cs="仿宋_GB2312"/>
          <w:sz w:val="32"/>
          <w:szCs w:val="32"/>
        </w:rPr>
        <w:tab/>
      </w:r>
      <w:r>
        <w:rPr>
          <w:rFonts w:hint="eastAsia" w:eastAsia="仿宋_GB2312" w:cs="仿宋_GB2312"/>
          <w:sz w:val="32"/>
          <w:szCs w:val="32"/>
        </w:rPr>
        <w:t>21</w:t>
      </w:r>
    </w:p>
    <w:p w14:paraId="2A758D39">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w:t>
      </w:r>
      <w:r>
        <w:rPr>
          <w:rFonts w:hint="eastAsia" w:eastAsia="仿宋_GB2312" w:cs="仿宋_GB2312"/>
          <w:sz w:val="32"/>
          <w:szCs w:val="32"/>
        </w:rPr>
        <w:tab/>
      </w:r>
      <w:r>
        <w:rPr>
          <w:rFonts w:hint="eastAsia" w:eastAsia="仿宋_GB2312" w:cs="仿宋_GB2312"/>
          <w:sz w:val="32"/>
          <w:szCs w:val="32"/>
        </w:rPr>
        <w:t>21</w:t>
      </w:r>
    </w:p>
    <w:p w14:paraId="398F6941">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w:t>
      </w:r>
      <w:r>
        <w:rPr>
          <w:rFonts w:hint="eastAsia" w:eastAsia="仿宋_GB2312" w:cs="仿宋_GB2312"/>
          <w:sz w:val="32"/>
          <w:szCs w:val="32"/>
        </w:rPr>
        <w:tab/>
      </w:r>
      <w:r>
        <w:rPr>
          <w:rFonts w:hint="eastAsia" w:eastAsia="仿宋_GB2312" w:cs="仿宋_GB2312"/>
          <w:sz w:val="32"/>
          <w:szCs w:val="32"/>
        </w:rPr>
        <w:t>21</w:t>
      </w:r>
    </w:p>
    <w:p w14:paraId="61B06876">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w:t>
      </w:r>
      <w:r>
        <w:rPr>
          <w:rFonts w:hint="eastAsia" w:eastAsia="仿宋_GB2312" w:cs="仿宋_GB2312"/>
          <w:sz w:val="32"/>
          <w:szCs w:val="32"/>
        </w:rPr>
        <w:tab/>
      </w:r>
      <w:r>
        <w:rPr>
          <w:rFonts w:hint="eastAsia" w:eastAsia="仿宋_GB2312" w:cs="仿宋_GB2312"/>
          <w:sz w:val="32"/>
          <w:szCs w:val="32"/>
        </w:rPr>
        <w:t>21</w:t>
      </w:r>
    </w:p>
    <w:p w14:paraId="0369EADC">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八、一般公共预算财政拨款基本支出决算明细表</w:t>
      </w:r>
      <w:r>
        <w:rPr>
          <w:rFonts w:hint="eastAsia" w:eastAsia="仿宋_GB2312" w:cs="仿宋_GB2312"/>
          <w:sz w:val="32"/>
          <w:szCs w:val="32"/>
        </w:rPr>
        <w:tab/>
      </w:r>
      <w:r>
        <w:rPr>
          <w:rFonts w:hint="eastAsia" w:eastAsia="仿宋_GB2312" w:cs="仿宋_GB2312"/>
          <w:sz w:val="32"/>
          <w:szCs w:val="32"/>
        </w:rPr>
        <w:t>21</w:t>
      </w:r>
    </w:p>
    <w:p w14:paraId="246F29FB">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w:t>
      </w:r>
      <w:r>
        <w:rPr>
          <w:rFonts w:hint="eastAsia" w:eastAsia="仿宋_GB2312" w:cs="仿宋_GB2312"/>
          <w:sz w:val="32"/>
          <w:szCs w:val="32"/>
        </w:rPr>
        <w:tab/>
      </w:r>
      <w:r>
        <w:rPr>
          <w:rFonts w:hint="eastAsia" w:eastAsia="仿宋_GB2312" w:cs="仿宋_GB2312"/>
          <w:sz w:val="32"/>
          <w:szCs w:val="32"/>
        </w:rPr>
        <w:t>21</w:t>
      </w:r>
    </w:p>
    <w:p w14:paraId="56E5C61E">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w:t>
      </w:r>
      <w:r>
        <w:rPr>
          <w:rFonts w:hint="eastAsia" w:eastAsia="仿宋_GB2312" w:cs="仿宋_GB2312"/>
          <w:sz w:val="32"/>
          <w:szCs w:val="32"/>
        </w:rPr>
        <w:tab/>
      </w:r>
      <w:r>
        <w:rPr>
          <w:rFonts w:hint="eastAsia" w:eastAsia="仿宋_GB2312" w:cs="仿宋_GB2312"/>
          <w:sz w:val="32"/>
          <w:szCs w:val="32"/>
        </w:rPr>
        <w:t>21</w:t>
      </w:r>
    </w:p>
    <w:p w14:paraId="2FF16D2A">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十一、国有资本经营预算财政拨款收入支出决算表</w:t>
      </w:r>
      <w:r>
        <w:rPr>
          <w:rFonts w:hint="eastAsia" w:eastAsia="仿宋_GB2312" w:cs="仿宋_GB2312"/>
          <w:sz w:val="32"/>
          <w:szCs w:val="32"/>
        </w:rPr>
        <w:tab/>
      </w:r>
      <w:r>
        <w:rPr>
          <w:rFonts w:hint="eastAsia" w:eastAsia="仿宋_GB2312" w:cs="仿宋_GB2312"/>
          <w:sz w:val="32"/>
          <w:szCs w:val="32"/>
        </w:rPr>
        <w:t>21</w:t>
      </w:r>
    </w:p>
    <w:p w14:paraId="5FC892DF">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十二、国有资本经营预算财政拨款支出决算表</w:t>
      </w:r>
      <w:r>
        <w:rPr>
          <w:rFonts w:hint="eastAsia" w:eastAsia="仿宋_GB2312" w:cs="仿宋_GB2312"/>
          <w:sz w:val="32"/>
          <w:szCs w:val="32"/>
        </w:rPr>
        <w:tab/>
      </w:r>
      <w:r>
        <w:rPr>
          <w:rFonts w:hint="eastAsia" w:eastAsia="仿宋_GB2312" w:cs="仿宋_GB2312"/>
          <w:sz w:val="32"/>
          <w:szCs w:val="32"/>
        </w:rPr>
        <w:t>21</w:t>
      </w:r>
    </w:p>
    <w:p w14:paraId="76B73FAB">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十三、财政拨款“三公”经费支出决算表</w:t>
      </w:r>
      <w:r>
        <w:rPr>
          <w:rFonts w:hint="eastAsia" w:eastAsia="仿宋_GB2312" w:cs="仿宋_GB2312"/>
          <w:sz w:val="32"/>
          <w:szCs w:val="32"/>
        </w:rPr>
        <w:tab/>
      </w:r>
      <w:r>
        <w:rPr>
          <w:rFonts w:hint="eastAsia" w:eastAsia="仿宋_GB2312" w:cs="仿宋_GB2312"/>
          <w:sz w:val="32"/>
          <w:szCs w:val="32"/>
        </w:rPr>
        <w:t>21</w:t>
      </w:r>
    </w:p>
    <w:p w14:paraId="218D0ED1">
      <w:pPr>
        <w:pStyle w:val="16"/>
        <w:adjustRightInd w:val="0"/>
        <w:snapToGrid w:val="0"/>
        <w:spacing w:line="560" w:lineRule="exact"/>
        <w:ind w:left="0" w:leftChars="0" w:firstLine="643" w:firstLineChars="200"/>
        <w:jc w:val="left"/>
        <w:rPr>
          <w:rFonts w:eastAsia="仿宋_GB2312" w:cs="仿宋_GB2312"/>
          <w:b/>
          <w:bCs/>
          <w:sz w:val="32"/>
          <w:szCs w:val="32"/>
        </w:rPr>
      </w:pPr>
      <w:r>
        <w:rPr>
          <w:rFonts w:hint="eastAsia" w:eastAsia="仿宋_GB2312" w:cs="仿宋_GB2312"/>
          <w:b/>
          <w:bCs/>
          <w:sz w:val="32"/>
          <w:szCs w:val="32"/>
        </w:rPr>
        <w:t>（注：请部门根据实际注明页码）</w:t>
      </w:r>
    </w:p>
    <w:p w14:paraId="7A099B09">
      <w:pPr>
        <w:widowControl/>
        <w:spacing w:line="560" w:lineRule="exact"/>
        <w:jc w:val="left"/>
        <w:rPr>
          <w:rFonts w:eastAsia="仿宋_GB2312" w:cs="仿宋_GB2312"/>
          <w:b/>
          <w:sz w:val="32"/>
          <w:szCs w:val="32"/>
        </w:rPr>
      </w:pPr>
      <w:bookmarkStart w:id="12" w:name="_Toc15396599"/>
      <w:bookmarkStart w:id="13" w:name="_Toc15377196"/>
    </w:p>
    <w:p w14:paraId="32E12C4C">
      <w:pPr>
        <w:widowControl/>
        <w:spacing w:line="560" w:lineRule="exact"/>
        <w:jc w:val="left"/>
        <w:rPr>
          <w:rFonts w:eastAsia="仿宋_GB2312" w:cs="仿宋_GB2312"/>
          <w:b/>
          <w:sz w:val="32"/>
          <w:szCs w:val="32"/>
        </w:rPr>
      </w:pPr>
    </w:p>
    <w:p w14:paraId="5719E23F">
      <w:pPr>
        <w:widowControl/>
        <w:spacing w:line="560" w:lineRule="exact"/>
        <w:jc w:val="left"/>
        <w:rPr>
          <w:rFonts w:eastAsia="仿宋_GB2312" w:cs="仿宋_GB2312"/>
          <w:b/>
          <w:sz w:val="32"/>
          <w:szCs w:val="32"/>
        </w:rPr>
      </w:pPr>
    </w:p>
    <w:p w14:paraId="507D1307">
      <w:pPr>
        <w:widowControl/>
        <w:spacing w:line="560" w:lineRule="exact"/>
        <w:jc w:val="left"/>
        <w:rPr>
          <w:rFonts w:eastAsia="仿宋_GB2312" w:cs="仿宋_GB2312"/>
          <w:b/>
          <w:sz w:val="32"/>
          <w:szCs w:val="32"/>
        </w:rPr>
      </w:pPr>
    </w:p>
    <w:p w14:paraId="508A0A1E">
      <w:pPr>
        <w:widowControl/>
        <w:spacing w:line="560" w:lineRule="exact"/>
        <w:jc w:val="left"/>
        <w:rPr>
          <w:rFonts w:eastAsia="仿宋_GB2312" w:cs="仿宋_GB2312"/>
          <w:bCs/>
          <w:kern w:val="44"/>
          <w:sz w:val="32"/>
          <w:szCs w:val="32"/>
        </w:rPr>
        <w:sectPr>
          <w:headerReference r:id="rId3" w:type="default"/>
          <w:pgSz w:w="11906" w:h="16838"/>
          <w:pgMar w:top="1440" w:right="1800" w:bottom="1440" w:left="1800" w:header="851" w:footer="992" w:gutter="0"/>
          <w:pgNumType w:start="1"/>
          <w:cols w:space="425" w:num="1"/>
          <w:titlePg/>
          <w:docGrid w:type="lines" w:linePitch="312" w:charSpace="0"/>
        </w:sectPr>
      </w:pPr>
    </w:p>
    <w:p w14:paraId="524CD358">
      <w:pPr>
        <w:pStyle w:val="3"/>
        <w:jc w:val="center"/>
        <w:rPr>
          <w:rStyle w:val="30"/>
          <w:rFonts w:eastAsia="方正小标宋简体" w:cs="方正小标宋简体"/>
          <w:b/>
          <w:bCs w:val="0"/>
        </w:rPr>
      </w:pPr>
      <w:r>
        <w:rPr>
          <w:rFonts w:hint="eastAsia" w:eastAsia="方正小标宋简体" w:cs="方正小标宋简体"/>
          <w:b w:val="0"/>
        </w:rPr>
        <w:t xml:space="preserve">第一部分  </w:t>
      </w:r>
      <w:r>
        <w:rPr>
          <w:rStyle w:val="30"/>
          <w:rFonts w:hint="eastAsia" w:eastAsia="方正小标宋简体" w:cs="方正小标宋简体"/>
          <w:b w:val="0"/>
          <w:bCs w:val="0"/>
        </w:rPr>
        <w:t>部门概况</w:t>
      </w:r>
      <w:bookmarkEnd w:id="12"/>
      <w:bookmarkEnd w:id="13"/>
    </w:p>
    <w:p w14:paraId="1298F106">
      <w:pPr>
        <w:widowControl/>
        <w:jc w:val="left"/>
        <w:rPr>
          <w:rFonts w:eastAsia="黑体"/>
          <w:sz w:val="32"/>
          <w:szCs w:val="32"/>
        </w:rPr>
      </w:pPr>
    </w:p>
    <w:p w14:paraId="2F9F1179">
      <w:pPr>
        <w:pStyle w:val="4"/>
        <w:numPr>
          <w:ilvl w:val="0"/>
          <w:numId w:val="1"/>
        </w:numPr>
        <w:rPr>
          <w:rFonts w:ascii="Times New Roman" w:hAnsi="Times New Roman" w:eastAsia="黑体"/>
          <w:b w:val="0"/>
        </w:rPr>
      </w:pPr>
      <w:r>
        <w:rPr>
          <w:rFonts w:hint="eastAsia" w:ascii="Times New Roman" w:hAnsi="Times New Roman" w:eastAsia="黑体"/>
          <w:b w:val="0"/>
        </w:rPr>
        <w:t>部门职责</w:t>
      </w:r>
    </w:p>
    <w:p w14:paraId="2C3BD1F4">
      <w:pPr>
        <w:ind w:firstLine="640" w:firstLineChars="200"/>
      </w:pPr>
      <w:r>
        <w:rPr>
          <w:rFonts w:hint="eastAsia" w:eastAsia="仿宋_GB2312"/>
          <w:sz w:val="32"/>
          <w:szCs w:val="32"/>
        </w:rPr>
        <w:t>一是依法按照《中华人民共和国红十字会法》和《中国红十字会章程》开展工作，负责开展备灾救灾和救助募捐工作，在自然灾害和突发事件中开展救护救助、人道救援；二是负责防病知识宣传普及，组织开展群众性初级卫生救护和现场急救培训；三是负责组织开展无偿献血工作；四是负责遗体、器官捐献和中华骨髓库造血干细胞的宣传、动员和登记工作；五是负责组织会员、志愿者参加艾滋病预防宣传培训活动等工作；六是</w:t>
      </w:r>
      <w:r>
        <w:rPr>
          <w:rFonts w:eastAsia="仿宋_GB2312"/>
          <w:sz w:val="32"/>
          <w:szCs w:val="32"/>
        </w:rPr>
        <w:t>完成县委、县政府交办的其他工作。</w:t>
      </w:r>
    </w:p>
    <w:p w14:paraId="0BAF2702">
      <w:pPr>
        <w:pStyle w:val="4"/>
        <w:numPr>
          <w:ilvl w:val="0"/>
          <w:numId w:val="1"/>
        </w:numPr>
        <w:rPr>
          <w:rStyle w:val="31"/>
          <w:rFonts w:ascii="Times New Roman" w:hAnsi="Times New Roman" w:eastAsia="黑体"/>
          <w:b w:val="0"/>
          <w:bCs w:val="0"/>
        </w:rPr>
      </w:pPr>
      <w:bookmarkStart w:id="14" w:name="_Toc15377200"/>
      <w:bookmarkStart w:id="15" w:name="_Toc15396601"/>
      <w:r>
        <w:rPr>
          <w:rFonts w:hint="eastAsia" w:ascii="Times New Roman" w:hAnsi="Times New Roman" w:eastAsia="黑体"/>
          <w:b w:val="0"/>
        </w:rPr>
        <w:t>机</w:t>
      </w:r>
      <w:r>
        <w:rPr>
          <w:rStyle w:val="31"/>
          <w:rFonts w:hint="eastAsia" w:ascii="Times New Roman" w:hAnsi="Times New Roman" w:eastAsia="黑体"/>
          <w:b w:val="0"/>
          <w:bCs w:val="0"/>
        </w:rPr>
        <w:t>构设置</w:t>
      </w:r>
      <w:bookmarkEnd w:id="14"/>
      <w:bookmarkEnd w:id="15"/>
    </w:p>
    <w:p w14:paraId="10D87A3C">
      <w:pPr>
        <w:ind w:firstLine="640" w:firstLineChars="200"/>
        <w:rPr>
          <w:rFonts w:ascii="仿宋" w:hAnsi="仿宋" w:eastAsia="仿宋"/>
          <w:sz w:val="32"/>
          <w:szCs w:val="32"/>
        </w:rPr>
      </w:pPr>
      <w:r>
        <w:rPr>
          <w:sz w:val="32"/>
          <w:szCs w:val="32"/>
        </w:rPr>
        <w:t>沐川县红十字会</w:t>
      </w:r>
      <w:r>
        <w:rPr>
          <w:rFonts w:hint="eastAsia"/>
          <w:sz w:val="32"/>
          <w:szCs w:val="32"/>
        </w:rPr>
        <w:t>无</w:t>
      </w:r>
      <w:r>
        <w:rPr>
          <w:rFonts w:hint="eastAsia" w:ascii="仿宋" w:hAnsi="仿宋" w:eastAsia="仿宋"/>
          <w:sz w:val="32"/>
          <w:szCs w:val="32"/>
        </w:rPr>
        <w:t>下属二级预算单位。</w:t>
      </w:r>
    </w:p>
    <w:p w14:paraId="5CD31753">
      <w:pPr>
        <w:pStyle w:val="17"/>
        <w:rPr>
          <w:rFonts w:ascii="仿宋" w:hAnsi="仿宋" w:eastAsia="仿宋"/>
          <w:sz w:val="32"/>
          <w:szCs w:val="32"/>
        </w:rPr>
      </w:pPr>
    </w:p>
    <w:p w14:paraId="1C53FE69">
      <w:pPr>
        <w:pStyle w:val="17"/>
        <w:rPr>
          <w:rFonts w:ascii="仿宋" w:hAnsi="仿宋" w:eastAsia="仿宋"/>
          <w:sz w:val="32"/>
          <w:szCs w:val="32"/>
        </w:rPr>
      </w:pPr>
    </w:p>
    <w:p w14:paraId="2BE0D4B0">
      <w:pPr>
        <w:pStyle w:val="17"/>
        <w:rPr>
          <w:rFonts w:ascii="仿宋" w:hAnsi="仿宋" w:eastAsia="仿宋"/>
          <w:sz w:val="32"/>
          <w:szCs w:val="32"/>
        </w:rPr>
      </w:pPr>
    </w:p>
    <w:p w14:paraId="1CB5A2B3">
      <w:pPr>
        <w:pStyle w:val="17"/>
        <w:rPr>
          <w:rFonts w:ascii="仿宋" w:hAnsi="仿宋" w:eastAsia="仿宋"/>
          <w:sz w:val="32"/>
          <w:szCs w:val="32"/>
        </w:rPr>
      </w:pPr>
    </w:p>
    <w:p w14:paraId="679EB8B5"/>
    <w:p w14:paraId="7562ED11">
      <w:pPr>
        <w:pStyle w:val="3"/>
        <w:jc w:val="center"/>
        <w:rPr>
          <w:rFonts w:eastAsia="方正小标宋简体" w:cs="方正小标宋简体"/>
          <w:b w:val="0"/>
        </w:rPr>
      </w:pPr>
      <w:bookmarkStart w:id="16" w:name="_Toc15396602"/>
      <w:bookmarkStart w:id="17" w:name="_Toc15377204"/>
      <w:r>
        <w:rPr>
          <w:rFonts w:hint="eastAsia" w:eastAsia="方正小标宋简体" w:cs="方正小标宋简体"/>
          <w:b w:val="0"/>
        </w:rPr>
        <w:t>第二部分  2024年度部门决算情况说明</w:t>
      </w:r>
      <w:bookmarkEnd w:id="16"/>
      <w:bookmarkEnd w:id="17"/>
    </w:p>
    <w:p w14:paraId="6ACFF310"/>
    <w:p w14:paraId="47FC10EE">
      <w:pPr>
        <w:pStyle w:val="29"/>
        <w:spacing w:line="600" w:lineRule="exact"/>
        <w:ind w:firstLine="640"/>
        <w:outlineLvl w:val="1"/>
        <w:rPr>
          <w:rStyle w:val="31"/>
          <w:rFonts w:ascii="Times New Roman" w:hAnsi="Times New Roman" w:eastAsia="黑体"/>
          <w:b w:val="0"/>
        </w:rPr>
      </w:pPr>
      <w:bookmarkStart w:id="18" w:name="_Toc15396603"/>
      <w:bookmarkStart w:id="19" w:name="_Toc15377205"/>
      <w:r>
        <w:rPr>
          <w:rFonts w:hint="eastAsia" w:eastAsia="黑体"/>
          <w:sz w:val="32"/>
          <w:szCs w:val="32"/>
        </w:rPr>
        <w:t>一、收</w:t>
      </w:r>
      <w:r>
        <w:rPr>
          <w:rStyle w:val="31"/>
          <w:rFonts w:hint="eastAsia" w:ascii="Times New Roman" w:hAnsi="Times New Roman" w:eastAsia="黑体"/>
          <w:b w:val="0"/>
        </w:rPr>
        <w:t>入支出决算总体情况说明</w:t>
      </w:r>
      <w:bookmarkEnd w:id="18"/>
      <w:bookmarkEnd w:id="19"/>
    </w:p>
    <w:p w14:paraId="56B6EC56">
      <w:pPr>
        <w:pStyle w:val="29"/>
        <w:spacing w:line="600" w:lineRule="exact"/>
        <w:ind w:firstLine="640"/>
        <w:outlineLvl w:val="1"/>
        <w:rPr>
          <w:rFonts w:eastAsia="仿宋_GB2312" w:cs="仿宋_GB2312"/>
          <w:sz w:val="32"/>
          <w:szCs w:val="32"/>
        </w:rPr>
      </w:pPr>
      <w:r>
        <w:rPr>
          <w:rFonts w:hint="eastAsia" w:eastAsia="仿宋_GB2312" w:cs="仿宋_GB2312"/>
          <w:sz w:val="32"/>
          <w:szCs w:val="32"/>
        </w:rPr>
        <w:t>2024年度收入、支出总计均为</w:t>
      </w:r>
      <w:r>
        <w:rPr>
          <w:rFonts w:hint="eastAsia" w:ascii="仿宋_GB2312" w:hAnsi="仿宋_GB2312" w:eastAsia="仿宋_GB2312" w:cs="仿宋_GB2312"/>
          <w:sz w:val="32"/>
          <w:szCs w:val="32"/>
        </w:rPr>
        <w:t>103.99</w:t>
      </w:r>
      <w:r>
        <w:rPr>
          <w:rFonts w:hint="eastAsia" w:eastAsia="仿宋_GB2312" w:cs="仿宋_GB2312"/>
          <w:sz w:val="32"/>
          <w:szCs w:val="32"/>
        </w:rPr>
        <w:t>万元。与2023年度相比，收入、支出总计各增加13.63万元，增长15%。主要变动原因是2024年工资改革及全年人员满编。</w:t>
      </w:r>
    </w:p>
    <w:p w14:paraId="0B106CAC">
      <w:pPr>
        <w:pStyle w:val="29"/>
        <w:spacing w:line="600" w:lineRule="exact"/>
        <w:outlineLvl w:val="1"/>
        <w:rPr>
          <w:rFonts w:eastAsia="仿宋_GB2312" w:cs="仿宋_GB2312"/>
          <w:sz w:val="32"/>
          <w:szCs w:val="32"/>
        </w:rPr>
      </w:pPr>
      <w:r>
        <w:drawing>
          <wp:anchor distT="0" distB="0" distL="114300" distR="114300" simplePos="0" relativeHeight="251659264" behindDoc="0" locked="0" layoutInCell="1" allowOverlap="1">
            <wp:simplePos x="0" y="0"/>
            <wp:positionH relativeFrom="column">
              <wp:posOffset>271145</wp:posOffset>
            </wp:positionH>
            <wp:positionV relativeFrom="paragraph">
              <wp:posOffset>320040</wp:posOffset>
            </wp:positionV>
            <wp:extent cx="4810125" cy="2354580"/>
            <wp:effectExtent l="4445" t="4445" r="5080" b="22225"/>
            <wp:wrapTopAndBottom/>
            <wp:docPr id="927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6AF9CFB3">
      <w:pPr>
        <w:ind w:firstLine="640" w:firstLineChars="200"/>
        <w:rPr>
          <w:rFonts w:eastAsia="仿宋_GB2312" w:cs="仿宋_GB2312"/>
          <w:sz w:val="32"/>
          <w:szCs w:val="32"/>
        </w:rPr>
      </w:pPr>
      <w:r>
        <w:rPr>
          <w:rFonts w:hint="eastAsia" w:eastAsia="仿宋_GB2312" w:cs="仿宋_GB2312"/>
          <w:sz w:val="32"/>
          <w:szCs w:val="32"/>
        </w:rPr>
        <w:t>（图1：收入、支出决算总计变动情况图）（柱状图）</w:t>
      </w:r>
    </w:p>
    <w:p w14:paraId="7467A212">
      <w:pPr>
        <w:ind w:firstLine="640" w:firstLineChars="200"/>
        <w:rPr>
          <w:rFonts w:eastAsia="仿宋_GB2312" w:cs="仿宋_GB2312"/>
          <w:sz w:val="32"/>
          <w:szCs w:val="32"/>
        </w:rPr>
      </w:pPr>
    </w:p>
    <w:p w14:paraId="2B9CE86D">
      <w:pPr>
        <w:pStyle w:val="29"/>
        <w:spacing w:line="600" w:lineRule="exact"/>
        <w:ind w:firstLine="640"/>
        <w:outlineLvl w:val="1"/>
        <w:rPr>
          <w:rFonts w:eastAsia="黑体"/>
          <w:sz w:val="32"/>
          <w:szCs w:val="32"/>
        </w:rPr>
      </w:pPr>
      <w:bookmarkStart w:id="20" w:name="_Toc15396604"/>
      <w:bookmarkStart w:id="21" w:name="_Toc15377206"/>
      <w:r>
        <w:rPr>
          <w:rFonts w:hint="eastAsia" w:eastAsia="黑体"/>
          <w:sz w:val="32"/>
          <w:szCs w:val="32"/>
        </w:rPr>
        <w:t>二、收入决算情况说明</w:t>
      </w:r>
      <w:bookmarkEnd w:id="20"/>
      <w:bookmarkEnd w:id="21"/>
    </w:p>
    <w:p w14:paraId="449C64DA">
      <w:pPr>
        <w:spacing w:line="600" w:lineRule="exact"/>
        <w:ind w:firstLine="640"/>
        <w:rPr>
          <w:rFonts w:eastAsia="仿宋_GB2312" w:cs="仿宋_GB2312"/>
          <w:b/>
          <w:bCs/>
          <w:sz w:val="32"/>
          <w:szCs w:val="32"/>
        </w:rPr>
      </w:pPr>
      <w:r>
        <w:rPr>
          <w:rFonts w:hint="eastAsia" w:ascii="仿宋_GB2312" w:hAnsi="仿宋_GB2312" w:eastAsia="仿宋_GB2312" w:cs="仿宋_GB2312"/>
          <w:sz w:val="32"/>
          <w:szCs w:val="32"/>
        </w:rPr>
        <w:t>2024年度本年收入合计103.99万元，其中：一般公共预算财政拨款收入103.99万元，占100%；</w:t>
      </w:r>
      <w:r>
        <w:rPr>
          <w:rFonts w:hint="eastAsia" w:ascii="仿宋" w:hAnsi="仿宋" w:eastAsia="仿宋"/>
          <w:sz w:val="32"/>
          <w:szCs w:val="32"/>
        </w:rPr>
        <w:t>政府性基金预算财政拨款收入</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；国有资本经营预算财政拨款收入</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；上级补助收入</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；事业收入</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；经营收入</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；附属单位上缴收入</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；其他收入</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w:t>
      </w:r>
      <w:r>
        <w:drawing>
          <wp:anchor distT="0" distB="0" distL="114300" distR="114300" simplePos="0" relativeHeight="251660288" behindDoc="0" locked="0" layoutInCell="1" allowOverlap="1">
            <wp:simplePos x="0" y="0"/>
            <wp:positionH relativeFrom="column">
              <wp:posOffset>343535</wp:posOffset>
            </wp:positionH>
            <wp:positionV relativeFrom="paragraph">
              <wp:posOffset>843280</wp:posOffset>
            </wp:positionV>
            <wp:extent cx="4772025" cy="2905125"/>
            <wp:effectExtent l="4445" t="4445" r="5080" b="5080"/>
            <wp:wrapSquare wrapText="bothSides"/>
            <wp:docPr id="29698"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5D71CE81">
      <w:pPr>
        <w:pStyle w:val="29"/>
        <w:spacing w:line="600" w:lineRule="exact"/>
        <w:ind w:firstLine="640"/>
        <w:outlineLvl w:val="1"/>
        <w:rPr>
          <w:rFonts w:eastAsia="黑体"/>
          <w:sz w:val="32"/>
          <w:szCs w:val="32"/>
        </w:rPr>
      </w:pPr>
      <w:bookmarkStart w:id="22" w:name="_Toc15396605"/>
      <w:bookmarkStart w:id="23" w:name="_Toc15377207"/>
    </w:p>
    <w:p w14:paraId="798025E5">
      <w:pPr>
        <w:ind w:firstLine="800" w:firstLineChars="250"/>
        <w:jc w:val="center"/>
        <w:rPr>
          <w:rFonts w:eastAsia="黑体"/>
          <w:sz w:val="32"/>
          <w:szCs w:val="32"/>
        </w:rPr>
      </w:pPr>
      <w:r>
        <w:rPr>
          <w:rFonts w:hint="eastAsia" w:eastAsia="仿宋_GB2312" w:cs="仿宋_GB2312"/>
          <w:sz w:val="32"/>
          <w:szCs w:val="32"/>
        </w:rPr>
        <w:t>（图2：收入决算结构图）（饼状图）</w:t>
      </w:r>
    </w:p>
    <w:p w14:paraId="49749C37">
      <w:pPr>
        <w:pStyle w:val="29"/>
        <w:spacing w:line="600" w:lineRule="exact"/>
        <w:ind w:firstLine="640"/>
        <w:outlineLvl w:val="1"/>
        <w:rPr>
          <w:rStyle w:val="31"/>
          <w:rFonts w:ascii="Times New Roman" w:hAnsi="Times New Roman" w:eastAsia="黑体"/>
          <w:b w:val="0"/>
        </w:rPr>
      </w:pPr>
      <w:r>
        <w:rPr>
          <w:rFonts w:hint="eastAsia" w:eastAsia="黑体"/>
          <w:sz w:val="32"/>
          <w:szCs w:val="32"/>
        </w:rPr>
        <w:t>三、支</w:t>
      </w:r>
      <w:r>
        <w:rPr>
          <w:rStyle w:val="31"/>
          <w:rFonts w:hint="eastAsia" w:ascii="Times New Roman" w:hAnsi="Times New Roman" w:eastAsia="黑体"/>
          <w:b w:val="0"/>
        </w:rPr>
        <w:t>出决算情况说明</w:t>
      </w:r>
      <w:bookmarkEnd w:id="22"/>
      <w:bookmarkEnd w:id="23"/>
    </w:p>
    <w:p w14:paraId="197B3B9F">
      <w:pPr>
        <w:pStyle w:val="29"/>
        <w:spacing w:line="600" w:lineRule="exact"/>
        <w:ind w:firstLine="640"/>
        <w:jc w:val="left"/>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2024年度本年支出合计103.99万元，其中：基本支出81.71万元，占78.57%；项目支出22.28万元，占21.42%。</w:t>
      </w:r>
    </w:p>
    <w:p w14:paraId="71AA5C02">
      <w:pPr>
        <w:pStyle w:val="29"/>
        <w:spacing w:line="600" w:lineRule="exact"/>
        <w:ind w:firstLine="0" w:firstLineChars="0"/>
        <w:jc w:val="center"/>
        <w:outlineLvl w:val="1"/>
        <w:rPr>
          <w:rFonts w:eastAsia="仿宋_GB2312" w:cs="仿宋_GB2312"/>
          <w:sz w:val="32"/>
          <w:szCs w:val="32"/>
        </w:rPr>
      </w:pPr>
      <w:r>
        <w:drawing>
          <wp:anchor distT="0" distB="0" distL="114300" distR="114300" simplePos="0" relativeHeight="251661312" behindDoc="0" locked="0" layoutInCell="1" allowOverlap="1">
            <wp:simplePos x="0" y="0"/>
            <wp:positionH relativeFrom="column">
              <wp:posOffset>242570</wp:posOffset>
            </wp:positionH>
            <wp:positionV relativeFrom="paragraph">
              <wp:posOffset>190500</wp:posOffset>
            </wp:positionV>
            <wp:extent cx="4857750" cy="2912110"/>
            <wp:effectExtent l="5080" t="4445" r="13970" b="17145"/>
            <wp:wrapSquare wrapText="bothSides"/>
            <wp:docPr id="31746"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eastAsia="仿宋_GB2312" w:cs="仿宋_GB2312"/>
          <w:sz w:val="32"/>
          <w:szCs w:val="32"/>
        </w:rPr>
        <w:t>（图3：支出决算结构图）（饼状图）</w:t>
      </w:r>
    </w:p>
    <w:p w14:paraId="25B45756">
      <w:pPr>
        <w:ind w:firstLine="800" w:firstLineChars="250"/>
        <w:rPr>
          <w:rFonts w:eastAsia="仿宋_GB2312" w:cs="仿宋_GB2312"/>
          <w:sz w:val="32"/>
          <w:szCs w:val="32"/>
        </w:rPr>
      </w:pPr>
    </w:p>
    <w:p w14:paraId="7BCAA7FF">
      <w:pPr>
        <w:spacing w:line="600" w:lineRule="exact"/>
        <w:ind w:firstLine="640" w:firstLineChars="200"/>
        <w:outlineLvl w:val="1"/>
        <w:rPr>
          <w:rStyle w:val="31"/>
          <w:rFonts w:ascii="Times New Roman" w:hAnsi="Times New Roman" w:eastAsia="黑体"/>
          <w:b w:val="0"/>
        </w:rPr>
      </w:pPr>
      <w:bookmarkStart w:id="24" w:name="_Toc15396606"/>
      <w:bookmarkStart w:id="25" w:name="_Toc15377208"/>
      <w:r>
        <w:rPr>
          <w:rFonts w:hint="eastAsia" w:eastAsia="黑体"/>
          <w:sz w:val="32"/>
          <w:szCs w:val="32"/>
        </w:rPr>
        <w:t>四、财</w:t>
      </w:r>
      <w:r>
        <w:rPr>
          <w:rStyle w:val="31"/>
          <w:rFonts w:hint="eastAsia" w:ascii="Times New Roman" w:hAnsi="Times New Roman" w:eastAsia="黑体"/>
          <w:b w:val="0"/>
        </w:rPr>
        <w:t>政拨款收入支出决算总体情况说明</w:t>
      </w:r>
      <w:bookmarkEnd w:id="24"/>
      <w:bookmarkEnd w:id="25"/>
    </w:p>
    <w:p w14:paraId="60DCB4C3">
      <w:pPr>
        <w:spacing w:line="600" w:lineRule="exact"/>
        <w:ind w:firstLine="640"/>
        <w:rPr>
          <w:rFonts w:eastAsia="仿宋_GB2312" w:cs="仿宋_GB2312"/>
          <w:sz w:val="32"/>
          <w:szCs w:val="32"/>
        </w:rPr>
      </w:pPr>
      <w:r>
        <w:rPr>
          <w:rFonts w:hint="eastAsia" w:eastAsia="仿宋_GB2312" w:cs="仿宋_GB2312"/>
          <w:sz w:val="32"/>
          <w:szCs w:val="32"/>
        </w:rPr>
        <w:t>2024年度财政拨款收入、支出总计均为</w:t>
      </w:r>
      <w:r>
        <w:rPr>
          <w:rFonts w:hint="eastAsia" w:ascii="仿宋_GB2312" w:hAnsi="仿宋_GB2312" w:eastAsia="仿宋_GB2312" w:cs="仿宋_GB2312"/>
          <w:sz w:val="32"/>
          <w:szCs w:val="32"/>
        </w:rPr>
        <w:t>103.99</w:t>
      </w:r>
      <w:r>
        <w:rPr>
          <w:rFonts w:hint="eastAsia" w:eastAsia="仿宋_GB2312" w:cs="仿宋_GB2312"/>
          <w:sz w:val="32"/>
          <w:szCs w:val="32"/>
        </w:rPr>
        <w:t>万元。与2023年度相比，财政拨款收入总计、支出总计各增加13.63万元，增长15%。主要变动原因是2024年工资改革及全年人员满编。</w:t>
      </w:r>
    </w:p>
    <w:p w14:paraId="42865E63">
      <w:pPr>
        <w:pStyle w:val="17"/>
        <w:rPr>
          <w:rFonts w:eastAsia="仿宋_GB2312" w:cs="仿宋_GB2312"/>
          <w:sz w:val="32"/>
          <w:szCs w:val="32"/>
        </w:rPr>
      </w:pPr>
      <w:r>
        <w:drawing>
          <wp:inline distT="0" distB="0" distL="114300" distR="114300">
            <wp:extent cx="4810125" cy="2619375"/>
            <wp:effectExtent l="4445" t="4445" r="5080" b="508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2097243">
      <w:pPr>
        <w:spacing w:line="600" w:lineRule="exact"/>
        <w:ind w:firstLine="640" w:firstLineChars="200"/>
        <w:rPr>
          <w:rFonts w:eastAsia="仿宋_GB2312" w:cs="仿宋_GB2312"/>
          <w:sz w:val="32"/>
          <w:szCs w:val="32"/>
        </w:rPr>
      </w:pPr>
      <w:r>
        <w:rPr>
          <w:rFonts w:hint="eastAsia" w:eastAsia="仿宋_GB2312" w:cs="仿宋_GB2312"/>
          <w:sz w:val="32"/>
          <w:szCs w:val="32"/>
        </w:rPr>
        <w:t>（图4：财政拨款收、支决算总计变动情况）（柱状图）</w:t>
      </w:r>
    </w:p>
    <w:p w14:paraId="1E13FBE8">
      <w:pPr>
        <w:spacing w:line="600" w:lineRule="exact"/>
        <w:ind w:firstLine="640"/>
        <w:rPr>
          <w:rFonts w:eastAsia="仿宋_GB2312" w:cs="仿宋_GB2312"/>
          <w:sz w:val="32"/>
          <w:szCs w:val="32"/>
        </w:rPr>
      </w:pPr>
    </w:p>
    <w:p w14:paraId="308D10CB">
      <w:pPr>
        <w:spacing w:line="600" w:lineRule="exact"/>
        <w:ind w:firstLine="640" w:firstLineChars="200"/>
        <w:outlineLvl w:val="1"/>
        <w:rPr>
          <w:rStyle w:val="31"/>
          <w:rFonts w:ascii="Times New Roman" w:hAnsi="Times New Roman" w:eastAsia="黑体"/>
          <w:b w:val="0"/>
        </w:rPr>
      </w:pPr>
      <w:bookmarkStart w:id="26" w:name="_Toc15377209"/>
      <w:bookmarkStart w:id="27" w:name="_Toc15396607"/>
      <w:r>
        <w:rPr>
          <w:rFonts w:hint="eastAsia" w:eastAsia="黑体"/>
          <w:sz w:val="32"/>
          <w:szCs w:val="32"/>
        </w:rPr>
        <w:t>五、</w:t>
      </w:r>
      <w:r>
        <w:rPr>
          <w:rFonts w:hint="eastAsia" w:eastAsia="黑体"/>
          <w:b/>
          <w:sz w:val="32"/>
          <w:szCs w:val="32"/>
        </w:rPr>
        <w:t>一</w:t>
      </w:r>
      <w:r>
        <w:rPr>
          <w:rStyle w:val="31"/>
          <w:rFonts w:hint="eastAsia" w:ascii="Times New Roman" w:hAnsi="Times New Roman" w:eastAsia="黑体"/>
          <w:b w:val="0"/>
        </w:rPr>
        <w:t>般公共预算财政拨款支出决算情况说明</w:t>
      </w:r>
      <w:bookmarkEnd w:id="26"/>
      <w:bookmarkEnd w:id="27"/>
    </w:p>
    <w:p w14:paraId="41DB5341">
      <w:pPr>
        <w:spacing w:line="600" w:lineRule="exact"/>
        <w:ind w:firstLine="643" w:firstLineChars="200"/>
        <w:outlineLvl w:val="2"/>
        <w:rPr>
          <w:rFonts w:eastAsia="楷体_GB2312" w:cs="楷体_GB2312"/>
          <w:b/>
          <w:sz w:val="32"/>
          <w:szCs w:val="32"/>
        </w:rPr>
      </w:pPr>
      <w:bookmarkStart w:id="28" w:name="_Toc15377210"/>
      <w:r>
        <w:rPr>
          <w:rFonts w:hint="eastAsia" w:eastAsia="楷体_GB2312" w:cs="楷体_GB2312"/>
          <w:b/>
          <w:sz w:val="32"/>
          <w:szCs w:val="32"/>
        </w:rPr>
        <w:t>（一）一般公共预算财政拨款支出决算总体情况</w:t>
      </w:r>
      <w:bookmarkEnd w:id="28"/>
    </w:p>
    <w:p w14:paraId="4C415980">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2024年度一般公共预算财政拨款支出103.99万元，占本年支出合计的100%。与2023年度相比，一般公共预算财政拨款支出</w:t>
      </w:r>
      <w:r>
        <w:rPr>
          <w:rFonts w:hint="eastAsia" w:eastAsia="仿宋_GB2312" w:cs="仿宋_GB2312"/>
          <w:sz w:val="32"/>
          <w:szCs w:val="32"/>
        </w:rPr>
        <w:t>增加13.63万元，增长15%</w:t>
      </w:r>
      <w:r>
        <w:rPr>
          <w:rFonts w:hint="eastAsia" w:ascii="仿宋_GB2312" w:hAnsi="仿宋_GB2312" w:eastAsia="仿宋_GB2312" w:cs="仿宋_GB2312"/>
          <w:sz w:val="32"/>
          <w:szCs w:val="32"/>
        </w:rPr>
        <w:t>。主要变动原因是</w:t>
      </w:r>
      <w:r>
        <w:rPr>
          <w:rFonts w:hint="eastAsia" w:eastAsia="仿宋_GB2312" w:cs="仿宋_GB2312"/>
          <w:sz w:val="32"/>
          <w:szCs w:val="32"/>
        </w:rPr>
        <w:t>2024年工资改革及全年人员满编。</w:t>
      </w:r>
    </w:p>
    <w:p w14:paraId="75170F14">
      <w:pPr>
        <w:pStyle w:val="17"/>
        <w:rPr>
          <w:rFonts w:eastAsia="仿宋_GB2312" w:cs="仿宋_GB2312"/>
          <w:sz w:val="32"/>
          <w:szCs w:val="32"/>
        </w:rPr>
      </w:pPr>
    </w:p>
    <w:p w14:paraId="61B223E2">
      <w:pPr>
        <w:pStyle w:val="17"/>
        <w:rPr>
          <w:rFonts w:eastAsia="仿宋_GB2312" w:cs="仿宋_GB2312"/>
          <w:sz w:val="32"/>
          <w:szCs w:val="32"/>
        </w:rPr>
      </w:pPr>
      <w:r>
        <w:drawing>
          <wp:inline distT="0" distB="0" distL="114300" distR="114300">
            <wp:extent cx="5238750" cy="2647315"/>
            <wp:effectExtent l="4445" t="4445" r="14605" b="15240"/>
            <wp:docPr id="3379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F587788">
      <w:pPr>
        <w:spacing w:line="600" w:lineRule="exact"/>
        <w:ind w:firstLine="640"/>
        <w:rPr>
          <w:rFonts w:eastAsia="仿宋_GB2312" w:cs="仿宋_GB2312"/>
          <w:sz w:val="32"/>
          <w:szCs w:val="32"/>
        </w:rPr>
      </w:pPr>
      <w:r>
        <w:rPr>
          <w:rFonts w:hint="eastAsia" w:eastAsia="仿宋_GB2312" w:cs="仿宋_GB2312"/>
          <w:sz w:val="32"/>
          <w:szCs w:val="32"/>
        </w:rPr>
        <w:t>（图5：一般公共预算财政拨款支出决算变动情况）（柱状图）</w:t>
      </w:r>
    </w:p>
    <w:p w14:paraId="5F23FB24">
      <w:pPr>
        <w:spacing w:line="600" w:lineRule="exact"/>
        <w:ind w:firstLine="643" w:firstLineChars="200"/>
        <w:outlineLvl w:val="2"/>
        <w:rPr>
          <w:rFonts w:eastAsia="楷体_GB2312" w:cs="楷体_GB2312"/>
          <w:b/>
          <w:sz w:val="32"/>
          <w:szCs w:val="32"/>
        </w:rPr>
      </w:pPr>
      <w:bookmarkStart w:id="29" w:name="_Toc15377211"/>
      <w:r>
        <w:rPr>
          <w:rFonts w:hint="eastAsia" w:eastAsia="楷体_GB2312" w:cs="楷体_GB2312"/>
          <w:b/>
          <w:sz w:val="32"/>
          <w:szCs w:val="32"/>
        </w:rPr>
        <w:t>（二）一般公共预算财政拨款支出决算结构情况</w:t>
      </w:r>
      <w:bookmarkEnd w:id="29"/>
    </w:p>
    <w:p w14:paraId="79944735">
      <w:pPr>
        <w:spacing w:line="600" w:lineRule="exact"/>
        <w:ind w:firstLine="640"/>
        <w:rPr>
          <w:rFonts w:ascii="仿宋" w:hAnsi="仿宋" w:eastAsia="仿宋"/>
          <w:sz w:val="32"/>
          <w:szCs w:val="32"/>
        </w:rPr>
      </w:pPr>
      <w:r>
        <w:rPr>
          <w:rFonts w:hint="eastAsia" w:eastAsia="仿宋_GB2312" w:cs="仿宋_GB2312"/>
          <w:sz w:val="32"/>
          <w:szCs w:val="32"/>
        </w:rPr>
        <w:t>2024年度一般公共预算财政拨款支出</w:t>
      </w:r>
      <w:r>
        <w:rPr>
          <w:rFonts w:hint="eastAsia" w:ascii="仿宋_GB2312" w:hAnsi="仿宋_GB2312" w:eastAsia="仿宋_GB2312" w:cs="仿宋_GB2312"/>
          <w:sz w:val="32"/>
          <w:szCs w:val="32"/>
        </w:rPr>
        <w:t>103.99万元</w:t>
      </w:r>
      <w:r>
        <w:rPr>
          <w:rFonts w:hint="eastAsia" w:eastAsia="仿宋_GB2312" w:cs="仿宋_GB2312"/>
          <w:sz w:val="32"/>
          <w:szCs w:val="32"/>
        </w:rPr>
        <w:t>，主要用于以下方面：</w:t>
      </w:r>
      <w:r>
        <w:rPr>
          <w:rFonts w:hint="eastAsia" w:ascii="仿宋" w:hAnsi="仿宋" w:eastAsia="仿宋"/>
          <w:b/>
          <w:sz w:val="32"/>
          <w:szCs w:val="32"/>
        </w:rPr>
        <w:t>社会保障和就业</w:t>
      </w:r>
      <w:r>
        <w:rPr>
          <w:rFonts w:hint="eastAsia" w:ascii="仿宋" w:hAnsi="仿宋" w:eastAsia="仿宋"/>
          <w:b/>
          <w:bCs/>
          <w:sz w:val="32"/>
          <w:szCs w:val="32"/>
        </w:rPr>
        <w:t>支出</w:t>
      </w:r>
      <w:r>
        <w:rPr>
          <w:rFonts w:hint="eastAsia" w:ascii="仿宋" w:hAnsi="仿宋" w:eastAsia="仿宋"/>
          <w:sz w:val="32"/>
          <w:szCs w:val="32"/>
        </w:rPr>
        <w:t>93.34万元，占89.77</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bCs/>
          <w:sz w:val="32"/>
          <w:szCs w:val="32"/>
        </w:rPr>
        <w:t>卫生健康支出</w:t>
      </w:r>
      <w:r>
        <w:rPr>
          <w:rFonts w:hint="eastAsia" w:ascii="仿宋" w:hAnsi="仿宋" w:eastAsia="仿宋"/>
          <w:sz w:val="32"/>
          <w:szCs w:val="32"/>
        </w:rPr>
        <w:t>3.54万元，占3.4</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bCs/>
          <w:sz w:val="32"/>
          <w:szCs w:val="32"/>
        </w:rPr>
        <w:t>住房保障支出</w:t>
      </w:r>
      <w:r>
        <w:rPr>
          <w:rFonts w:hint="eastAsia" w:ascii="仿宋" w:hAnsi="仿宋" w:eastAsia="仿宋"/>
          <w:sz w:val="32"/>
          <w:szCs w:val="32"/>
        </w:rPr>
        <w:t>7.1万元，占6.83</w:t>
      </w:r>
      <w:r>
        <w:rPr>
          <w:rFonts w:ascii="仿宋" w:hAnsi="仿宋" w:eastAsia="仿宋"/>
          <w:sz w:val="32"/>
          <w:szCs w:val="32"/>
        </w:rPr>
        <w:t>%</w:t>
      </w:r>
      <w:r>
        <w:rPr>
          <w:rFonts w:hint="eastAsia" w:ascii="仿宋" w:hAnsi="仿宋" w:eastAsia="仿宋"/>
          <w:sz w:val="32"/>
          <w:szCs w:val="32"/>
        </w:rPr>
        <w:t>。</w:t>
      </w:r>
    </w:p>
    <w:p w14:paraId="7AB75095">
      <w:pPr>
        <w:pStyle w:val="17"/>
        <w:rPr>
          <w:rFonts w:ascii="仿宋" w:hAnsi="仿宋" w:eastAsia="仿宋"/>
          <w:sz w:val="32"/>
          <w:szCs w:val="32"/>
        </w:rPr>
      </w:pPr>
      <w:r>
        <w:drawing>
          <wp:inline distT="0" distB="0" distL="114300" distR="114300">
            <wp:extent cx="4925060" cy="3257550"/>
            <wp:effectExtent l="4445" t="4445" r="23495" b="14605"/>
            <wp:docPr id="3481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7FDA429">
      <w:pPr>
        <w:spacing w:line="600" w:lineRule="exact"/>
        <w:ind w:firstLine="640"/>
        <w:rPr>
          <w:rFonts w:eastAsia="仿宋_GB2312" w:cs="仿宋_GB2312"/>
          <w:sz w:val="32"/>
          <w:szCs w:val="32"/>
        </w:rPr>
      </w:pPr>
      <w:r>
        <w:rPr>
          <w:rFonts w:hint="eastAsia" w:eastAsia="仿宋_GB2312" w:cs="仿宋_GB2312"/>
          <w:sz w:val="32"/>
          <w:szCs w:val="32"/>
        </w:rPr>
        <w:t>（图6：一般公共预算财政拨款支出决算结构）（饼状图）</w:t>
      </w:r>
    </w:p>
    <w:p w14:paraId="30A90306">
      <w:pPr>
        <w:spacing w:line="600" w:lineRule="exact"/>
        <w:ind w:firstLine="640"/>
        <w:rPr>
          <w:rFonts w:eastAsia="仿宋_GB2312" w:cs="仿宋_GB2312"/>
          <w:sz w:val="32"/>
          <w:szCs w:val="32"/>
        </w:rPr>
      </w:pPr>
    </w:p>
    <w:p w14:paraId="0429C406">
      <w:pPr>
        <w:spacing w:line="600" w:lineRule="exact"/>
        <w:ind w:firstLine="643" w:firstLineChars="200"/>
        <w:outlineLvl w:val="2"/>
        <w:rPr>
          <w:rFonts w:eastAsia="楷体_GB2312" w:cs="楷体_GB2312"/>
          <w:b/>
          <w:sz w:val="32"/>
          <w:szCs w:val="32"/>
        </w:rPr>
      </w:pPr>
      <w:bookmarkStart w:id="30" w:name="_Toc15377212"/>
      <w:r>
        <w:rPr>
          <w:rFonts w:hint="eastAsia" w:eastAsia="楷体_GB2312" w:cs="楷体_GB2312"/>
          <w:b/>
          <w:sz w:val="32"/>
          <w:szCs w:val="32"/>
        </w:rPr>
        <w:t>（三）一般公共预算财政拨款支出决算具体情况</w:t>
      </w:r>
      <w:bookmarkEnd w:id="30"/>
    </w:p>
    <w:p w14:paraId="05FD23F5">
      <w:pPr>
        <w:spacing w:line="600" w:lineRule="exact"/>
        <w:ind w:firstLine="640"/>
        <w:rPr>
          <w:rFonts w:eastAsia="仿宋_GB2312" w:cs="仿宋_GB2312"/>
          <w:sz w:val="32"/>
          <w:szCs w:val="32"/>
        </w:rPr>
      </w:pPr>
      <w:bookmarkStart w:id="31" w:name="_Toc15377444"/>
      <w:bookmarkStart w:id="32" w:name="_Toc15378460"/>
      <w:bookmarkStart w:id="33" w:name="_Toc15377213"/>
      <w:r>
        <w:rPr>
          <w:rFonts w:hint="eastAsia" w:eastAsia="仿宋_GB2312" w:cs="仿宋_GB2312"/>
          <w:sz w:val="32"/>
          <w:szCs w:val="32"/>
        </w:rPr>
        <w:t>2024年度一般公共预算财政拨款支出决算数为</w:t>
      </w:r>
      <w:r>
        <w:rPr>
          <w:rFonts w:hint="eastAsia" w:ascii="仿宋_GB2312" w:hAnsi="仿宋_GB2312" w:eastAsia="仿宋_GB2312" w:cs="仿宋_GB2312"/>
          <w:sz w:val="32"/>
          <w:szCs w:val="32"/>
        </w:rPr>
        <w:t>103.99，</w:t>
      </w:r>
      <w:r>
        <w:rPr>
          <w:rFonts w:hint="eastAsia" w:eastAsia="仿宋_GB2312" w:cs="仿宋_GB2312"/>
          <w:sz w:val="32"/>
          <w:szCs w:val="32"/>
        </w:rPr>
        <w:t>完成预算100%。其中：</w:t>
      </w:r>
      <w:bookmarkEnd w:id="31"/>
      <w:bookmarkEnd w:id="32"/>
      <w:bookmarkEnd w:id="33"/>
    </w:p>
    <w:p w14:paraId="62F20AC0">
      <w:pPr>
        <w:spacing w:line="600" w:lineRule="exact"/>
        <w:ind w:firstLine="643" w:firstLineChars="200"/>
        <w:rPr>
          <w:rFonts w:ascii="仿宋" w:hAnsi="仿宋" w:eastAsia="仿宋"/>
          <w:b/>
          <w:sz w:val="32"/>
          <w:szCs w:val="32"/>
        </w:rPr>
      </w:pPr>
      <w:r>
        <w:rPr>
          <w:rStyle w:val="20"/>
          <w:rFonts w:ascii="仿宋" w:hAnsi="仿宋" w:eastAsia="仿宋"/>
          <w:bCs/>
          <w:sz w:val="32"/>
          <w:szCs w:val="32"/>
        </w:rPr>
        <w:t>1.</w:t>
      </w:r>
      <w:r>
        <w:rPr>
          <w:rStyle w:val="20"/>
          <w:rFonts w:hint="eastAsia" w:ascii="仿宋" w:hAnsi="仿宋" w:eastAsia="仿宋"/>
          <w:bCs/>
          <w:sz w:val="32"/>
          <w:szCs w:val="32"/>
        </w:rPr>
        <w:t>社会保障和就业（类）行政事业单位养老支出（款）机关事业单位基本养老保险缴费支出（项）</w:t>
      </w:r>
      <w:r>
        <w:rPr>
          <w:rStyle w:val="20"/>
          <w:rFonts w:ascii="仿宋" w:hAnsi="仿宋" w:eastAsia="仿宋"/>
          <w:bCs/>
          <w:sz w:val="32"/>
          <w:szCs w:val="32"/>
        </w:rPr>
        <w:t>:</w:t>
      </w:r>
      <w:r>
        <w:rPr>
          <w:rStyle w:val="20"/>
          <w:rFonts w:ascii="仿宋" w:hAnsi="仿宋" w:eastAsia="仿宋"/>
          <w:b w:val="0"/>
          <w:bCs/>
          <w:sz w:val="32"/>
          <w:szCs w:val="32"/>
        </w:rPr>
        <w:t xml:space="preserve"> </w:t>
      </w:r>
      <w:r>
        <w:rPr>
          <w:rStyle w:val="20"/>
          <w:rFonts w:hint="eastAsia" w:ascii="仿宋" w:hAnsi="仿宋" w:eastAsia="仿宋"/>
          <w:b w:val="0"/>
          <w:bCs/>
          <w:sz w:val="32"/>
          <w:szCs w:val="32"/>
        </w:rPr>
        <w:t>支出决算为8.43万元，完成预算100</w:t>
      </w:r>
      <w:r>
        <w:rPr>
          <w:rStyle w:val="20"/>
          <w:rFonts w:ascii="仿宋" w:hAnsi="仿宋" w:eastAsia="仿宋"/>
          <w:b w:val="0"/>
          <w:bCs/>
          <w:sz w:val="32"/>
          <w:szCs w:val="32"/>
        </w:rPr>
        <w:t>%</w:t>
      </w:r>
      <w:r>
        <w:rPr>
          <w:rStyle w:val="20"/>
          <w:rFonts w:hint="eastAsia" w:ascii="仿宋" w:hAnsi="仿宋" w:eastAsia="仿宋"/>
          <w:b w:val="0"/>
          <w:bCs/>
          <w:sz w:val="32"/>
          <w:szCs w:val="32"/>
        </w:rPr>
        <w:t>，决算数等于预算数。</w:t>
      </w:r>
    </w:p>
    <w:p w14:paraId="3CE2564A">
      <w:pPr>
        <w:spacing w:line="600" w:lineRule="exact"/>
        <w:ind w:firstLine="643" w:firstLineChars="200"/>
        <w:rPr>
          <w:rFonts w:ascii="仿宋" w:hAnsi="仿宋" w:eastAsia="仿宋"/>
          <w:b/>
          <w:sz w:val="32"/>
          <w:szCs w:val="32"/>
        </w:rPr>
      </w:pPr>
      <w:r>
        <w:rPr>
          <w:rStyle w:val="20"/>
          <w:rFonts w:ascii="仿宋" w:hAnsi="仿宋" w:eastAsia="仿宋"/>
          <w:bCs/>
          <w:sz w:val="32"/>
          <w:szCs w:val="32"/>
        </w:rPr>
        <w:t>2.</w:t>
      </w:r>
      <w:r>
        <w:rPr>
          <w:rStyle w:val="20"/>
          <w:rFonts w:hint="eastAsia" w:ascii="仿宋" w:hAnsi="仿宋" w:eastAsia="仿宋"/>
          <w:bCs/>
          <w:sz w:val="32"/>
          <w:szCs w:val="32"/>
        </w:rPr>
        <w:t>社会保障和就业（类）红十字事业（款）事业运行（项）</w:t>
      </w:r>
      <w:r>
        <w:rPr>
          <w:rStyle w:val="20"/>
          <w:rFonts w:ascii="仿宋" w:hAnsi="仿宋" w:eastAsia="仿宋"/>
          <w:bCs/>
          <w:sz w:val="32"/>
          <w:szCs w:val="32"/>
        </w:rPr>
        <w:t>:</w:t>
      </w:r>
      <w:r>
        <w:rPr>
          <w:rStyle w:val="20"/>
          <w:rFonts w:ascii="仿宋" w:hAnsi="仿宋" w:eastAsia="仿宋"/>
          <w:b w:val="0"/>
          <w:bCs/>
          <w:sz w:val="32"/>
          <w:szCs w:val="32"/>
        </w:rPr>
        <w:t xml:space="preserve"> </w:t>
      </w:r>
      <w:r>
        <w:rPr>
          <w:rStyle w:val="20"/>
          <w:rFonts w:hint="eastAsia" w:ascii="仿宋" w:hAnsi="仿宋" w:eastAsia="仿宋"/>
          <w:b w:val="0"/>
          <w:bCs/>
          <w:sz w:val="32"/>
          <w:szCs w:val="32"/>
        </w:rPr>
        <w:t>支出决算为54.78万元，完成预算100</w:t>
      </w:r>
      <w:r>
        <w:rPr>
          <w:rStyle w:val="20"/>
          <w:rFonts w:ascii="仿宋" w:hAnsi="仿宋" w:eastAsia="仿宋"/>
          <w:b w:val="0"/>
          <w:bCs/>
          <w:sz w:val="32"/>
          <w:szCs w:val="32"/>
        </w:rPr>
        <w:t>%</w:t>
      </w:r>
      <w:r>
        <w:rPr>
          <w:rStyle w:val="20"/>
          <w:rFonts w:hint="eastAsia" w:ascii="仿宋" w:hAnsi="仿宋" w:eastAsia="仿宋"/>
          <w:b w:val="0"/>
          <w:bCs/>
          <w:sz w:val="32"/>
          <w:szCs w:val="32"/>
        </w:rPr>
        <w:t>，决算数等于预算数。</w:t>
      </w:r>
    </w:p>
    <w:p w14:paraId="3D62ED50">
      <w:pPr>
        <w:spacing w:line="600" w:lineRule="exact"/>
        <w:ind w:firstLine="643" w:firstLineChars="200"/>
        <w:rPr>
          <w:rStyle w:val="20"/>
          <w:rFonts w:ascii="仿宋" w:hAnsi="仿宋" w:eastAsia="仿宋"/>
          <w:b w:val="0"/>
          <w:bCs/>
          <w:sz w:val="32"/>
          <w:szCs w:val="32"/>
        </w:rPr>
      </w:pPr>
      <w:r>
        <w:rPr>
          <w:rStyle w:val="20"/>
          <w:rFonts w:ascii="仿宋" w:hAnsi="仿宋" w:eastAsia="仿宋"/>
          <w:bCs/>
          <w:sz w:val="32"/>
          <w:szCs w:val="32"/>
        </w:rPr>
        <w:t>3.</w:t>
      </w:r>
      <w:r>
        <w:rPr>
          <w:rStyle w:val="20"/>
          <w:rFonts w:hint="eastAsia" w:ascii="仿宋" w:hAnsi="仿宋" w:eastAsia="仿宋"/>
          <w:bCs/>
          <w:sz w:val="32"/>
          <w:szCs w:val="32"/>
        </w:rPr>
        <w:t>社会保障和就业（类）红十字事业（款）其他红十字事业（项）</w:t>
      </w:r>
      <w:r>
        <w:rPr>
          <w:rStyle w:val="20"/>
          <w:rFonts w:ascii="仿宋" w:hAnsi="仿宋" w:eastAsia="仿宋"/>
          <w:bCs/>
          <w:sz w:val="32"/>
          <w:szCs w:val="32"/>
        </w:rPr>
        <w:t>:</w:t>
      </w:r>
      <w:r>
        <w:rPr>
          <w:rStyle w:val="20"/>
          <w:rFonts w:ascii="仿宋" w:hAnsi="仿宋" w:eastAsia="仿宋"/>
          <w:b w:val="0"/>
          <w:bCs/>
          <w:sz w:val="32"/>
          <w:szCs w:val="32"/>
        </w:rPr>
        <w:t xml:space="preserve"> </w:t>
      </w:r>
      <w:r>
        <w:rPr>
          <w:rStyle w:val="20"/>
          <w:rFonts w:hint="eastAsia" w:ascii="仿宋" w:hAnsi="仿宋" w:eastAsia="仿宋"/>
          <w:b w:val="0"/>
          <w:bCs/>
          <w:sz w:val="32"/>
          <w:szCs w:val="32"/>
        </w:rPr>
        <w:t>支出决算为29.26万元，完成预算100</w:t>
      </w:r>
      <w:r>
        <w:rPr>
          <w:rStyle w:val="20"/>
          <w:rFonts w:ascii="仿宋" w:hAnsi="仿宋" w:eastAsia="仿宋"/>
          <w:b w:val="0"/>
          <w:bCs/>
          <w:sz w:val="32"/>
          <w:szCs w:val="32"/>
        </w:rPr>
        <w:t>%</w:t>
      </w:r>
      <w:r>
        <w:rPr>
          <w:rStyle w:val="20"/>
          <w:rFonts w:hint="eastAsia" w:ascii="仿宋" w:hAnsi="仿宋" w:eastAsia="仿宋"/>
          <w:b w:val="0"/>
          <w:bCs/>
          <w:sz w:val="32"/>
          <w:szCs w:val="32"/>
        </w:rPr>
        <w:t>，决算数等于预算数。</w:t>
      </w:r>
    </w:p>
    <w:p w14:paraId="03AC3CB2">
      <w:pPr>
        <w:spacing w:line="600" w:lineRule="exact"/>
        <w:ind w:firstLine="643" w:firstLineChars="200"/>
        <w:rPr>
          <w:rFonts w:ascii="仿宋" w:hAnsi="仿宋" w:eastAsia="仿宋"/>
          <w:b/>
          <w:sz w:val="32"/>
          <w:szCs w:val="32"/>
        </w:rPr>
      </w:pPr>
      <w:r>
        <w:rPr>
          <w:rStyle w:val="20"/>
          <w:rFonts w:hint="eastAsia" w:ascii="仿宋" w:hAnsi="仿宋" w:eastAsia="仿宋"/>
          <w:bCs/>
          <w:sz w:val="32"/>
          <w:szCs w:val="32"/>
        </w:rPr>
        <w:t>4</w:t>
      </w:r>
      <w:r>
        <w:rPr>
          <w:rStyle w:val="20"/>
          <w:rFonts w:ascii="仿宋" w:hAnsi="仿宋" w:eastAsia="仿宋"/>
          <w:bCs/>
          <w:sz w:val="32"/>
          <w:szCs w:val="32"/>
        </w:rPr>
        <w:t>.</w:t>
      </w:r>
      <w:r>
        <w:rPr>
          <w:rStyle w:val="20"/>
          <w:rFonts w:hint="eastAsia" w:ascii="仿宋" w:hAnsi="仿宋" w:eastAsia="仿宋"/>
          <w:bCs/>
          <w:sz w:val="32"/>
          <w:szCs w:val="32"/>
        </w:rPr>
        <w:t>社会保障和就业（类）其他社会保障和就业支出（款）其他社会保障和就业支出（项）</w:t>
      </w:r>
      <w:r>
        <w:rPr>
          <w:rStyle w:val="20"/>
          <w:rFonts w:ascii="仿宋" w:hAnsi="仿宋" w:eastAsia="仿宋"/>
          <w:bCs/>
          <w:sz w:val="32"/>
          <w:szCs w:val="32"/>
        </w:rPr>
        <w:t>:</w:t>
      </w:r>
      <w:r>
        <w:rPr>
          <w:rStyle w:val="20"/>
          <w:rFonts w:ascii="仿宋" w:hAnsi="仿宋" w:eastAsia="仿宋"/>
          <w:b w:val="0"/>
          <w:bCs/>
          <w:sz w:val="32"/>
          <w:szCs w:val="32"/>
        </w:rPr>
        <w:t xml:space="preserve"> </w:t>
      </w:r>
      <w:r>
        <w:rPr>
          <w:rStyle w:val="20"/>
          <w:rFonts w:hint="eastAsia" w:ascii="仿宋" w:hAnsi="仿宋" w:eastAsia="仿宋"/>
          <w:b w:val="0"/>
          <w:bCs/>
          <w:sz w:val="32"/>
          <w:szCs w:val="32"/>
        </w:rPr>
        <w:t>支出决算为0.87万元，完成预算100</w:t>
      </w:r>
      <w:r>
        <w:rPr>
          <w:rStyle w:val="20"/>
          <w:rFonts w:ascii="仿宋" w:hAnsi="仿宋" w:eastAsia="仿宋"/>
          <w:b w:val="0"/>
          <w:bCs/>
          <w:sz w:val="32"/>
          <w:szCs w:val="32"/>
        </w:rPr>
        <w:t>%</w:t>
      </w:r>
      <w:r>
        <w:rPr>
          <w:rStyle w:val="20"/>
          <w:rFonts w:hint="eastAsia" w:ascii="仿宋" w:hAnsi="仿宋" w:eastAsia="仿宋"/>
          <w:b w:val="0"/>
          <w:bCs/>
          <w:sz w:val="32"/>
          <w:szCs w:val="32"/>
        </w:rPr>
        <w:t>，决算数等于预算数。</w:t>
      </w:r>
    </w:p>
    <w:p w14:paraId="7A46010B">
      <w:pPr>
        <w:spacing w:line="600" w:lineRule="exact"/>
        <w:ind w:firstLine="643" w:firstLineChars="200"/>
        <w:rPr>
          <w:rStyle w:val="20"/>
          <w:rFonts w:ascii="仿宋" w:hAnsi="仿宋" w:eastAsia="仿宋"/>
          <w:b w:val="0"/>
          <w:bCs/>
          <w:sz w:val="32"/>
          <w:szCs w:val="32"/>
        </w:rPr>
      </w:pPr>
      <w:r>
        <w:rPr>
          <w:rStyle w:val="20"/>
          <w:rFonts w:hint="eastAsia" w:ascii="仿宋" w:hAnsi="仿宋" w:eastAsia="仿宋"/>
          <w:bCs/>
          <w:sz w:val="32"/>
          <w:szCs w:val="32"/>
        </w:rPr>
        <w:t>5</w:t>
      </w:r>
      <w:r>
        <w:rPr>
          <w:rStyle w:val="20"/>
          <w:rFonts w:ascii="仿宋" w:hAnsi="仿宋" w:eastAsia="仿宋"/>
          <w:bCs/>
          <w:sz w:val="32"/>
          <w:szCs w:val="32"/>
        </w:rPr>
        <w:t>.</w:t>
      </w:r>
      <w:r>
        <w:rPr>
          <w:rFonts w:hint="eastAsia" w:ascii="仿宋" w:hAnsi="仿宋" w:eastAsia="仿宋"/>
          <w:b/>
          <w:bCs/>
          <w:sz w:val="32"/>
          <w:szCs w:val="32"/>
        </w:rPr>
        <w:t>卫生健康</w:t>
      </w:r>
      <w:r>
        <w:rPr>
          <w:rStyle w:val="20"/>
          <w:rFonts w:hint="eastAsia" w:ascii="仿宋" w:hAnsi="仿宋" w:eastAsia="仿宋"/>
          <w:bCs/>
          <w:sz w:val="32"/>
          <w:szCs w:val="32"/>
        </w:rPr>
        <w:t>（类）行政事业单位医疗（款）事业单位医疗（项）</w:t>
      </w:r>
      <w:r>
        <w:rPr>
          <w:rStyle w:val="20"/>
          <w:rFonts w:ascii="仿宋" w:hAnsi="仿宋" w:eastAsia="仿宋"/>
          <w:bCs/>
          <w:sz w:val="32"/>
          <w:szCs w:val="32"/>
        </w:rPr>
        <w:t>:</w:t>
      </w:r>
      <w:r>
        <w:rPr>
          <w:rStyle w:val="20"/>
          <w:rFonts w:hint="eastAsia" w:ascii="仿宋" w:hAnsi="仿宋" w:eastAsia="仿宋"/>
          <w:b w:val="0"/>
          <w:bCs/>
          <w:sz w:val="32"/>
          <w:szCs w:val="32"/>
        </w:rPr>
        <w:t>支出决算为3.21万元，完成预算100</w:t>
      </w:r>
      <w:r>
        <w:rPr>
          <w:rStyle w:val="20"/>
          <w:rFonts w:ascii="仿宋" w:hAnsi="仿宋" w:eastAsia="仿宋"/>
          <w:b w:val="0"/>
          <w:bCs/>
          <w:sz w:val="32"/>
          <w:szCs w:val="32"/>
        </w:rPr>
        <w:t>%</w:t>
      </w:r>
      <w:r>
        <w:rPr>
          <w:rStyle w:val="20"/>
          <w:rFonts w:hint="eastAsia" w:ascii="仿宋" w:hAnsi="仿宋" w:eastAsia="仿宋"/>
          <w:b w:val="0"/>
          <w:bCs/>
          <w:sz w:val="32"/>
          <w:szCs w:val="32"/>
        </w:rPr>
        <w:t>，决算数等于预算数。</w:t>
      </w:r>
    </w:p>
    <w:p w14:paraId="032E7952">
      <w:pPr>
        <w:spacing w:line="600" w:lineRule="exact"/>
        <w:ind w:firstLine="643" w:firstLineChars="200"/>
        <w:rPr>
          <w:rStyle w:val="20"/>
          <w:rFonts w:ascii="仿宋" w:hAnsi="仿宋" w:eastAsia="仿宋"/>
          <w:b w:val="0"/>
          <w:bCs/>
          <w:sz w:val="32"/>
          <w:szCs w:val="32"/>
        </w:rPr>
      </w:pPr>
      <w:r>
        <w:rPr>
          <w:rStyle w:val="20"/>
          <w:rFonts w:hint="eastAsia" w:ascii="仿宋" w:hAnsi="仿宋" w:eastAsia="仿宋"/>
          <w:bCs/>
          <w:sz w:val="32"/>
          <w:szCs w:val="32"/>
        </w:rPr>
        <w:t>6</w:t>
      </w:r>
      <w:r>
        <w:rPr>
          <w:rStyle w:val="20"/>
          <w:rFonts w:ascii="仿宋" w:hAnsi="仿宋" w:eastAsia="仿宋"/>
          <w:bCs/>
          <w:sz w:val="32"/>
          <w:szCs w:val="32"/>
        </w:rPr>
        <w:t>.</w:t>
      </w:r>
      <w:r>
        <w:rPr>
          <w:rFonts w:hint="eastAsia" w:ascii="仿宋" w:hAnsi="仿宋" w:eastAsia="仿宋"/>
          <w:b/>
          <w:bCs/>
          <w:sz w:val="32"/>
          <w:szCs w:val="32"/>
        </w:rPr>
        <w:t>卫生健康</w:t>
      </w:r>
      <w:r>
        <w:rPr>
          <w:rStyle w:val="20"/>
          <w:rFonts w:hint="eastAsia" w:ascii="仿宋" w:hAnsi="仿宋" w:eastAsia="仿宋"/>
          <w:bCs/>
          <w:sz w:val="32"/>
          <w:szCs w:val="32"/>
        </w:rPr>
        <w:t>（类）行政事业单位医疗（款）公务员医疗补助（项）</w:t>
      </w:r>
      <w:r>
        <w:rPr>
          <w:rStyle w:val="20"/>
          <w:rFonts w:ascii="仿宋" w:hAnsi="仿宋" w:eastAsia="仿宋"/>
          <w:bCs/>
          <w:sz w:val="32"/>
          <w:szCs w:val="32"/>
        </w:rPr>
        <w:t>:</w:t>
      </w:r>
      <w:r>
        <w:rPr>
          <w:rStyle w:val="20"/>
          <w:rFonts w:hint="eastAsia" w:ascii="仿宋" w:hAnsi="仿宋" w:eastAsia="仿宋"/>
          <w:b w:val="0"/>
          <w:bCs/>
          <w:sz w:val="32"/>
          <w:szCs w:val="32"/>
        </w:rPr>
        <w:t>支出决算为0.33万元，完成预算100</w:t>
      </w:r>
      <w:r>
        <w:rPr>
          <w:rStyle w:val="20"/>
          <w:rFonts w:ascii="仿宋" w:hAnsi="仿宋" w:eastAsia="仿宋"/>
          <w:b w:val="0"/>
          <w:bCs/>
          <w:sz w:val="32"/>
          <w:szCs w:val="32"/>
        </w:rPr>
        <w:t>%</w:t>
      </w:r>
      <w:r>
        <w:rPr>
          <w:rStyle w:val="20"/>
          <w:rFonts w:hint="eastAsia" w:ascii="仿宋" w:hAnsi="仿宋" w:eastAsia="仿宋"/>
          <w:b w:val="0"/>
          <w:bCs/>
          <w:sz w:val="32"/>
          <w:szCs w:val="32"/>
        </w:rPr>
        <w:t>，决算数等于预算数。</w:t>
      </w:r>
    </w:p>
    <w:p w14:paraId="281CEE9F">
      <w:pPr>
        <w:pStyle w:val="17"/>
      </w:pPr>
    </w:p>
    <w:p w14:paraId="11246671">
      <w:pPr>
        <w:spacing w:line="600" w:lineRule="exact"/>
        <w:ind w:firstLine="643" w:firstLineChars="200"/>
        <w:rPr>
          <w:rStyle w:val="20"/>
          <w:rFonts w:eastAsia="仿宋"/>
          <w:b w:val="0"/>
          <w:bCs/>
          <w:sz w:val="32"/>
          <w:szCs w:val="32"/>
        </w:rPr>
      </w:pPr>
      <w:r>
        <w:rPr>
          <w:rStyle w:val="20"/>
          <w:rFonts w:hint="eastAsia" w:eastAsia="仿宋"/>
          <w:sz w:val="32"/>
          <w:szCs w:val="32"/>
        </w:rPr>
        <w:t>7</w:t>
      </w:r>
      <w:r>
        <w:rPr>
          <w:rStyle w:val="20"/>
          <w:rFonts w:eastAsia="仿宋"/>
          <w:sz w:val="32"/>
          <w:szCs w:val="32"/>
        </w:rPr>
        <w:t>.</w:t>
      </w:r>
      <w:r>
        <w:rPr>
          <w:rStyle w:val="20"/>
          <w:rFonts w:hint="eastAsia" w:eastAsia="仿宋"/>
          <w:sz w:val="32"/>
          <w:szCs w:val="32"/>
        </w:rPr>
        <w:t xml:space="preserve"> </w:t>
      </w:r>
      <w:r>
        <w:rPr>
          <w:rFonts w:hint="eastAsia" w:eastAsia="仿宋"/>
          <w:b/>
          <w:sz w:val="32"/>
          <w:szCs w:val="32"/>
        </w:rPr>
        <w:t>住房保障支出</w:t>
      </w:r>
      <w:r>
        <w:rPr>
          <w:rStyle w:val="20"/>
          <w:rFonts w:hint="eastAsia" w:eastAsia="仿宋"/>
          <w:sz w:val="32"/>
          <w:szCs w:val="32"/>
        </w:rPr>
        <w:t>（类）住房改革支出（款）住房公积金（项）</w:t>
      </w:r>
      <w:r>
        <w:rPr>
          <w:rStyle w:val="20"/>
          <w:rFonts w:eastAsia="仿宋"/>
          <w:sz w:val="32"/>
          <w:szCs w:val="32"/>
        </w:rPr>
        <w:t>:</w:t>
      </w:r>
      <w:r>
        <w:rPr>
          <w:rStyle w:val="20"/>
          <w:rFonts w:hint="eastAsia" w:eastAsia="仿宋"/>
          <w:b w:val="0"/>
          <w:bCs/>
          <w:sz w:val="32"/>
          <w:szCs w:val="32"/>
        </w:rPr>
        <w:t>支出决算为7.1万元，完成预算100</w:t>
      </w:r>
      <w:r>
        <w:rPr>
          <w:rStyle w:val="20"/>
          <w:rFonts w:eastAsia="仿宋"/>
          <w:b w:val="0"/>
          <w:bCs/>
          <w:sz w:val="32"/>
          <w:szCs w:val="32"/>
        </w:rPr>
        <w:t>%</w:t>
      </w:r>
      <w:r>
        <w:rPr>
          <w:rStyle w:val="20"/>
          <w:rFonts w:hint="eastAsia" w:eastAsia="仿宋"/>
          <w:b w:val="0"/>
          <w:bCs/>
          <w:sz w:val="32"/>
          <w:szCs w:val="32"/>
        </w:rPr>
        <w:t>，决算等于预算数。</w:t>
      </w:r>
    </w:p>
    <w:p w14:paraId="196571AB">
      <w:pPr>
        <w:spacing w:line="600" w:lineRule="exact"/>
        <w:ind w:firstLine="640"/>
        <w:rPr>
          <w:rFonts w:eastAsia="仿宋_GB2312" w:cs="仿宋_GB2312"/>
          <w:sz w:val="32"/>
          <w:szCs w:val="32"/>
        </w:rPr>
      </w:pPr>
    </w:p>
    <w:p w14:paraId="70B0DCD6">
      <w:pPr>
        <w:tabs>
          <w:tab w:val="right" w:pos="8306"/>
        </w:tabs>
        <w:spacing w:line="600" w:lineRule="exact"/>
        <w:ind w:firstLine="640"/>
        <w:outlineLvl w:val="1"/>
        <w:rPr>
          <w:rStyle w:val="31"/>
          <w:rFonts w:ascii="Times New Roman" w:hAnsi="Times New Roman"/>
        </w:rPr>
      </w:pPr>
      <w:bookmarkStart w:id="34" w:name="_Toc15377214"/>
      <w:bookmarkStart w:id="35" w:name="_Toc15396608"/>
      <w:r>
        <w:rPr>
          <w:rFonts w:hint="eastAsia" w:eastAsia="黑体"/>
          <w:sz w:val="32"/>
          <w:szCs w:val="32"/>
        </w:rPr>
        <w:t>六</w:t>
      </w:r>
      <w:r>
        <w:rPr>
          <w:rFonts w:hint="eastAsia" w:eastAsia="黑体"/>
          <w:b/>
          <w:sz w:val="32"/>
          <w:szCs w:val="32"/>
        </w:rPr>
        <w:t>、一</w:t>
      </w:r>
      <w:r>
        <w:rPr>
          <w:rStyle w:val="31"/>
          <w:rFonts w:hint="eastAsia" w:ascii="Times New Roman" w:hAnsi="Times New Roman" w:eastAsia="黑体"/>
          <w:b w:val="0"/>
        </w:rPr>
        <w:t>般公共预算财政拨款基本支出决算情况说明</w:t>
      </w:r>
      <w:bookmarkEnd w:id="34"/>
      <w:bookmarkEnd w:id="35"/>
      <w:r>
        <w:rPr>
          <w:rStyle w:val="31"/>
          <w:rFonts w:ascii="Times New Roman" w:hAnsi="Times New Roman" w:eastAsia="黑体"/>
          <w:b w:val="0"/>
        </w:rPr>
        <w:tab/>
      </w:r>
    </w:p>
    <w:p w14:paraId="12C45517">
      <w:pPr>
        <w:spacing w:line="600" w:lineRule="exact"/>
        <w:ind w:firstLine="640"/>
        <w:rPr>
          <w:rFonts w:eastAsia="仿宋_GB2312" w:cs="仿宋_GB2312"/>
          <w:sz w:val="32"/>
          <w:szCs w:val="32"/>
        </w:rPr>
      </w:pPr>
      <w:r>
        <w:rPr>
          <w:rFonts w:hint="eastAsia" w:eastAsia="仿宋_GB2312" w:cs="仿宋_GB2312"/>
          <w:sz w:val="32"/>
          <w:szCs w:val="32"/>
        </w:rPr>
        <w:t>2024年度一般公共预算财政拨款基本支出</w:t>
      </w:r>
      <w:r>
        <w:rPr>
          <w:rFonts w:hint="eastAsia" w:ascii="仿宋_GB2312" w:hAnsi="仿宋_GB2312" w:eastAsia="仿宋_GB2312" w:cs="仿宋_GB2312"/>
          <w:sz w:val="32"/>
          <w:szCs w:val="32"/>
        </w:rPr>
        <w:t>81.71万</w:t>
      </w:r>
      <w:r>
        <w:rPr>
          <w:rFonts w:hint="eastAsia" w:eastAsia="仿宋_GB2312" w:cs="仿宋_GB2312"/>
          <w:sz w:val="32"/>
          <w:szCs w:val="32"/>
        </w:rPr>
        <w:t>元，其中：</w:t>
      </w:r>
    </w:p>
    <w:p w14:paraId="19FFC42C">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hint="eastAsia" w:ascii="仿宋_GB2312" w:hAnsi="仿宋_GB2312" w:eastAsia="仿宋_GB2312" w:cs="仿宋_GB2312"/>
          <w:sz w:val="32"/>
          <w:szCs w:val="32"/>
        </w:rPr>
        <w:t>75.33万</w:t>
      </w:r>
      <w:r>
        <w:rPr>
          <w:rFonts w:hint="eastAsia" w:eastAsia="仿宋_GB2312" w:cs="仿宋_GB2312"/>
          <w:sz w:val="32"/>
          <w:szCs w:val="32"/>
        </w:rPr>
        <w:t>元，</w:t>
      </w:r>
      <w:r>
        <w:rPr>
          <w:rFonts w:hint="eastAsia" w:ascii="仿宋" w:hAnsi="仿宋" w:eastAsia="仿宋"/>
          <w:sz w:val="32"/>
          <w:szCs w:val="32"/>
        </w:rPr>
        <w:t>主要包括：基本工资、津贴补贴、绩效工资、机关事业单位基本养老保险缴费、职业年金缴费、其他社会保障缴费、住房公积金、职工基本医疗保险缴费等。</w:t>
      </w:r>
      <w:r>
        <w:rPr>
          <w:rFonts w:ascii="仿宋" w:hAnsi="仿宋" w:eastAsia="仿宋"/>
          <w:sz w:val="32"/>
          <w:szCs w:val="32"/>
        </w:rPr>
        <w:br w:type="textWrapping"/>
      </w:r>
      <w:r>
        <w:rPr>
          <w:rFonts w:hint="eastAsia" w:eastAsia="仿宋_GB2312" w:cs="仿宋_GB2312"/>
          <w:sz w:val="32"/>
          <w:szCs w:val="32"/>
        </w:rPr>
        <w:t>　　公用经费</w:t>
      </w:r>
      <w:r>
        <w:rPr>
          <w:rFonts w:hint="eastAsia" w:ascii="仿宋_GB2312" w:hAnsi="仿宋_GB2312" w:eastAsia="仿宋_GB2312" w:cs="仿宋_GB2312"/>
          <w:sz w:val="32"/>
          <w:szCs w:val="32"/>
        </w:rPr>
        <w:t>6.37万</w:t>
      </w:r>
      <w:r>
        <w:rPr>
          <w:rFonts w:hint="eastAsia" w:eastAsia="仿宋_GB2312" w:cs="仿宋_GB2312"/>
          <w:sz w:val="32"/>
          <w:szCs w:val="32"/>
        </w:rPr>
        <w:t>元，</w:t>
      </w:r>
      <w:r>
        <w:rPr>
          <w:rFonts w:hint="eastAsia" w:ascii="仿宋" w:hAnsi="仿宋" w:eastAsia="仿宋"/>
          <w:sz w:val="32"/>
          <w:szCs w:val="32"/>
        </w:rPr>
        <w:t>主要包括：办公费、邮电费、差旅费、公务接待费、工会经费、福利费等。</w:t>
      </w:r>
    </w:p>
    <w:p w14:paraId="439FD6B4">
      <w:pPr>
        <w:spacing w:line="600" w:lineRule="exact"/>
        <w:ind w:firstLine="640"/>
        <w:outlineLvl w:val="1"/>
        <w:rPr>
          <w:rStyle w:val="31"/>
          <w:rFonts w:ascii="Times New Roman" w:hAnsi="Times New Roman" w:eastAsia="黑体"/>
          <w:b w:val="0"/>
        </w:rPr>
      </w:pPr>
      <w:bookmarkStart w:id="36" w:name="_Toc15377215"/>
      <w:bookmarkStart w:id="37" w:name="_Toc15396609"/>
      <w:r>
        <w:rPr>
          <w:rFonts w:hint="eastAsia" w:eastAsia="黑体"/>
          <w:sz w:val="32"/>
          <w:szCs w:val="32"/>
        </w:rPr>
        <w:t>七、</w:t>
      </w:r>
      <w:r>
        <w:rPr>
          <w:rStyle w:val="31"/>
          <w:rFonts w:hint="eastAsia" w:ascii="Times New Roman" w:hAnsi="Times New Roman" w:eastAsia="黑体"/>
          <w:b w:val="0"/>
        </w:rPr>
        <w:t>财政拨款</w:t>
      </w:r>
      <w:r>
        <w:rPr>
          <w:rStyle w:val="31"/>
          <w:rFonts w:hint="eastAsia" w:ascii="Times New Roman" w:hAnsi="Times New Roman" w:eastAsia="黑体"/>
        </w:rPr>
        <w:t>“</w:t>
      </w:r>
      <w:r>
        <w:rPr>
          <w:rStyle w:val="31"/>
          <w:rFonts w:hint="eastAsia" w:ascii="Times New Roman" w:hAnsi="Times New Roman" w:eastAsia="黑体"/>
          <w:b w:val="0"/>
        </w:rPr>
        <w:t>三公”经费支出决算情况说明</w:t>
      </w:r>
      <w:bookmarkEnd w:id="36"/>
      <w:bookmarkEnd w:id="37"/>
    </w:p>
    <w:p w14:paraId="049240A0">
      <w:pPr>
        <w:spacing w:line="600" w:lineRule="exact"/>
        <w:ind w:firstLine="643" w:firstLineChars="200"/>
        <w:outlineLvl w:val="2"/>
        <w:rPr>
          <w:rFonts w:eastAsia="楷体_GB2312" w:cs="楷体_GB2312"/>
          <w:b/>
          <w:sz w:val="32"/>
          <w:szCs w:val="32"/>
        </w:rPr>
      </w:pPr>
      <w:bookmarkStart w:id="38" w:name="_Toc15377216"/>
      <w:r>
        <w:rPr>
          <w:rFonts w:hint="eastAsia" w:eastAsia="楷体_GB2312" w:cs="楷体_GB2312"/>
          <w:b/>
          <w:sz w:val="32"/>
          <w:szCs w:val="32"/>
        </w:rPr>
        <w:t>（一）“三公”经费财政拨款支出决算总体情况说明</w:t>
      </w:r>
      <w:bookmarkEnd w:id="38"/>
    </w:p>
    <w:p w14:paraId="11966846">
      <w:pPr>
        <w:spacing w:line="600" w:lineRule="exact"/>
        <w:ind w:firstLine="640"/>
        <w:rPr>
          <w:rFonts w:eastAsia="仿宋_GB2312" w:cs="仿宋_GB2312"/>
          <w:b/>
          <w:bCs/>
          <w:sz w:val="32"/>
          <w:szCs w:val="32"/>
        </w:rPr>
      </w:pPr>
      <w:r>
        <w:rPr>
          <w:rFonts w:hint="eastAsia" w:eastAsia="仿宋_GB2312" w:cs="仿宋_GB2312"/>
          <w:sz w:val="32"/>
          <w:szCs w:val="32"/>
        </w:rPr>
        <w:t>2024年度“三公”经费财政拨款支出决算为</w:t>
      </w:r>
      <w:r>
        <w:rPr>
          <w:rFonts w:hint="eastAsia" w:ascii="仿宋_GB2312" w:hAnsi="仿宋_GB2312" w:eastAsia="仿宋_GB2312" w:cs="仿宋_GB2312"/>
          <w:sz w:val="32"/>
          <w:szCs w:val="32"/>
        </w:rPr>
        <w:t>0.63万元，完成预算100%，</w:t>
      </w:r>
      <w:r>
        <w:rPr>
          <w:rFonts w:hint="eastAsia" w:eastAsia="仿宋_GB2312" w:cs="仿宋_GB2312"/>
          <w:sz w:val="32"/>
          <w:szCs w:val="32"/>
        </w:rPr>
        <w:t>较上年度减少0.06万元，下降8%。决算数与预算数持平。</w:t>
      </w:r>
    </w:p>
    <w:p w14:paraId="022232E7">
      <w:pPr>
        <w:spacing w:line="600" w:lineRule="exact"/>
        <w:ind w:firstLine="643" w:firstLineChars="200"/>
        <w:outlineLvl w:val="2"/>
        <w:rPr>
          <w:rFonts w:eastAsia="楷体_GB2312" w:cs="楷体_GB2312"/>
          <w:b/>
          <w:sz w:val="32"/>
          <w:szCs w:val="32"/>
        </w:rPr>
      </w:pPr>
      <w:bookmarkStart w:id="39" w:name="_Toc15377217"/>
      <w:r>
        <w:rPr>
          <w:rFonts w:hint="eastAsia" w:eastAsia="楷体_GB2312" w:cs="楷体_GB2312"/>
          <w:b/>
          <w:sz w:val="32"/>
          <w:szCs w:val="32"/>
        </w:rPr>
        <w:t>（二）“三公”经费财政拨款支出决算具体情况说明</w:t>
      </w:r>
      <w:bookmarkEnd w:id="39"/>
    </w:p>
    <w:p w14:paraId="7C67C4C0">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2024年度“三公”经费财政拨款支出决算中，因公出国（境）费支出决算0万元，占0%；公务用车购置及运行维护费支出决算0万元，占0%；公务接待费支出决算0.63万元，占100%。具体情况如下：</w:t>
      </w:r>
    </w:p>
    <w:p w14:paraId="03ED714B">
      <w:pPr>
        <w:pStyle w:val="17"/>
        <w:rPr>
          <w:rFonts w:ascii="仿宋_GB2312" w:hAnsi="仿宋_GB2312" w:eastAsia="仿宋_GB2312" w:cs="仿宋_GB2312"/>
          <w:sz w:val="32"/>
          <w:szCs w:val="32"/>
        </w:rPr>
      </w:pPr>
    </w:p>
    <w:p w14:paraId="5D2C88E9">
      <w:pPr>
        <w:pStyle w:val="17"/>
        <w:rPr>
          <w:rFonts w:ascii="仿宋_GB2312" w:hAnsi="仿宋_GB2312" w:eastAsia="仿宋_GB2312" w:cs="仿宋_GB2312"/>
          <w:sz w:val="32"/>
          <w:szCs w:val="32"/>
        </w:rPr>
      </w:pPr>
      <w:r>
        <w:drawing>
          <wp:inline distT="0" distB="0" distL="114300" distR="114300">
            <wp:extent cx="5038725" cy="2562225"/>
            <wp:effectExtent l="4445" t="4445" r="5080" b="5080"/>
            <wp:docPr id="3584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FFD53ED">
      <w:pPr>
        <w:spacing w:line="600" w:lineRule="exact"/>
        <w:ind w:firstLine="640"/>
        <w:rPr>
          <w:rFonts w:eastAsia="仿宋_GB2312" w:cs="仿宋_GB2312"/>
          <w:sz w:val="32"/>
          <w:szCs w:val="32"/>
        </w:rPr>
      </w:pPr>
      <w:r>
        <w:rPr>
          <w:rFonts w:hint="eastAsia" w:eastAsia="仿宋_GB2312" w:cs="仿宋_GB2312"/>
          <w:sz w:val="32"/>
          <w:szCs w:val="32"/>
        </w:rPr>
        <w:t>（图7：“三公”经费财政拨款支出结构）（饼状图）</w:t>
      </w:r>
    </w:p>
    <w:p w14:paraId="2DAB9CC9">
      <w:pPr>
        <w:numPr>
          <w:ilvl w:val="0"/>
          <w:numId w:val="2"/>
        </w:numPr>
        <w:spacing w:line="600" w:lineRule="exact"/>
        <w:ind w:firstLine="640"/>
        <w:rPr>
          <w:rFonts w:eastAsia="仿宋_GB2312" w:cs="仿宋_GB2312"/>
          <w:sz w:val="32"/>
          <w:szCs w:val="32"/>
        </w:rPr>
      </w:pPr>
      <w:r>
        <w:rPr>
          <w:rFonts w:hint="eastAsia" w:eastAsia="仿宋_GB2312" w:cs="仿宋_GB2312"/>
          <w:b/>
          <w:bCs/>
          <w:sz w:val="32"/>
          <w:szCs w:val="32"/>
        </w:rPr>
        <w:t>因公出国（境）经费支出0万元，完成预算0%。</w:t>
      </w:r>
      <w:r>
        <w:rPr>
          <w:rFonts w:hint="eastAsia" w:eastAsia="仿宋_GB2312" w:cs="仿宋_GB2312"/>
          <w:sz w:val="32"/>
          <w:szCs w:val="32"/>
        </w:rPr>
        <w:t>全年安排因公出国（境）团</w:t>
      </w:r>
      <w:r>
        <w:rPr>
          <w:rFonts w:hint="eastAsia" w:ascii="仿宋_GB2312" w:hAnsi="仿宋_GB2312" w:eastAsia="仿宋_GB2312" w:cs="仿宋_GB2312"/>
          <w:sz w:val="32"/>
          <w:szCs w:val="32"/>
        </w:rPr>
        <w:t>组0</w:t>
      </w:r>
      <w:r>
        <w:rPr>
          <w:rFonts w:hint="eastAsia" w:eastAsia="仿宋_GB2312" w:cs="仿宋_GB2312"/>
          <w:sz w:val="32"/>
          <w:szCs w:val="32"/>
        </w:rPr>
        <w:t>次，出国（境）</w:t>
      </w:r>
      <w:r>
        <w:rPr>
          <w:rFonts w:hint="eastAsia" w:ascii="仿宋_GB2312" w:hAnsi="仿宋_GB2312" w:eastAsia="仿宋_GB2312" w:cs="仿宋_GB2312"/>
          <w:sz w:val="32"/>
          <w:szCs w:val="32"/>
        </w:rPr>
        <w:t>0人</w:t>
      </w:r>
      <w:r>
        <w:rPr>
          <w:rFonts w:hint="eastAsia" w:eastAsia="仿宋_GB2312" w:cs="仿宋_GB2312"/>
          <w:sz w:val="32"/>
          <w:szCs w:val="32"/>
        </w:rPr>
        <w:t>。</w:t>
      </w:r>
    </w:p>
    <w:p w14:paraId="176FEF5B">
      <w:pPr>
        <w:numPr>
          <w:ilvl w:val="0"/>
          <w:numId w:val="2"/>
        </w:numPr>
        <w:spacing w:line="600" w:lineRule="exact"/>
        <w:ind w:firstLine="640"/>
        <w:rPr>
          <w:rFonts w:eastAsia="仿宋_GB2312" w:cs="仿宋_GB2312"/>
          <w:sz w:val="32"/>
          <w:szCs w:val="32"/>
        </w:rPr>
      </w:pPr>
      <w:r>
        <w:rPr>
          <w:rFonts w:hint="eastAsia" w:eastAsia="仿宋_GB2312" w:cs="仿宋_GB2312"/>
          <w:b/>
          <w:bCs/>
          <w:sz w:val="32"/>
          <w:szCs w:val="32"/>
        </w:rPr>
        <w:t>公务用车购置及运行维护费支出</w:t>
      </w:r>
      <w:r>
        <w:rPr>
          <w:rFonts w:hint="eastAsia" w:ascii="仿宋_GB2312" w:hAnsi="仿宋_GB2312" w:eastAsia="仿宋_GB2312" w:cs="仿宋_GB2312"/>
          <w:b/>
          <w:bCs/>
          <w:sz w:val="32"/>
          <w:szCs w:val="32"/>
        </w:rPr>
        <w:t>0万</w:t>
      </w:r>
      <w:r>
        <w:rPr>
          <w:rFonts w:hint="eastAsia" w:eastAsia="仿宋_GB2312" w:cs="仿宋_GB2312"/>
          <w:b/>
          <w:bCs/>
          <w:sz w:val="32"/>
          <w:szCs w:val="32"/>
        </w:rPr>
        <w:t>元，完成预算0%。</w:t>
      </w:r>
    </w:p>
    <w:p w14:paraId="5FB24D0D">
      <w:pPr>
        <w:spacing w:line="600" w:lineRule="exact"/>
        <w:ind w:firstLine="640" w:firstLineChars="200"/>
        <w:rPr>
          <w:rFonts w:ascii="仿宋_GB2312" w:eastAsia="仿宋_GB2312"/>
          <w:b/>
          <w:sz w:val="32"/>
          <w:szCs w:val="32"/>
        </w:rPr>
      </w:pPr>
      <w:r>
        <w:rPr>
          <w:rFonts w:hint="eastAsia" w:ascii="仿宋_GB2312" w:eastAsia="仿宋_GB2312"/>
          <w:sz w:val="32"/>
          <w:szCs w:val="32"/>
        </w:rPr>
        <w:t>其中：</w:t>
      </w:r>
      <w:r>
        <w:rPr>
          <w:rFonts w:hint="eastAsia" w:ascii="仿宋_GB2312" w:eastAsia="仿宋_GB2312"/>
          <w:b/>
          <w:sz w:val="32"/>
          <w:szCs w:val="32"/>
        </w:rPr>
        <w:t>公务用车购置支出</w:t>
      </w:r>
      <w:r>
        <w:rPr>
          <w:sz w:val="32"/>
          <w:szCs w:val="32"/>
        </w:rPr>
        <w:t>0</w:t>
      </w:r>
      <w:r>
        <w:rPr>
          <w:rFonts w:hint="eastAsia" w:ascii="仿宋_GB2312" w:eastAsia="仿宋_GB2312"/>
          <w:sz w:val="32"/>
          <w:szCs w:val="32"/>
        </w:rPr>
        <w:t>万元。全年按规定更新购置公务用车0辆，其中：轿车0辆、金额0万元，越野车0辆、金额0万元，载客汽车0辆、金额0万元。截至2023年</w:t>
      </w:r>
      <w:r>
        <w:rPr>
          <w:rFonts w:ascii="仿宋_GB2312" w:eastAsia="仿宋_GB2312"/>
          <w:sz w:val="32"/>
          <w:szCs w:val="32"/>
        </w:rPr>
        <w:t>12</w:t>
      </w:r>
      <w:r>
        <w:rPr>
          <w:rFonts w:hint="eastAsia" w:ascii="仿宋_GB2312" w:eastAsia="仿宋_GB2312"/>
          <w:sz w:val="32"/>
          <w:szCs w:val="32"/>
        </w:rPr>
        <w:t>月31日，单位共有公务用车0辆。</w:t>
      </w:r>
    </w:p>
    <w:p w14:paraId="5A21987F">
      <w:pPr>
        <w:spacing w:line="600" w:lineRule="exact"/>
        <w:ind w:firstLine="640"/>
        <w:rPr>
          <w:rFonts w:eastAsia="仿宋_GB2312" w:cs="仿宋_GB2312"/>
          <w:sz w:val="32"/>
          <w:szCs w:val="32"/>
        </w:rPr>
      </w:pPr>
      <w:r>
        <w:rPr>
          <w:rFonts w:hint="eastAsia" w:eastAsia="仿宋_GB2312" w:cs="仿宋_GB2312"/>
          <w:sz w:val="32"/>
          <w:szCs w:val="32"/>
        </w:rPr>
        <w:t>公务用车运行维护费支</w:t>
      </w:r>
      <w:r>
        <w:rPr>
          <w:rFonts w:hint="eastAsia" w:ascii="仿宋_GB2312" w:hAnsi="仿宋_GB2312" w:eastAsia="仿宋_GB2312" w:cs="仿宋_GB2312"/>
          <w:sz w:val="32"/>
          <w:szCs w:val="32"/>
        </w:rPr>
        <w:t>出0</w:t>
      </w:r>
      <w:r>
        <w:rPr>
          <w:rFonts w:hint="eastAsia" w:eastAsia="仿宋_GB2312" w:cs="仿宋_GB2312"/>
          <w:sz w:val="32"/>
          <w:szCs w:val="32"/>
        </w:rPr>
        <w:t>万元。</w:t>
      </w:r>
    </w:p>
    <w:p w14:paraId="315BDA15">
      <w:pPr>
        <w:numPr>
          <w:ilvl w:val="0"/>
          <w:numId w:val="2"/>
        </w:numPr>
        <w:spacing w:line="600" w:lineRule="exact"/>
        <w:ind w:firstLine="640"/>
        <w:rPr>
          <w:rFonts w:eastAsia="仿宋_GB2312" w:cs="仿宋_GB2312"/>
          <w:sz w:val="32"/>
          <w:szCs w:val="32"/>
        </w:rPr>
      </w:pPr>
      <w:r>
        <w:rPr>
          <w:rFonts w:hint="eastAsia" w:eastAsia="仿宋_GB2312" w:cs="仿宋_GB2312"/>
          <w:b/>
          <w:bCs/>
          <w:sz w:val="32"/>
          <w:szCs w:val="32"/>
        </w:rPr>
        <w:t>公务接待费支出</w:t>
      </w:r>
      <w:r>
        <w:rPr>
          <w:rFonts w:hint="eastAsia" w:ascii="仿宋_GB2312" w:hAnsi="仿宋_GB2312" w:eastAsia="仿宋_GB2312" w:cs="仿宋_GB2312"/>
          <w:b/>
          <w:bCs/>
          <w:sz w:val="32"/>
          <w:szCs w:val="32"/>
        </w:rPr>
        <w:t>0.63万</w:t>
      </w:r>
      <w:r>
        <w:rPr>
          <w:rFonts w:hint="eastAsia" w:eastAsia="仿宋_GB2312" w:cs="仿宋_GB2312"/>
          <w:b/>
          <w:bCs/>
          <w:sz w:val="32"/>
          <w:szCs w:val="32"/>
        </w:rPr>
        <w:t>元，完成预算100%。</w:t>
      </w:r>
      <w:r>
        <w:rPr>
          <w:rFonts w:hint="eastAsia" w:eastAsia="仿宋_GB2312" w:cs="仿宋_GB2312"/>
          <w:sz w:val="32"/>
          <w:szCs w:val="32"/>
        </w:rPr>
        <w:t>公务接待费支出决算比2023年度减少0.06万元，下降8%。主要原因是例行节约</w:t>
      </w:r>
    </w:p>
    <w:p w14:paraId="0DDABDC3">
      <w:pPr>
        <w:spacing w:line="600" w:lineRule="exact"/>
        <w:ind w:firstLine="640"/>
        <w:rPr>
          <w:rFonts w:eastAsia="仿宋_GB2312" w:cs="仿宋_GB2312"/>
          <w:sz w:val="32"/>
          <w:szCs w:val="32"/>
        </w:rPr>
      </w:pPr>
      <w:r>
        <w:rPr>
          <w:rFonts w:hint="eastAsia" w:eastAsia="仿宋_GB2312" w:cs="仿宋_GB2312"/>
          <w:sz w:val="32"/>
          <w:szCs w:val="32"/>
        </w:rPr>
        <w:t>国内公务接待支</w:t>
      </w:r>
      <w:r>
        <w:rPr>
          <w:rFonts w:hint="eastAsia" w:ascii="仿宋_GB2312" w:hAnsi="仿宋_GB2312" w:eastAsia="仿宋_GB2312" w:cs="仿宋_GB2312"/>
          <w:sz w:val="32"/>
          <w:szCs w:val="32"/>
        </w:rPr>
        <w:t>出0.63万</w:t>
      </w:r>
      <w:r>
        <w:rPr>
          <w:rFonts w:hint="eastAsia" w:eastAsia="仿宋_GB2312" w:cs="仿宋_GB2312"/>
          <w:sz w:val="32"/>
          <w:szCs w:val="32"/>
        </w:rPr>
        <w:t>元，</w:t>
      </w:r>
      <w:r>
        <w:rPr>
          <w:rFonts w:hint="eastAsia" w:ascii="仿宋_GB2312" w:eastAsia="仿宋_GB2312"/>
          <w:sz w:val="32"/>
          <w:szCs w:val="32"/>
        </w:rPr>
        <w:t>主要用于省、</w:t>
      </w:r>
      <w:r>
        <w:rPr>
          <w:rFonts w:hint="eastAsia" w:eastAsia="仿宋_GB2312"/>
          <w:sz w:val="32"/>
          <w:szCs w:val="32"/>
        </w:rPr>
        <w:t>市领导到沐川指导红十字工作用餐费等</w:t>
      </w:r>
      <w:r>
        <w:rPr>
          <w:rFonts w:hint="eastAsia" w:ascii="仿宋_GB2312" w:eastAsia="仿宋_GB2312"/>
          <w:sz w:val="32"/>
          <w:szCs w:val="32"/>
        </w:rPr>
        <w:t>。国内公务接待8批次，50人次（不包括陪同人员），共计支出0.63万元，具体内容包括：峨眉山市红十字会一行到沐川调研自愿服务队工作接待费1140元；金口河区红十字会一行到沐川调研红十字会工作接待费1050元；市红会到沐川检查捐赠账户接待费511元；四川孔子教育基金会到沐川开展“儒家有爱”资助项目后续走访接待费561元；省红十字会一行到沐川调研接待费1320元；市红会到沐川开展慰问接待费486元；市蓝丝带公益组织到沐川慰问接待费476元。</w:t>
      </w:r>
    </w:p>
    <w:p w14:paraId="63096AC8">
      <w:pPr>
        <w:spacing w:line="600" w:lineRule="exact"/>
        <w:ind w:firstLine="640"/>
        <w:rPr>
          <w:rFonts w:eastAsia="仿宋_GB2312" w:cs="仿宋_GB2312"/>
          <w:sz w:val="32"/>
          <w:szCs w:val="32"/>
        </w:rPr>
      </w:pPr>
      <w:r>
        <w:rPr>
          <w:rFonts w:hint="eastAsia" w:eastAsia="仿宋_GB2312" w:cs="仿宋_GB2312"/>
          <w:sz w:val="32"/>
          <w:szCs w:val="32"/>
        </w:rPr>
        <w:t>外事接待支</w:t>
      </w:r>
      <w:r>
        <w:rPr>
          <w:rFonts w:hint="eastAsia" w:ascii="仿宋_GB2312" w:hAnsi="仿宋_GB2312" w:eastAsia="仿宋_GB2312" w:cs="仿宋_GB2312"/>
          <w:sz w:val="32"/>
          <w:szCs w:val="32"/>
        </w:rPr>
        <w:t>出0万元</w:t>
      </w:r>
      <w:r>
        <w:rPr>
          <w:rFonts w:hint="eastAsia" w:eastAsia="仿宋_GB2312" w:cs="仿宋_GB2312"/>
          <w:sz w:val="32"/>
          <w:szCs w:val="32"/>
        </w:rPr>
        <w:t>。</w:t>
      </w:r>
    </w:p>
    <w:p w14:paraId="269B86C4">
      <w:pPr>
        <w:spacing w:line="600" w:lineRule="exact"/>
        <w:ind w:firstLine="640"/>
        <w:rPr>
          <w:rFonts w:eastAsia="仿宋_GB2312" w:cs="仿宋_GB2312"/>
          <w:sz w:val="32"/>
          <w:szCs w:val="32"/>
        </w:rPr>
      </w:pPr>
      <w:bookmarkStart w:id="40" w:name="_Toc15396610"/>
      <w:bookmarkStart w:id="41" w:name="_Toc15377218"/>
    </w:p>
    <w:p w14:paraId="296A1F20">
      <w:pPr>
        <w:spacing w:line="600" w:lineRule="exact"/>
        <w:ind w:firstLine="640"/>
        <w:outlineLvl w:val="1"/>
        <w:rPr>
          <w:rStyle w:val="31"/>
          <w:rFonts w:ascii="Times New Roman" w:hAnsi="Times New Roman" w:eastAsia="黑体"/>
        </w:rPr>
      </w:pPr>
      <w:r>
        <w:rPr>
          <w:rFonts w:hint="eastAsia" w:eastAsia="黑体"/>
          <w:sz w:val="32"/>
          <w:szCs w:val="32"/>
        </w:rPr>
        <w:t>八、</w:t>
      </w:r>
      <w:r>
        <w:rPr>
          <w:rStyle w:val="31"/>
          <w:rFonts w:hint="eastAsia" w:ascii="Times New Roman" w:hAnsi="Times New Roman" w:eastAsia="黑体"/>
          <w:b w:val="0"/>
        </w:rPr>
        <w:t>政府性基金预算支出决算情况说明</w:t>
      </w:r>
      <w:bookmarkEnd w:id="40"/>
      <w:bookmarkEnd w:id="41"/>
    </w:p>
    <w:p w14:paraId="6AC4AF70">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2024年度政府性基金预算财政拨款支出0万元，占本年支出合计的0%</w:t>
      </w:r>
      <w:r>
        <w:rPr>
          <w:rFonts w:hint="eastAsia" w:eastAsia="仿宋_GB2312" w:cs="仿宋_GB2312"/>
          <w:sz w:val="32"/>
          <w:szCs w:val="32"/>
        </w:rPr>
        <w:t>。</w:t>
      </w:r>
    </w:p>
    <w:p w14:paraId="10AD9C64">
      <w:pPr>
        <w:spacing w:line="600" w:lineRule="exact"/>
        <w:ind w:left="630"/>
        <w:outlineLvl w:val="1"/>
        <w:rPr>
          <w:rStyle w:val="31"/>
          <w:rFonts w:ascii="Times New Roman" w:hAnsi="Times New Roman" w:eastAsia="黑体"/>
          <w:b w:val="0"/>
        </w:rPr>
      </w:pPr>
      <w:bookmarkStart w:id="42" w:name="_Toc15396611"/>
      <w:bookmarkStart w:id="43" w:name="_Toc15377219"/>
      <w:r>
        <w:rPr>
          <w:rStyle w:val="31"/>
          <w:rFonts w:hint="eastAsia" w:ascii="Times New Roman" w:hAnsi="Times New Roman" w:eastAsia="黑体"/>
          <w:b w:val="0"/>
        </w:rPr>
        <w:t>九、国有资本经营预算支出决算情况说明</w:t>
      </w:r>
      <w:bookmarkEnd w:id="42"/>
      <w:bookmarkEnd w:id="43"/>
    </w:p>
    <w:p w14:paraId="261100FA">
      <w:pPr>
        <w:spacing w:line="600" w:lineRule="exact"/>
        <w:ind w:firstLine="640"/>
        <w:rPr>
          <w:rFonts w:eastAsia="仿宋_GB2312" w:cs="仿宋_GB2312"/>
          <w:sz w:val="32"/>
          <w:szCs w:val="32"/>
        </w:rPr>
      </w:pPr>
      <w:r>
        <w:rPr>
          <w:rFonts w:hint="eastAsia" w:eastAsia="仿宋_GB2312" w:cs="仿宋_GB2312"/>
          <w:sz w:val="32"/>
          <w:szCs w:val="32"/>
        </w:rPr>
        <w:t>2024年度国有资本经营预算财政拨款支出</w:t>
      </w:r>
      <w:r>
        <w:rPr>
          <w:rFonts w:hint="eastAsia" w:ascii="仿宋_GB2312" w:hAnsi="仿宋_GB2312" w:eastAsia="仿宋_GB2312" w:cs="仿宋_GB2312"/>
          <w:sz w:val="32"/>
          <w:szCs w:val="32"/>
        </w:rPr>
        <w:t>0万元，占本年支出合计的0%</w:t>
      </w:r>
      <w:r>
        <w:rPr>
          <w:rFonts w:hint="eastAsia" w:eastAsia="仿宋_GB2312" w:cs="仿宋_GB2312"/>
          <w:sz w:val="32"/>
          <w:szCs w:val="32"/>
        </w:rPr>
        <w:t>。</w:t>
      </w:r>
    </w:p>
    <w:p w14:paraId="0642F8E1">
      <w:pPr>
        <w:spacing w:line="600" w:lineRule="exact"/>
        <w:ind w:left="630"/>
        <w:outlineLvl w:val="1"/>
        <w:rPr>
          <w:rStyle w:val="31"/>
          <w:rFonts w:ascii="Times New Roman" w:hAnsi="Times New Roman" w:eastAsia="黑体"/>
          <w:b w:val="0"/>
        </w:rPr>
      </w:pPr>
      <w:bookmarkStart w:id="44" w:name="_Toc15377221"/>
      <w:bookmarkStart w:id="45" w:name="_Toc15396612"/>
      <w:r>
        <w:rPr>
          <w:rStyle w:val="31"/>
          <w:rFonts w:hint="eastAsia" w:ascii="Times New Roman" w:hAnsi="Times New Roman" w:eastAsia="黑体"/>
          <w:b w:val="0"/>
        </w:rPr>
        <w:t>十、其他重要事项的情况说明</w:t>
      </w:r>
      <w:bookmarkEnd w:id="44"/>
      <w:bookmarkEnd w:id="45"/>
    </w:p>
    <w:p w14:paraId="487ADEF9">
      <w:pPr>
        <w:spacing w:line="600" w:lineRule="exact"/>
        <w:ind w:firstLine="643" w:firstLineChars="200"/>
        <w:outlineLvl w:val="2"/>
        <w:rPr>
          <w:rFonts w:eastAsia="楷体_GB2312" w:cs="楷体_GB2312"/>
          <w:b/>
          <w:sz w:val="32"/>
          <w:szCs w:val="32"/>
        </w:rPr>
      </w:pPr>
      <w:bookmarkStart w:id="46" w:name="_Toc15377222"/>
      <w:r>
        <w:rPr>
          <w:rFonts w:hint="eastAsia" w:eastAsia="楷体_GB2312" w:cs="楷体_GB2312"/>
          <w:b/>
          <w:sz w:val="32"/>
          <w:szCs w:val="32"/>
        </w:rPr>
        <w:t>（一）机关运行经费支出情况</w:t>
      </w:r>
      <w:bookmarkEnd w:id="46"/>
    </w:p>
    <w:p w14:paraId="173D5ED9">
      <w:pPr>
        <w:spacing w:line="600" w:lineRule="exact"/>
        <w:ind w:firstLine="640"/>
        <w:rPr>
          <w:rFonts w:eastAsia="仿宋_GB2312" w:cs="仿宋_GB2312"/>
          <w:sz w:val="32"/>
          <w:szCs w:val="32"/>
        </w:rPr>
      </w:pPr>
      <w:r>
        <w:rPr>
          <w:rFonts w:hint="eastAsia" w:eastAsia="仿宋_GB2312" w:cs="仿宋_GB2312"/>
          <w:sz w:val="32"/>
          <w:szCs w:val="32"/>
        </w:rPr>
        <w:t>2024年度</w:t>
      </w:r>
      <w:r>
        <w:rPr>
          <w:rFonts w:hint="eastAsia" w:ascii="仿宋_GB2312" w:hAnsi="仿宋_GB2312" w:eastAsia="仿宋_GB2312" w:cs="仿宋_GB2312"/>
          <w:sz w:val="32"/>
          <w:szCs w:val="32"/>
        </w:rPr>
        <w:t>，沐川县红十字会机关运行经费支出0万</w:t>
      </w:r>
      <w:r>
        <w:rPr>
          <w:rFonts w:hint="eastAsia" w:eastAsia="仿宋_GB2312" w:cs="仿宋_GB2312"/>
          <w:sz w:val="32"/>
          <w:szCs w:val="32"/>
        </w:rPr>
        <w:t>元。</w:t>
      </w:r>
    </w:p>
    <w:p w14:paraId="06443C6D">
      <w:pPr>
        <w:spacing w:line="600" w:lineRule="exact"/>
        <w:ind w:firstLine="643" w:firstLineChars="200"/>
        <w:outlineLvl w:val="2"/>
        <w:rPr>
          <w:rFonts w:eastAsia="楷体_GB2312" w:cs="楷体_GB2312"/>
          <w:b/>
          <w:sz w:val="32"/>
          <w:szCs w:val="32"/>
        </w:rPr>
      </w:pPr>
      <w:bookmarkStart w:id="47" w:name="_Toc15377223"/>
      <w:r>
        <w:rPr>
          <w:rFonts w:hint="eastAsia" w:eastAsia="楷体_GB2312" w:cs="楷体_GB2312"/>
          <w:b/>
          <w:sz w:val="32"/>
          <w:szCs w:val="32"/>
        </w:rPr>
        <w:t>（二）政府采购支出情况</w:t>
      </w:r>
      <w:bookmarkEnd w:id="47"/>
    </w:p>
    <w:p w14:paraId="6288C165">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2024年度，沐川县红十字会政府采购支出总额0万元。</w:t>
      </w:r>
    </w:p>
    <w:p w14:paraId="44F89F1F">
      <w:pPr>
        <w:spacing w:line="600" w:lineRule="exact"/>
        <w:ind w:firstLine="643" w:firstLineChars="200"/>
        <w:outlineLvl w:val="2"/>
        <w:rPr>
          <w:rFonts w:eastAsia="楷体_GB2312" w:cs="楷体_GB2312"/>
          <w:b/>
          <w:sz w:val="32"/>
          <w:szCs w:val="32"/>
        </w:rPr>
      </w:pPr>
      <w:bookmarkStart w:id="48" w:name="_Toc15377224"/>
      <w:r>
        <w:rPr>
          <w:rFonts w:hint="eastAsia" w:eastAsia="楷体_GB2312" w:cs="楷体_GB2312"/>
          <w:b/>
          <w:sz w:val="32"/>
          <w:szCs w:val="32"/>
        </w:rPr>
        <w:t>（三）国有资产占有使用情况</w:t>
      </w:r>
      <w:bookmarkEnd w:id="48"/>
    </w:p>
    <w:p w14:paraId="6BC5E561">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截至2024年12月31日，沐川县红十字会共有车辆0辆，其中：主要负责人用车0辆、机要通信用车0辆、应急保障用车0辆、其他用车0辆，其他用车主要是用于……。单价100万元（含）以上设备（不含车辆）0台（套）</w:t>
      </w:r>
      <w:r>
        <w:rPr>
          <w:rFonts w:hint="eastAsia" w:eastAsia="仿宋_GB2312" w:cs="仿宋_GB2312"/>
          <w:sz w:val="32"/>
          <w:szCs w:val="32"/>
        </w:rPr>
        <w:t>。</w:t>
      </w:r>
    </w:p>
    <w:p w14:paraId="264F4077">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14:paraId="1B4357B5">
      <w:pPr>
        <w:spacing w:line="600" w:lineRule="exact"/>
        <w:ind w:firstLine="640"/>
        <w:rPr>
          <w:rFonts w:eastAsia="仿宋_GB2312" w:cs="仿宋_GB2312"/>
          <w:sz w:val="32"/>
          <w:szCs w:val="32"/>
        </w:rPr>
      </w:pPr>
      <w:r>
        <w:rPr>
          <w:rFonts w:hint="eastAsia" w:eastAsia="仿宋_GB2312" w:cs="仿宋_GB2312"/>
          <w:sz w:val="32"/>
          <w:szCs w:val="32"/>
        </w:rPr>
        <w:t>根据预算绩效管理要求，沐川县红十字会在2024年度预算编制阶段，组织对灾救灾专项资金项目及红十字精神传播项目等两个个项目开展了预算事前绩效评估，对两个项目编制了绩效目标，预算执行过程中，选取两个个项目开展绩效监控。</w:t>
      </w:r>
    </w:p>
    <w:p w14:paraId="66FF1DA8">
      <w:pPr>
        <w:spacing w:line="600" w:lineRule="exact"/>
        <w:ind w:firstLine="640"/>
        <w:rPr>
          <w:rFonts w:eastAsia="仿宋_GB2312" w:cs="仿宋_GB2312"/>
          <w:sz w:val="32"/>
          <w:szCs w:val="32"/>
        </w:rPr>
      </w:pPr>
      <w:r>
        <w:rPr>
          <w:rFonts w:hint="eastAsia" w:eastAsia="仿宋_GB2312" w:cs="仿宋_GB2312"/>
          <w:sz w:val="32"/>
          <w:szCs w:val="32"/>
        </w:rPr>
        <w:t>组织对2024年度一般公共预算、政府性基金预算、国有资本经营预算、社会保险基金预算以及资本资产、债券资金等全面开展绩效自评，形成沐川县红十字会部门整体绩效自评报告、沐川县红十字会2024年备灾救灾专项资金项目等专项预算项目绩效自评报告，其中，沐川县红十字会部门整体（含部门预算项目）绩效自评得分为98.4分，绩效自评综述：我会按照要求，将部门预算收支全面纳入绩效管理，以预算资金管理为主线，从产出指标、效益指标、可持续发展能力和服务满意度等方面，全面衡量部门整体及重点项目实施效果，不断提高部门整体绩效水平。绩效评价坚持实事求是，围绕主责主业，实现政策和项目绩效自评全覆盖；沐川县红十字会专项预算项目绩效自评得分为98分，绩效自评综述</w:t>
      </w:r>
      <w:r>
        <w:rPr>
          <w:rFonts w:hint="eastAsia" w:ascii="仿宋_GB2312" w:eastAsia="仿宋_GB2312" w:cs="仿宋_GB2312"/>
          <w:kern w:val="0"/>
          <w:sz w:val="32"/>
          <w:szCs w:val="32"/>
        </w:rPr>
        <w:t>总体而言，项目决策较科学合理、项目管理较规范到位、项目完成质量较高、运行保障有力、项目效益较明显</w:t>
      </w:r>
      <w:r>
        <w:rPr>
          <w:rFonts w:hint="eastAsia" w:eastAsia="仿宋_GB2312" w:cs="仿宋_GB2312"/>
          <w:sz w:val="32"/>
          <w:szCs w:val="32"/>
        </w:rPr>
        <w:t>。绩效自评报告详见附件。</w:t>
      </w:r>
    </w:p>
    <w:p w14:paraId="09E9825D">
      <w:pPr>
        <w:spacing w:line="600" w:lineRule="exact"/>
        <w:rPr>
          <w:rFonts w:eastAsia="仿宋_GB2312" w:cs="仿宋_GB2312"/>
          <w:sz w:val="32"/>
          <w:szCs w:val="32"/>
        </w:rPr>
      </w:pPr>
    </w:p>
    <w:p w14:paraId="4ACFD995">
      <w:pPr>
        <w:spacing w:line="600" w:lineRule="exact"/>
        <w:jc w:val="center"/>
        <w:outlineLvl w:val="0"/>
        <w:rPr>
          <w:rFonts w:eastAsia="黑体"/>
          <w:sz w:val="44"/>
          <w:szCs w:val="44"/>
        </w:rPr>
      </w:pPr>
      <w:bookmarkStart w:id="49" w:name="_Toc15396613"/>
      <w:bookmarkStart w:id="50" w:name="_Toc15377225"/>
      <w:r>
        <w:rPr>
          <w:rFonts w:hint="eastAsia" w:eastAsia="黑体"/>
          <w:sz w:val="44"/>
          <w:szCs w:val="44"/>
        </w:rPr>
        <w:t>第三部分  名词解释</w:t>
      </w:r>
      <w:bookmarkEnd w:id="49"/>
      <w:bookmarkEnd w:id="50"/>
    </w:p>
    <w:p w14:paraId="61993B63">
      <w:pPr>
        <w:spacing w:line="600" w:lineRule="exact"/>
        <w:jc w:val="left"/>
        <w:rPr>
          <w:b/>
          <w:sz w:val="44"/>
          <w:szCs w:val="44"/>
        </w:rPr>
      </w:pPr>
    </w:p>
    <w:p w14:paraId="61EA5CC7">
      <w:pPr>
        <w:pStyle w:val="28"/>
        <w:spacing w:line="60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1.财政拨款收支情况：</w:t>
      </w:r>
      <w:r>
        <w:rPr>
          <w:rFonts w:ascii="Times New Roman" w:hAnsi="Times New Roman" w:eastAsia="仿宋_GB2312"/>
          <w:color w:val="auto"/>
          <w:sz w:val="32"/>
          <w:szCs w:val="32"/>
        </w:rPr>
        <w:t>是指</w:t>
      </w:r>
      <w:r>
        <w:rPr>
          <w:rFonts w:hint="eastAsia" w:ascii="Times New Roman" w:hAnsi="Times New Roman" w:eastAsia="仿宋_GB2312"/>
          <w:color w:val="auto"/>
          <w:sz w:val="32"/>
          <w:szCs w:val="32"/>
        </w:rPr>
        <w:t>一般公共预算、政府性基金预算、国有资本经营预算拨款收支情况。</w:t>
      </w:r>
    </w:p>
    <w:p w14:paraId="335943BF">
      <w:pPr>
        <w:pStyle w:val="28"/>
        <w:spacing w:line="60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2.一般公共预算拨款收入：指县级财政当年拨付的资金。</w:t>
      </w:r>
    </w:p>
    <w:p w14:paraId="14F755EE">
      <w:pPr>
        <w:pStyle w:val="28"/>
        <w:spacing w:line="60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3.事业收入：指事业单位开展专业业务活动及辅助活动所取得的收入。</w:t>
      </w:r>
    </w:p>
    <w:p w14:paraId="191E6E4D">
      <w:pPr>
        <w:pStyle w:val="28"/>
        <w:spacing w:line="60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4.事业单位经营收入：指事业单位在专业业务活动及其辅助活动之外开展非独立核算经营活动取得的收入。</w:t>
      </w:r>
    </w:p>
    <w:p w14:paraId="2FAC663B">
      <w:pPr>
        <w:pStyle w:val="28"/>
        <w:spacing w:line="60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5.上年结转：指以前年度尚未完成，结转到本年仍按原规定用途继续使用的资金。</w:t>
      </w:r>
    </w:p>
    <w:p w14:paraId="094B4E90">
      <w:pPr>
        <w:pStyle w:val="28"/>
        <w:spacing w:line="60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6. 社会保障和就业（类）红十字事业（款）其他红十字事业支出（项）：指红十字会用于保障机构正常运转的基本支出。</w:t>
      </w:r>
      <w:r>
        <w:rPr>
          <w:rFonts w:ascii="Times New Roman" w:hAnsi="Times New Roman" w:eastAsia="仿宋_GB2312"/>
          <w:color w:val="auto"/>
          <w:sz w:val="32"/>
          <w:szCs w:val="32"/>
        </w:rPr>
        <w:t xml:space="preserve"> </w:t>
      </w:r>
    </w:p>
    <w:p w14:paraId="7EF1E113">
      <w:pPr>
        <w:pStyle w:val="28"/>
        <w:spacing w:line="60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7.社会保障和就业支出（类）行政事业单位养老支出（款）事业单位离退休（项）：指事业单位开支的离退休经费。</w:t>
      </w:r>
    </w:p>
    <w:p w14:paraId="35F6BBF2">
      <w:pPr>
        <w:pStyle w:val="28"/>
        <w:spacing w:line="60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8.社会保障和就业支出（类）行政事业单位养老支出（款）行政单位离退休（项）：指政单位（包括实行公务员管理的事业单位）开支的离退休经费。</w:t>
      </w:r>
    </w:p>
    <w:p w14:paraId="32B98B24">
      <w:pPr>
        <w:pStyle w:val="28"/>
        <w:spacing w:line="60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9.社会保障和就业支出（类）行政事业单位养老支出（款）机关事业单位基本养老保险缴费支出（项）：指机关事业单位实施养老保险制度由单位缴纳的基本养老保险费支出。</w:t>
      </w:r>
    </w:p>
    <w:p w14:paraId="6E077A75">
      <w:pPr>
        <w:pStyle w:val="28"/>
        <w:spacing w:line="60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10.社会保障和就业支出（类）行政事业单位养老支出（款）机关事业单位职业年金缴费支出（项）：指机关事业单位实施养老保险制度由单位缴纳的职业年金支出。</w:t>
      </w:r>
    </w:p>
    <w:p w14:paraId="77DE2F06">
      <w:pPr>
        <w:pStyle w:val="28"/>
        <w:spacing w:line="60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11.社会保障和就业支出（类）其他社会保障和就业支出（款）其他社会保障和就业支出（项）：指除上述项目以外其他用于社会保障和就业方面的支出。</w:t>
      </w:r>
    </w:p>
    <w:p w14:paraId="71CF2D0B">
      <w:pPr>
        <w:pStyle w:val="28"/>
        <w:spacing w:line="60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12.卫生健康支出（类）行政事业单位医疗（款）行政单位医疗（项）：指财政部门安排的行政单位（包括实行公务员管理的事业单位）基本医疗保险缴费经费，未参加医疗保险的行政单位的公费医疗经费，按国家规定享受离休人员、红军老战士待遇人员的医疗经费。</w:t>
      </w:r>
    </w:p>
    <w:p w14:paraId="58111049">
      <w:pPr>
        <w:pStyle w:val="28"/>
        <w:spacing w:line="60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13.卫生健康支出（类）行政事业单位医疗（款）事业单位医疗（项）：指财政部门安排的事业单位基本医疗保险缴费经费，未参加医疗保险的事业单位的公费医疗经费，按国家规定享受离休人员、红军老战士待遇人员的医疗经费。</w:t>
      </w:r>
    </w:p>
    <w:p w14:paraId="0731B790">
      <w:pPr>
        <w:pStyle w:val="28"/>
        <w:spacing w:line="60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14.住房保障支出（类）住房改革支出（款）住房公积金（项）：指行政事业单位按人力资源和社会保障部、财政部规定的基本工资和津贴补贴以及规定比例为职缴纳的住房公积金。</w:t>
      </w:r>
    </w:p>
    <w:p w14:paraId="13099CDE">
      <w:pPr>
        <w:pStyle w:val="28"/>
        <w:spacing w:line="60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15.基本支出：指为保证机构正常运转，完成日常工作任务而发生的人员支出和公用支出。</w:t>
      </w:r>
    </w:p>
    <w:p w14:paraId="167A88B0">
      <w:pPr>
        <w:pStyle w:val="28"/>
        <w:spacing w:line="60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16.项目支出：指在基本支出之外为完成特定行政任务和事业发展目标所发生的支出。</w:t>
      </w:r>
    </w:p>
    <w:p w14:paraId="71ACB8DD">
      <w:pPr>
        <w:pStyle w:val="28"/>
        <w:spacing w:line="60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17.纳入预决算管理的“三公”经费，是指部门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8B31EA4">
      <w:pPr>
        <w:pStyle w:val="28"/>
        <w:spacing w:line="60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18</w:t>
      </w:r>
      <w:r>
        <w:rPr>
          <w:rFonts w:ascii="Times New Roman" w:hAnsi="Times New Roman" w:eastAsia="仿宋_GB2312"/>
          <w:color w:val="auto"/>
          <w:sz w:val="32"/>
          <w:szCs w:val="32"/>
        </w:rPr>
        <w:t>.</w:t>
      </w:r>
      <w:r>
        <w:rPr>
          <w:rFonts w:hint="eastAsia" w:ascii="Times New Roman" w:hAnsi="Times New Roman" w:eastAsia="仿宋_GB2312"/>
          <w:color w:val="auto"/>
          <w:sz w:val="32"/>
          <w:szCs w:val="32"/>
        </w:rPr>
        <w:t xml:space="preserve"> 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19DA64A">
      <w:pPr>
        <w:ind w:firstLine="640" w:firstLineChars="200"/>
        <w:rPr>
          <w:rFonts w:ascii="仿宋_GB2312" w:eastAsia="仿宋_GB2312"/>
          <w:sz w:val="32"/>
          <w:szCs w:val="32"/>
        </w:rPr>
      </w:pPr>
      <w:r>
        <w:rPr>
          <w:rFonts w:hint="eastAsia" w:eastAsia="仿宋_GB2312" w:cs="仿宋"/>
          <w:kern w:val="0"/>
          <w:sz w:val="32"/>
          <w:szCs w:val="32"/>
        </w:rPr>
        <w:t>19.</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2932478">
      <w:pPr>
        <w:spacing w:line="600" w:lineRule="exact"/>
        <w:jc w:val="center"/>
        <w:rPr>
          <w:rStyle w:val="30"/>
          <w:rFonts w:eastAsia="黑体"/>
          <w:b w:val="0"/>
        </w:rPr>
      </w:pPr>
      <w:bookmarkStart w:id="51" w:name="_Toc15396614"/>
      <w:bookmarkStart w:id="52" w:name="_Toc15377226"/>
      <w:r>
        <w:rPr>
          <w:rFonts w:hint="eastAsia" w:eastAsia="黑体"/>
          <w:sz w:val="44"/>
          <w:szCs w:val="44"/>
        </w:rPr>
        <w:t>第四部分  附件</w:t>
      </w:r>
      <w:bookmarkEnd w:id="51"/>
    </w:p>
    <w:p w14:paraId="788BD9D0">
      <w:pPr>
        <w:spacing w:line="572" w:lineRule="exact"/>
        <w:jc w:val="left"/>
        <w:outlineLvl w:val="0"/>
        <w:rPr>
          <w:rFonts w:eastAsia="黑体" w:cs="黑体"/>
          <w:color w:val="FF0000"/>
          <w:sz w:val="32"/>
          <w:szCs w:val="32"/>
        </w:rPr>
      </w:pPr>
    </w:p>
    <w:p w14:paraId="5B1C5206">
      <w:pPr>
        <w:spacing w:line="572" w:lineRule="exact"/>
        <w:jc w:val="left"/>
        <w:outlineLvl w:val="0"/>
        <w:rPr>
          <w:rFonts w:eastAsia="黑体" w:cs="方正小标宋简体"/>
          <w:sz w:val="44"/>
          <w:szCs w:val="44"/>
        </w:rPr>
      </w:pPr>
      <w:r>
        <w:rPr>
          <w:rFonts w:hint="eastAsia" w:eastAsia="黑体" w:cs="黑体"/>
          <w:sz w:val="32"/>
          <w:szCs w:val="32"/>
        </w:rPr>
        <w:t>附件1</w:t>
      </w:r>
    </w:p>
    <w:p w14:paraId="2C45A8FB">
      <w:pPr>
        <w:widowControl/>
        <w:spacing w:line="578" w:lineRule="exact"/>
        <w:contextualSpacing/>
        <w:jc w:val="center"/>
        <w:rPr>
          <w:rFonts w:eastAsia="方正小标宋简体"/>
          <w:bCs/>
          <w:sz w:val="44"/>
          <w:szCs w:val="44"/>
          <w:shd w:val="clear" w:color="auto" w:fill="FFFFFF"/>
        </w:rPr>
      </w:pPr>
    </w:p>
    <w:p w14:paraId="320280BD">
      <w:pPr>
        <w:jc w:val="center"/>
        <w:rPr>
          <w:rFonts w:ascii="方正小标宋简体" w:hAnsi="方正小标宋简体" w:eastAsia="方正小标宋简体"/>
          <w:sz w:val="44"/>
          <w:szCs w:val="44"/>
        </w:rPr>
      </w:pPr>
      <w:r>
        <w:rPr>
          <w:rFonts w:hint="eastAsia" w:ascii="方正小标宋简体" w:hAnsi="方正小标宋简体" w:eastAsia="方正小标宋简体"/>
          <w:sz w:val="44"/>
          <w:szCs w:val="44"/>
        </w:rPr>
        <w:t>2023年沐川县红十字会部门</w:t>
      </w:r>
    </w:p>
    <w:p w14:paraId="6DA5926E">
      <w:pPr>
        <w:widowControl/>
        <w:adjustRightInd w:val="0"/>
        <w:snapToGrid w:val="0"/>
        <w:spacing w:line="578" w:lineRule="exact"/>
        <w:ind w:firstLine="880" w:firstLineChars="200"/>
        <w:contextualSpacing/>
        <w:jc w:val="center"/>
        <w:rPr>
          <w:rFonts w:ascii="方正小标宋简体" w:hAnsi="方正小标宋简体" w:eastAsia="方正小标宋简体"/>
          <w:sz w:val="44"/>
          <w:szCs w:val="44"/>
        </w:rPr>
      </w:pPr>
      <w:r>
        <w:rPr>
          <w:rFonts w:hint="eastAsia" w:ascii="方正小标宋简体" w:hAnsi="方正小标宋简体" w:eastAsia="方正小标宋简体"/>
          <w:sz w:val="44"/>
          <w:szCs w:val="44"/>
        </w:rPr>
        <w:t>预算绩效评价报告</w:t>
      </w:r>
    </w:p>
    <w:p w14:paraId="1FA04A95">
      <w:pPr>
        <w:pStyle w:val="17"/>
      </w:pPr>
    </w:p>
    <w:p w14:paraId="238E06AF">
      <w:pPr>
        <w:rPr>
          <w:rFonts w:ascii="黑体" w:hAnsi="黑体" w:eastAsia="黑体"/>
          <w:sz w:val="32"/>
          <w:szCs w:val="32"/>
        </w:rPr>
      </w:pPr>
      <w:r>
        <w:rPr>
          <w:rFonts w:hint="eastAsia" w:ascii="黑体" w:hAnsi="黑体" w:eastAsia="黑体"/>
          <w:sz w:val="32"/>
          <w:szCs w:val="32"/>
        </w:rPr>
        <w:t>一、部门（单位）基本情况</w:t>
      </w:r>
    </w:p>
    <w:p w14:paraId="2074A778">
      <w:pPr>
        <w:pStyle w:val="17"/>
        <w:ind w:firstLine="643" w:firstLineChars="200"/>
        <w:rPr>
          <w:rFonts w:ascii="仿宋_GB2312" w:hAnsi="仿宋_GB2312" w:eastAsia="仿宋_GB2312" w:cs="仿宋_GB2312"/>
          <w:sz w:val="32"/>
          <w:szCs w:val="32"/>
          <w:lang w:val="zh-CN"/>
        </w:rPr>
      </w:pPr>
      <w:r>
        <w:rPr>
          <w:rFonts w:hint="eastAsia" w:ascii="楷体_GB2312" w:eastAsia="楷体_GB2312"/>
          <w:b/>
          <w:sz w:val="32"/>
          <w:szCs w:val="32"/>
        </w:rPr>
        <w:t>（一）机构组成。</w:t>
      </w:r>
      <w:r>
        <w:rPr>
          <w:rFonts w:hint="eastAsia" w:ascii="仿宋_GB2312" w:hAnsi="仿宋_GB2312" w:eastAsia="仿宋_GB2312" w:cs="仿宋_GB2312"/>
          <w:sz w:val="32"/>
          <w:szCs w:val="32"/>
        </w:rPr>
        <w:t>沐川县红十字会为县委群团工作部门，为一级预算单位。</w:t>
      </w:r>
    </w:p>
    <w:p w14:paraId="5AA46E7D">
      <w:pPr>
        <w:ind w:firstLine="643" w:firstLineChars="200"/>
        <w:rPr>
          <w:rFonts w:ascii="楷体_GB2312" w:eastAsia="楷体_GB2312"/>
          <w:b/>
          <w:sz w:val="32"/>
          <w:szCs w:val="32"/>
        </w:rPr>
      </w:pPr>
      <w:r>
        <w:rPr>
          <w:rFonts w:hint="eastAsia" w:ascii="楷体_GB2312" w:eastAsia="楷体_GB2312"/>
          <w:b/>
          <w:sz w:val="32"/>
          <w:szCs w:val="32"/>
        </w:rPr>
        <w:t>（二）机构职能。</w:t>
      </w:r>
      <w:r>
        <w:rPr>
          <w:rFonts w:hint="eastAsia" w:ascii="仿宋_GB2312" w:hAnsi="仿宋_GB2312" w:eastAsia="仿宋_GB2312" w:cs="仿宋_GB2312"/>
          <w:sz w:val="32"/>
          <w:szCs w:val="32"/>
        </w:rPr>
        <w:t>沐川县红十字会的基本职能：一是依法按照《中华人民共和国红十字会法》和《中国红十字会章程》开展工作，负责开展备灾救灾和救助募捐工作，在自然灾害和突发事件中开展救护救助、人道救援；二是负责防病知识宣传普及，组织开展群众性初级卫生救护和现场急救培训；三是负责组织开展无偿献血工作；四是负责遗体、器官捐献和中华骨髓库造血干细胞的宣传、动员和登记工作；五是负责组织会员、志愿者参加艾滋病预防宣传培训活动等工作；六是完成县委、县政府交办的其他工作</w:t>
      </w:r>
      <w:r>
        <w:rPr>
          <w:rFonts w:hint="eastAsia" w:ascii="仿宋_GB2312" w:eastAsia="仿宋_GB2312"/>
          <w:sz w:val="32"/>
          <w:szCs w:val="32"/>
        </w:rPr>
        <w:t>。</w:t>
      </w:r>
    </w:p>
    <w:p w14:paraId="70153FE4">
      <w:pPr>
        <w:overflowPunct w:val="0"/>
        <w:snapToGrid w:val="0"/>
        <w:spacing w:line="600" w:lineRule="exact"/>
        <w:ind w:firstLine="643" w:firstLineChars="200"/>
        <w:rPr>
          <w:lang w:val="zh-CN"/>
        </w:rPr>
      </w:pPr>
      <w:r>
        <w:rPr>
          <w:rFonts w:hint="eastAsia" w:ascii="楷体_GB2312" w:eastAsia="楷体_GB2312"/>
          <w:b/>
          <w:sz w:val="32"/>
          <w:szCs w:val="32"/>
        </w:rPr>
        <w:t>（三）人员概况。</w:t>
      </w:r>
      <w:r>
        <w:rPr>
          <w:rFonts w:hint="eastAsia" w:ascii="仿宋_GB2312" w:eastAsia="仿宋_GB2312"/>
          <w:sz w:val="32"/>
          <w:szCs w:val="32"/>
        </w:rPr>
        <w:t>截至2024年末</w:t>
      </w:r>
      <w:r>
        <w:rPr>
          <w:rFonts w:hint="eastAsia" w:ascii="仿宋_GB2312" w:hAnsi="仿宋_GB2312" w:eastAsia="仿宋_GB2312" w:cs="仿宋_GB2312"/>
          <w:sz w:val="32"/>
          <w:szCs w:val="32"/>
        </w:rPr>
        <w:t>沐川县红十字会现有事业编制5人，在职人数4人。</w:t>
      </w:r>
    </w:p>
    <w:p w14:paraId="1EEB8F61">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二、部门资金收支情况</w:t>
      </w:r>
    </w:p>
    <w:p w14:paraId="2C5731E6">
      <w:pPr>
        <w:ind w:firstLine="643" w:firstLineChars="200"/>
        <w:rPr>
          <w:rFonts w:ascii="仿宋_GB2312" w:eastAsia="仿宋_GB2312"/>
          <w:sz w:val="32"/>
          <w:szCs w:val="32"/>
        </w:rPr>
      </w:pPr>
      <w:r>
        <w:rPr>
          <w:rFonts w:eastAsia="楷体_GB2312"/>
          <w:b/>
          <w:bCs/>
          <w:color w:val="000000"/>
          <w:kern w:val="0"/>
          <w:sz w:val="32"/>
          <w:szCs w:val="32"/>
          <w:shd w:val="clear" w:color="auto" w:fill="FFFFFF"/>
          <w:lang w:val="zh-CN"/>
        </w:rPr>
        <w:t>（一）</w:t>
      </w:r>
      <w:r>
        <w:rPr>
          <w:rFonts w:hint="eastAsia" w:eastAsia="楷体_GB2312"/>
          <w:b/>
          <w:bCs/>
          <w:color w:val="000000"/>
          <w:kern w:val="0"/>
          <w:sz w:val="32"/>
          <w:szCs w:val="32"/>
          <w:shd w:val="clear" w:color="auto" w:fill="FFFFFF"/>
          <w:lang w:val="zh-CN"/>
        </w:rPr>
        <w:t>收入情况</w:t>
      </w:r>
      <w:r>
        <w:rPr>
          <w:rFonts w:eastAsia="楷体_GB2312"/>
          <w:b/>
          <w:bCs/>
          <w:color w:val="000000"/>
          <w:kern w:val="0"/>
          <w:sz w:val="32"/>
          <w:szCs w:val="32"/>
          <w:shd w:val="clear" w:color="auto" w:fill="FFFFFF"/>
          <w:lang w:val="zh-CN"/>
        </w:rPr>
        <w:t>。</w:t>
      </w:r>
      <w:r>
        <w:rPr>
          <w:rFonts w:hint="eastAsia" w:eastAsia="仿宋_GB2312"/>
          <w:sz w:val="32"/>
          <w:szCs w:val="32"/>
        </w:rPr>
        <w:t>沐川县红十字会</w:t>
      </w:r>
      <w:r>
        <w:rPr>
          <w:rFonts w:eastAsia="仿宋_GB2312"/>
          <w:sz w:val="32"/>
          <w:szCs w:val="32"/>
        </w:rPr>
        <w:t>20</w:t>
      </w:r>
      <w:r>
        <w:rPr>
          <w:rFonts w:hint="eastAsia" w:eastAsia="仿宋_GB2312"/>
          <w:sz w:val="32"/>
          <w:szCs w:val="32"/>
        </w:rPr>
        <w:t>24年财政资金预算收入103.99万元、决算报表收入出103.99万元</w:t>
      </w:r>
    </w:p>
    <w:p w14:paraId="38FEC2BE">
      <w:pPr>
        <w:widowControl/>
        <w:adjustRightInd w:val="0"/>
        <w:snapToGrid w:val="0"/>
        <w:spacing w:line="578" w:lineRule="exact"/>
        <w:ind w:firstLine="643" w:firstLineChars="200"/>
        <w:contextualSpacing/>
        <w:jc w:val="left"/>
        <w:rPr>
          <w:szCs w:val="32"/>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二</w:t>
      </w: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支出情况</w:t>
      </w:r>
      <w:r>
        <w:rPr>
          <w:rFonts w:eastAsia="楷体_GB2312"/>
          <w:b/>
          <w:bCs/>
          <w:color w:val="000000"/>
          <w:kern w:val="0"/>
          <w:sz w:val="32"/>
          <w:szCs w:val="32"/>
          <w:shd w:val="clear" w:color="auto" w:fill="FFFFFF"/>
          <w:lang w:val="zh-CN"/>
        </w:rPr>
        <w:t>。</w:t>
      </w:r>
      <w:r>
        <w:rPr>
          <w:rFonts w:hint="eastAsia" w:eastAsia="仿宋_GB2312"/>
          <w:sz w:val="32"/>
          <w:szCs w:val="32"/>
        </w:rPr>
        <w:t>沐川县红十字会2024年年初预算支出103.99万元、决算报表支出103.99万元。其中基本支出81.71万元，项目支出22.28万元。</w:t>
      </w:r>
    </w:p>
    <w:p w14:paraId="2DB8A1B1">
      <w:pPr>
        <w:widowControl/>
        <w:adjustRightInd w:val="0"/>
        <w:snapToGrid w:val="0"/>
        <w:spacing w:line="578" w:lineRule="exact"/>
        <w:ind w:firstLine="643" w:firstLineChars="200"/>
        <w:contextualSpacing/>
        <w:jc w:val="left"/>
        <w:rPr>
          <w:rFonts w:eastAsia="仿宋_GB2312"/>
          <w:color w:val="000000"/>
          <w:kern w:val="0"/>
          <w:szCs w:val="32"/>
          <w:shd w:val="clear" w:color="auto" w:fill="FFFFFF"/>
          <w:lang w:val="zh-CN"/>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三</w:t>
      </w:r>
      <w:r>
        <w:rPr>
          <w:rFonts w:eastAsia="楷体_GB2312"/>
          <w:b/>
          <w:bCs/>
          <w:color w:val="000000"/>
          <w:kern w:val="0"/>
          <w:sz w:val="32"/>
          <w:szCs w:val="32"/>
          <w:shd w:val="clear" w:color="auto" w:fill="FFFFFF"/>
          <w:lang w:val="zh-CN"/>
        </w:rPr>
        <w:t>）结余分配和结转结余情况</w:t>
      </w:r>
      <w:r>
        <w:rPr>
          <w:rFonts w:hint="eastAsia" w:eastAsia="楷体_GB2312"/>
          <w:b/>
          <w:bCs/>
          <w:color w:val="000000"/>
          <w:kern w:val="0"/>
          <w:sz w:val="32"/>
          <w:szCs w:val="32"/>
          <w:shd w:val="clear" w:color="auto" w:fill="FFFFFF"/>
          <w:lang w:val="zh-CN"/>
        </w:rPr>
        <w:t>。</w:t>
      </w:r>
      <w:r>
        <w:rPr>
          <w:rFonts w:hint="eastAsia" w:eastAsia="仿宋_GB2312"/>
          <w:sz w:val="32"/>
          <w:szCs w:val="32"/>
        </w:rPr>
        <w:t>沐川县红十字会2024年决算报表无</w:t>
      </w:r>
      <w:r>
        <w:rPr>
          <w:rFonts w:eastAsia="仿宋_GB2312"/>
          <w:sz w:val="32"/>
          <w:szCs w:val="32"/>
        </w:rPr>
        <w:t>结转结余。</w:t>
      </w:r>
    </w:p>
    <w:p w14:paraId="65A7C0D4">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三、部门预算绩效分析</w:t>
      </w:r>
    </w:p>
    <w:p w14:paraId="736F8E2B">
      <w:pPr>
        <w:widowControl/>
        <w:adjustRightInd w:val="0"/>
        <w:snapToGrid w:val="0"/>
        <w:spacing w:line="360" w:lineRule="auto"/>
        <w:ind w:firstLine="643" w:firstLineChars="200"/>
        <w:contextualSpacing/>
        <w:jc w:val="left"/>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w:t>
      </w:r>
      <w:r>
        <w:rPr>
          <w:rFonts w:hint="eastAsia" w:eastAsia="楷体_GB2312"/>
          <w:b/>
          <w:bCs/>
          <w:color w:val="000000"/>
          <w:kern w:val="0"/>
          <w:sz w:val="32"/>
          <w:szCs w:val="32"/>
          <w:shd w:val="clear" w:color="auto" w:fill="FFFFFF"/>
          <w:lang w:val="zh-CN"/>
        </w:rPr>
        <w:t>部门预算</w:t>
      </w:r>
      <w:r>
        <w:rPr>
          <w:rFonts w:eastAsia="楷体_GB2312"/>
          <w:b/>
          <w:bCs/>
          <w:color w:val="000000"/>
          <w:kern w:val="0"/>
          <w:sz w:val="32"/>
          <w:szCs w:val="32"/>
          <w:shd w:val="clear" w:color="auto" w:fill="FFFFFF"/>
          <w:lang w:val="zh-CN"/>
        </w:rPr>
        <w:t>总体绩效分析。</w:t>
      </w:r>
    </w:p>
    <w:p w14:paraId="49D5D9E4">
      <w:pPr>
        <w:widowControl/>
        <w:adjustRightInd w:val="0"/>
        <w:snapToGrid w:val="0"/>
        <w:spacing w:line="578" w:lineRule="exact"/>
        <w:ind w:firstLine="640" w:firstLineChars="200"/>
        <w:contextualSpacing/>
        <w:jc w:val="left"/>
        <w:rPr>
          <w:rFonts w:eastAsia="仿宋_GB2312"/>
          <w:sz w:val="32"/>
          <w:szCs w:val="32"/>
          <w:lang w:val="zh-CN"/>
        </w:rPr>
      </w:pPr>
      <w:r>
        <w:rPr>
          <w:rFonts w:hint="eastAsia" w:eastAsia="仿宋_GB2312"/>
          <w:sz w:val="32"/>
          <w:szCs w:val="32"/>
        </w:rPr>
        <w:t>沐川县红十字会</w:t>
      </w:r>
      <w:r>
        <w:rPr>
          <w:rFonts w:hint="eastAsia" w:eastAsia="仿宋_GB2312"/>
          <w:sz w:val="32"/>
          <w:szCs w:val="32"/>
          <w:lang w:val="zh-CN"/>
        </w:rPr>
        <w:t>严格按照预算绩效目标制定，按时实现目标。预算编制目标要素完整，部门预算执行进度达到量化指标。部门预算完成达到100%，无违规记录出现。</w:t>
      </w:r>
    </w:p>
    <w:p w14:paraId="1AC66A91">
      <w:pPr>
        <w:widowControl/>
        <w:adjustRightInd w:val="0"/>
        <w:snapToGrid w:val="0"/>
        <w:spacing w:line="578" w:lineRule="exact"/>
        <w:ind w:firstLine="640" w:firstLineChars="200"/>
        <w:contextualSpacing/>
        <w:jc w:val="left"/>
        <w:rPr>
          <w:rFonts w:eastAsia="仿宋_GB2312"/>
          <w:sz w:val="32"/>
          <w:szCs w:val="32"/>
          <w:lang w:val="zh-CN"/>
        </w:rPr>
      </w:pPr>
      <w:r>
        <w:rPr>
          <w:rFonts w:hint="eastAsia" w:eastAsia="仿宋_GB2312"/>
          <w:sz w:val="32"/>
          <w:szCs w:val="32"/>
        </w:rPr>
        <w:t>沐川县红十字会共有特定类项目两个。一是红十字备灾救灾项目，项目资金18万元，该</w:t>
      </w:r>
      <w:r>
        <w:rPr>
          <w:rFonts w:hint="eastAsia" w:eastAsia="仿宋_GB2312"/>
          <w:sz w:val="32"/>
          <w:szCs w:val="32"/>
          <w:lang w:val="zh-CN"/>
        </w:rPr>
        <w:t>项目按照预算绩效目标完成</w:t>
      </w:r>
      <w:r>
        <w:rPr>
          <w:rFonts w:hint="eastAsia" w:eastAsia="仿宋_GB2312"/>
          <w:sz w:val="32"/>
          <w:szCs w:val="32"/>
        </w:rPr>
        <w:t>投放AED设备2台，开展应急救护培训及培训18场</w:t>
      </w:r>
      <w:r>
        <w:rPr>
          <w:rFonts w:hint="eastAsia" w:eastAsia="仿宋_GB2312"/>
          <w:sz w:val="32"/>
          <w:szCs w:val="32"/>
          <w:lang w:val="zh-CN"/>
        </w:rPr>
        <w:t>，</w:t>
      </w:r>
      <w:r>
        <w:rPr>
          <w:rFonts w:hint="eastAsia" w:eastAsia="仿宋_GB2312"/>
          <w:sz w:val="32"/>
          <w:szCs w:val="32"/>
        </w:rPr>
        <w:t>成果显著</w:t>
      </w:r>
      <w:r>
        <w:rPr>
          <w:rFonts w:hint="eastAsia" w:eastAsia="仿宋_GB2312"/>
          <w:sz w:val="32"/>
          <w:szCs w:val="32"/>
          <w:lang w:val="zh-CN"/>
        </w:rPr>
        <w:t>得到了广大社会群众的满意；</w:t>
      </w:r>
      <w:r>
        <w:rPr>
          <w:rFonts w:hint="eastAsia" w:eastAsia="仿宋_GB2312"/>
          <w:sz w:val="32"/>
          <w:szCs w:val="32"/>
        </w:rPr>
        <w:t>二是红十字精神传播项目，项目资金5万元，该项目</w:t>
      </w:r>
      <w:r>
        <w:rPr>
          <w:rFonts w:hint="eastAsia" w:eastAsia="仿宋_GB2312"/>
          <w:sz w:val="32"/>
          <w:szCs w:val="32"/>
          <w:lang w:val="zh-CN"/>
        </w:rPr>
        <w:t>按照预算绩效目标完成</w:t>
      </w:r>
      <w:r>
        <w:rPr>
          <w:rFonts w:hint="eastAsia" w:eastAsia="仿宋_GB2312"/>
          <w:sz w:val="32"/>
          <w:szCs w:val="32"/>
        </w:rPr>
        <w:t>各类自愿者活动10场，印制各类宣传资料及手袋30000余份，红十字精神得到了有效传播。</w:t>
      </w:r>
    </w:p>
    <w:p w14:paraId="27F3ADE5">
      <w:pPr>
        <w:widowControl/>
        <w:adjustRightInd w:val="0"/>
        <w:snapToGrid w:val="0"/>
        <w:spacing w:line="578" w:lineRule="exact"/>
        <w:ind w:firstLine="640" w:firstLineChars="200"/>
        <w:contextualSpacing/>
        <w:jc w:val="left"/>
        <w:rPr>
          <w:rFonts w:eastAsia="仿宋_GB2312"/>
          <w:sz w:val="32"/>
          <w:szCs w:val="32"/>
          <w:lang w:val="zh-CN"/>
        </w:rPr>
      </w:pPr>
      <w:r>
        <w:rPr>
          <w:rFonts w:hint="eastAsia" w:eastAsia="仿宋_GB2312"/>
          <w:sz w:val="32"/>
          <w:szCs w:val="32"/>
          <w:lang w:val="zh-CN"/>
        </w:rPr>
        <w:t>沐川县</w:t>
      </w:r>
      <w:r>
        <w:rPr>
          <w:rFonts w:hint="eastAsia" w:eastAsia="仿宋_GB2312"/>
          <w:sz w:val="32"/>
          <w:szCs w:val="32"/>
        </w:rPr>
        <w:t>红十字会</w:t>
      </w:r>
      <w:r>
        <w:rPr>
          <w:rFonts w:hint="eastAsia" w:eastAsia="仿宋_GB2312"/>
          <w:sz w:val="32"/>
          <w:szCs w:val="32"/>
          <w:lang w:val="zh-CN"/>
        </w:rPr>
        <w:t>项目实施规范，责任明确，流程清晰，确保了资金使用的安全性和规范性，保障了机关日常正常运转，认真履行好了部门职能职责，圆满完成了</w:t>
      </w:r>
      <w:bookmarkStart w:id="68" w:name="_GoBack"/>
      <w:r>
        <w:rPr>
          <w:rFonts w:hint="eastAsia" w:eastAsia="仿宋_GB2312"/>
          <w:sz w:val="32"/>
          <w:szCs w:val="32"/>
          <w:lang w:val="zh-CN"/>
        </w:rPr>
        <w:t>县委</w:t>
      </w:r>
      <w:bookmarkEnd w:id="68"/>
      <w:r>
        <w:rPr>
          <w:rFonts w:hint="eastAsia" w:eastAsia="仿宋_GB2312"/>
          <w:sz w:val="32"/>
          <w:szCs w:val="32"/>
          <w:lang w:val="zh-CN"/>
        </w:rPr>
        <w:t>、</w:t>
      </w:r>
      <w:r>
        <w:rPr>
          <w:rFonts w:hint="eastAsia" w:eastAsia="仿宋_GB2312"/>
          <w:sz w:val="32"/>
          <w:szCs w:val="32"/>
          <w:lang w:val="en-US" w:eastAsia="zh-CN"/>
        </w:rPr>
        <w:t>县</w:t>
      </w:r>
      <w:r>
        <w:rPr>
          <w:rFonts w:hint="eastAsia" w:eastAsia="仿宋_GB2312"/>
          <w:sz w:val="32"/>
          <w:szCs w:val="32"/>
          <w:lang w:val="zh-CN"/>
        </w:rPr>
        <w:t>政府下达的各项业务目标任务。</w:t>
      </w:r>
    </w:p>
    <w:p w14:paraId="460F7EC6">
      <w:pPr>
        <w:widowControl/>
        <w:adjustRightInd w:val="0"/>
        <w:snapToGrid w:val="0"/>
        <w:spacing w:line="578" w:lineRule="exact"/>
        <w:ind w:firstLine="640" w:firstLineChars="200"/>
        <w:contextualSpacing/>
        <w:jc w:val="left"/>
        <w:rPr>
          <w:rFonts w:eastAsia="仿宋_GB2312"/>
          <w:sz w:val="32"/>
          <w:szCs w:val="32"/>
          <w:lang w:val="zh-CN"/>
        </w:rPr>
      </w:pPr>
      <w:r>
        <w:rPr>
          <w:rFonts w:hint="eastAsia" w:eastAsia="仿宋_GB2312"/>
          <w:sz w:val="32"/>
          <w:szCs w:val="32"/>
          <w:lang w:val="zh-CN"/>
        </w:rPr>
        <w:t>县</w:t>
      </w:r>
      <w:r>
        <w:rPr>
          <w:rFonts w:hint="eastAsia" w:eastAsia="仿宋_GB2312"/>
          <w:sz w:val="32"/>
          <w:szCs w:val="32"/>
        </w:rPr>
        <w:t>红十字会</w:t>
      </w:r>
      <w:r>
        <w:rPr>
          <w:rFonts w:hint="eastAsia" w:eastAsia="仿宋_GB2312"/>
          <w:sz w:val="32"/>
          <w:szCs w:val="32"/>
          <w:lang w:val="zh-CN"/>
        </w:rPr>
        <w:t>财务管理制度健全，严格执行财务管理制度，机构设置合理，会计核算及账务处理合规。本次绩效评价范围的项目资金，采用财政授权支付方式支付解决侨眷侨胞联谊会专项资金，严格按照项目资金管理办法对资金进行计划申请、划拨、使用，其凭证齐全、完备，及时、规范，及时对收支进行账务处理，会计核算规范。</w:t>
      </w:r>
    </w:p>
    <w:p w14:paraId="23B1EFA5">
      <w:pPr>
        <w:adjustRightInd w:val="0"/>
        <w:snapToGrid w:val="0"/>
        <w:spacing w:line="578" w:lineRule="exact"/>
        <w:ind w:firstLine="640" w:firstLineChars="200"/>
        <w:contextualSpacing/>
        <w:jc w:val="left"/>
        <w:rPr>
          <w:rFonts w:eastAsia="仿宋_GB2312" w:cs="仿宋_GB2312"/>
          <w:sz w:val="32"/>
          <w:szCs w:val="32"/>
          <w:lang w:val="zh-CN"/>
        </w:rPr>
      </w:pPr>
    </w:p>
    <w:p w14:paraId="5995F5B2">
      <w:pPr>
        <w:numPr>
          <w:ilvl w:val="0"/>
          <w:numId w:val="3"/>
        </w:numPr>
        <w:adjustRightInd w:val="0"/>
        <w:snapToGrid w:val="0"/>
        <w:spacing w:line="578" w:lineRule="exact"/>
        <w:ind w:firstLine="643" w:firstLineChars="200"/>
        <w:contextualSpacing/>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部门预算项目绩效分析</w:t>
      </w:r>
    </w:p>
    <w:p w14:paraId="4C62942D">
      <w:pPr>
        <w:adjustRightInd w:val="0"/>
        <w:snapToGrid w:val="0"/>
        <w:spacing w:line="578" w:lineRule="exact"/>
        <w:ind w:firstLine="640" w:firstLineChars="200"/>
        <w:contextualSpacing/>
        <w:rPr>
          <w:rFonts w:eastAsia="仿宋_GB2312" w:cs="仿宋_GB2312"/>
          <w:sz w:val="32"/>
          <w:szCs w:val="32"/>
          <w:lang w:val="zh-CN"/>
        </w:rPr>
      </w:pPr>
      <w:r>
        <w:rPr>
          <w:rFonts w:eastAsia="仿宋_GB2312" w:cs="仿宋_GB2312"/>
          <w:sz w:val="32"/>
          <w:szCs w:val="32"/>
          <w:lang w:val="zh-CN"/>
        </w:rPr>
        <w:t>常年项目绩效分析。该类项目总数</w:t>
      </w:r>
      <w:r>
        <w:rPr>
          <w:rFonts w:hint="eastAsia" w:eastAsia="仿宋_GB2312" w:cs="仿宋_GB2312"/>
          <w:sz w:val="32"/>
          <w:szCs w:val="32"/>
        </w:rPr>
        <w:t>2</w:t>
      </w:r>
      <w:r>
        <w:rPr>
          <w:rFonts w:eastAsia="仿宋_GB2312" w:cs="仿宋_GB2312"/>
          <w:sz w:val="32"/>
          <w:szCs w:val="32"/>
          <w:lang w:val="zh-CN"/>
        </w:rPr>
        <w:t>个，涉及预算总金额</w:t>
      </w:r>
      <w:r>
        <w:rPr>
          <w:rFonts w:hint="eastAsia" w:eastAsia="仿宋_GB2312" w:cs="仿宋_GB2312"/>
          <w:sz w:val="32"/>
          <w:szCs w:val="32"/>
        </w:rPr>
        <w:t>23</w:t>
      </w:r>
      <w:r>
        <w:rPr>
          <w:rFonts w:eastAsia="仿宋_GB2312" w:cs="仿宋_GB2312"/>
          <w:sz w:val="32"/>
          <w:szCs w:val="32"/>
          <w:lang w:val="zh-CN"/>
        </w:rPr>
        <w:t>万元，1</w:t>
      </w:r>
      <w:r>
        <w:rPr>
          <w:rFonts w:hint="eastAsia" w:eastAsia="仿宋_GB2312" w:cs="仿宋_GB2312"/>
          <w:sz w:val="32"/>
          <w:szCs w:val="32"/>
          <w:lang w:val="zh-CN"/>
        </w:rPr>
        <w:t>—</w:t>
      </w:r>
      <w:r>
        <w:rPr>
          <w:rFonts w:eastAsia="仿宋_GB2312" w:cs="仿宋_GB2312"/>
          <w:sz w:val="32"/>
          <w:szCs w:val="32"/>
          <w:lang w:val="zh-CN"/>
        </w:rPr>
        <w:t>12月预算执行总体进度为</w:t>
      </w:r>
      <w:r>
        <w:rPr>
          <w:rFonts w:hint="eastAsia" w:eastAsia="仿宋_GB2312" w:cs="仿宋_GB2312"/>
          <w:sz w:val="32"/>
          <w:szCs w:val="32"/>
        </w:rPr>
        <w:t>97</w:t>
      </w:r>
      <w:r>
        <w:rPr>
          <w:rFonts w:eastAsia="仿宋_GB2312" w:cs="仿宋_GB2312"/>
          <w:sz w:val="32"/>
          <w:szCs w:val="32"/>
          <w:lang w:val="zh-CN"/>
        </w:rPr>
        <w:t>%，其中：预算结余率大于10%的项目共计</w:t>
      </w:r>
      <w:r>
        <w:rPr>
          <w:rFonts w:hint="eastAsia" w:eastAsia="仿宋_GB2312" w:cs="仿宋_GB2312"/>
          <w:sz w:val="32"/>
          <w:szCs w:val="32"/>
        </w:rPr>
        <w:t>0</w:t>
      </w:r>
      <w:r>
        <w:rPr>
          <w:rFonts w:eastAsia="仿宋_GB2312" w:cs="仿宋_GB2312"/>
          <w:sz w:val="32"/>
          <w:szCs w:val="32"/>
          <w:lang w:val="zh-CN"/>
        </w:rPr>
        <w:t>个。</w:t>
      </w:r>
    </w:p>
    <w:p w14:paraId="49284E16">
      <w:pPr>
        <w:snapToGrid w:val="0"/>
        <w:spacing w:line="600" w:lineRule="exact"/>
        <w:ind w:firstLine="643" w:firstLineChars="200"/>
        <w:rPr>
          <w:rFonts w:eastAsia="仿宋_GB2312"/>
          <w:sz w:val="32"/>
          <w:szCs w:val="32"/>
          <w:lang w:bidi="ar"/>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rPr>
        <w:t>三</w:t>
      </w:r>
      <w:r>
        <w:rPr>
          <w:rFonts w:eastAsia="楷体_GB2312"/>
          <w:b/>
          <w:bCs/>
          <w:color w:val="000000"/>
          <w:kern w:val="0"/>
          <w:sz w:val="32"/>
          <w:szCs w:val="32"/>
          <w:shd w:val="clear" w:color="auto" w:fill="FFFFFF"/>
          <w:lang w:val="zh-CN"/>
        </w:rPr>
        <w:t>）绩效结果应用情况</w:t>
      </w:r>
      <w:r>
        <w:rPr>
          <w:rFonts w:hint="eastAsia" w:eastAsia="楷体_GB2312"/>
          <w:b/>
          <w:bCs/>
          <w:color w:val="000000"/>
          <w:kern w:val="0"/>
          <w:sz w:val="32"/>
          <w:szCs w:val="32"/>
          <w:shd w:val="clear" w:color="auto" w:fill="FFFFFF"/>
          <w:lang w:val="zh-CN"/>
        </w:rPr>
        <w:t>。</w:t>
      </w:r>
      <w:r>
        <w:rPr>
          <w:rFonts w:hint="eastAsia" w:eastAsia="仿宋_GB2312"/>
          <w:sz w:val="32"/>
          <w:szCs w:val="32"/>
          <w:lang w:bidi="ar"/>
        </w:rPr>
        <w:t>绩效评价我会全部向社会公开，对于不足之处已全部整改完毕。</w:t>
      </w:r>
    </w:p>
    <w:p w14:paraId="233C08B9">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四、评价结论及建议</w:t>
      </w:r>
    </w:p>
    <w:p w14:paraId="3B499492">
      <w:pPr>
        <w:pStyle w:val="6"/>
        <w:rPr>
          <w:rFonts w:ascii="仿宋_GB2312" w:hAnsi="仿宋_GB2312" w:eastAsia="仿宋_GB2312" w:cs="仿宋_GB2312"/>
          <w:color w:val="000000"/>
          <w:kern w:val="0"/>
          <w:sz w:val="32"/>
          <w:szCs w:val="32"/>
          <w:shd w:val="clear" w:color="auto" w:fill="FFFFFF"/>
        </w:rPr>
      </w:pPr>
      <w:r>
        <w:rPr>
          <w:rFonts w:eastAsia="楷体_GB2312"/>
          <w:b/>
          <w:bCs/>
          <w:color w:val="000000"/>
          <w:kern w:val="0"/>
          <w:sz w:val="32"/>
          <w:szCs w:val="32"/>
          <w:shd w:val="clear" w:color="auto" w:fill="FFFFFF"/>
          <w:lang w:val="zh-CN"/>
        </w:rPr>
        <w:t>（一）评价结论。</w:t>
      </w:r>
      <w:r>
        <w:rPr>
          <w:rFonts w:hint="eastAsia" w:ascii="仿宋_GB2312" w:hAnsi="仿宋_GB2312" w:eastAsia="仿宋_GB2312" w:cs="仿宋_GB2312"/>
          <w:color w:val="000000"/>
          <w:kern w:val="0"/>
          <w:sz w:val="32"/>
          <w:szCs w:val="32"/>
          <w:shd w:val="clear" w:color="auto" w:fill="FFFFFF"/>
        </w:rPr>
        <w:t>根据部门整体支出绩效评价指标规定内容，经我会认真自评，2024年度部门整体绩效评价得分为98.4分。按照县级部门预算编制通知和有关要求，按时完成基础库、项目库报送工作。预算编制准确，部门整体绩效目标编制完整、合理，项目绩效目标编制明确、量化。按要求严格预算执行管理，严格执行“三公经费”预算，没有产生债务。按要求及时公开预算、决算、绩效等信息。按要求及时、准确、全面开展资产清查工作，上报国有资产报表。内部控制制度健全完整并执行良好，在本年内未出现廉政风险。</w:t>
      </w:r>
    </w:p>
    <w:p w14:paraId="74D9935F">
      <w:pPr>
        <w:widowControl/>
        <w:adjustRightInd w:val="0"/>
        <w:snapToGrid w:val="0"/>
        <w:spacing w:line="578" w:lineRule="exact"/>
        <w:ind w:firstLine="640" w:firstLineChars="200"/>
        <w:contextualSpacing/>
        <w:jc w:val="left"/>
        <w:rPr>
          <w:rFonts w:eastAsia="仿宋_GB2312"/>
          <w:sz w:val="32"/>
          <w:szCs w:val="32"/>
          <w:lang w:bidi="ar"/>
        </w:rPr>
      </w:pPr>
    </w:p>
    <w:p w14:paraId="3CF80E94">
      <w:pPr>
        <w:pStyle w:val="6"/>
        <w:ind w:firstLine="643" w:firstLineChars="200"/>
        <w:rPr>
          <w:rFonts w:eastAsia="仿宋_GB2312"/>
          <w:color w:val="000000"/>
          <w:kern w:val="0"/>
          <w:sz w:val="33"/>
          <w:szCs w:val="33"/>
          <w:shd w:val="clear" w:color="auto" w:fill="FFFFFF"/>
        </w:rPr>
      </w:pPr>
      <w:r>
        <w:rPr>
          <w:rFonts w:eastAsia="楷体_GB2312"/>
          <w:b/>
          <w:bCs/>
          <w:color w:val="000000"/>
          <w:kern w:val="0"/>
          <w:sz w:val="32"/>
          <w:szCs w:val="32"/>
          <w:shd w:val="clear" w:color="auto" w:fill="FFFFFF"/>
          <w:lang w:val="zh-CN"/>
        </w:rPr>
        <w:t>（二）存在问题。</w:t>
      </w:r>
      <w:r>
        <w:rPr>
          <w:rFonts w:hint="eastAsia" w:eastAsia="仿宋_GB2312"/>
          <w:color w:val="000000"/>
          <w:kern w:val="0"/>
          <w:sz w:val="33"/>
          <w:szCs w:val="33"/>
          <w:shd w:val="clear" w:color="auto" w:fill="FFFFFF"/>
        </w:rPr>
        <w:t>年末项目预算指标存在结余，预算编制的准确性有待进一步提高。</w:t>
      </w:r>
    </w:p>
    <w:p w14:paraId="4BC1EA76">
      <w:pPr>
        <w:widowControl/>
        <w:adjustRightInd w:val="0"/>
        <w:snapToGrid w:val="0"/>
        <w:spacing w:line="578" w:lineRule="exact"/>
        <w:ind w:firstLine="643" w:firstLineChars="200"/>
        <w:contextualSpacing/>
        <w:jc w:val="left"/>
        <w:rPr>
          <w:rFonts w:eastAsia="仿宋_GB2312"/>
          <w:sz w:val="32"/>
          <w:szCs w:val="32"/>
          <w:lang w:val="en" w:bidi="ar"/>
        </w:rPr>
      </w:pPr>
      <w:r>
        <w:rPr>
          <w:rFonts w:eastAsia="楷体_GB2312"/>
          <w:b/>
          <w:bCs/>
          <w:color w:val="000000"/>
          <w:kern w:val="0"/>
          <w:sz w:val="32"/>
          <w:szCs w:val="32"/>
          <w:shd w:val="clear" w:color="auto" w:fill="FFFFFF"/>
          <w:lang w:val="zh-CN"/>
        </w:rPr>
        <w:t>（三）改进建议。</w:t>
      </w:r>
      <w:bookmarkStart w:id="53" w:name="_Hlk110546638"/>
      <w:r>
        <w:rPr>
          <w:rFonts w:hint="eastAsia" w:eastAsia="楷体_GB2312"/>
          <w:b/>
          <w:bCs/>
          <w:color w:val="000000"/>
          <w:kern w:val="0"/>
          <w:sz w:val="32"/>
          <w:szCs w:val="32"/>
          <w:shd w:val="clear" w:color="auto" w:fill="FFFFFF"/>
        </w:rPr>
        <w:t>在</w:t>
      </w:r>
      <w:r>
        <w:rPr>
          <w:rFonts w:hint="eastAsia" w:eastAsia="仿宋_GB2312"/>
          <w:sz w:val="32"/>
          <w:szCs w:val="32"/>
        </w:rPr>
        <w:t>日常预算管理过程中，进一步加强预算支出的衔接、审核、跟踪及预算执行情况分析。</w:t>
      </w:r>
    </w:p>
    <w:bookmarkEnd w:id="53"/>
    <w:p w14:paraId="4903C6FF">
      <w:pPr>
        <w:pStyle w:val="9"/>
        <w:spacing w:line="560" w:lineRule="exact"/>
        <w:ind w:left="0" w:leftChars="0" w:firstLine="640"/>
        <w:rPr>
          <w:rFonts w:ascii="Times New Roman" w:eastAsia="仿宋_GB2312"/>
          <w:sz w:val="32"/>
          <w:lang w:val="zh-CN" w:bidi="ar"/>
        </w:rPr>
      </w:pPr>
    </w:p>
    <w:p w14:paraId="6EF936DF">
      <w:pPr>
        <w:pStyle w:val="9"/>
        <w:spacing w:line="560" w:lineRule="exact"/>
        <w:ind w:left="0" w:leftChars="0" w:firstLine="640"/>
        <w:rPr>
          <w:rFonts w:ascii="Times New Roman" w:cs="宋体"/>
          <w:color w:val="FF0000"/>
          <w:kern w:val="0"/>
          <w:sz w:val="32"/>
          <w:highlight w:val="yellow"/>
          <w:shd w:val="clear" w:color="auto" w:fill="FFFFFF"/>
          <w:lang w:val="zh-CN"/>
        </w:rPr>
      </w:pPr>
      <w:r>
        <w:rPr>
          <w:rFonts w:hint="eastAsia" w:ascii="Times New Roman" w:eastAsia="仿宋_GB2312"/>
          <w:sz w:val="32"/>
          <w:lang w:val="zh-CN" w:bidi="ar"/>
        </w:rPr>
        <w:t>附表：</w:t>
      </w:r>
      <w:r>
        <w:rPr>
          <w:rFonts w:hint="eastAsia" w:ascii="Times New Roman" w:eastAsia="仿宋_GB2312"/>
          <w:sz w:val="32"/>
          <w:lang w:bidi="ar"/>
        </w:rPr>
        <w:t>部门预算项目支出绩效自评表（2024年度）</w:t>
      </w:r>
    </w:p>
    <w:p w14:paraId="018264A1">
      <w:pPr>
        <w:rPr>
          <w:rFonts w:eastAsia="黑体" w:cs="黑体"/>
          <w:kern w:val="0"/>
          <w:sz w:val="32"/>
          <w:szCs w:val="32"/>
          <w:shd w:val="clear" w:color="auto" w:fill="FFFFFF"/>
          <w:lang w:val="zh-CN"/>
        </w:rPr>
      </w:pPr>
      <w:r>
        <w:rPr>
          <w:rFonts w:hint="eastAsia" w:eastAsia="黑体" w:cs="黑体"/>
          <w:kern w:val="0"/>
          <w:sz w:val="32"/>
          <w:szCs w:val="32"/>
          <w:shd w:val="clear" w:color="auto" w:fill="FFFFFF"/>
          <w:lang w:val="zh-CN"/>
        </w:rPr>
        <w:br w:type="page"/>
      </w:r>
    </w:p>
    <w:p w14:paraId="544FCC9E">
      <w:pPr>
        <w:pStyle w:val="7"/>
        <w:spacing w:before="93"/>
        <w:rPr>
          <w:rFonts w:ascii="Times New Roman" w:eastAsia="黑体" w:cs="黑体"/>
          <w:sz w:val="32"/>
          <w:szCs w:val="32"/>
        </w:rPr>
      </w:pPr>
      <w:r>
        <w:rPr>
          <w:rFonts w:hint="eastAsia" w:ascii="Times New Roman" w:eastAsia="黑体" w:cs="黑体"/>
          <w:sz w:val="32"/>
          <w:szCs w:val="32"/>
          <w:shd w:val="clear" w:color="auto" w:fill="FFFFFF"/>
          <w:lang w:val="zh-CN"/>
        </w:rPr>
        <w:t>附件</w:t>
      </w:r>
      <w:r>
        <w:rPr>
          <w:rFonts w:hint="eastAsia" w:ascii="Times New Roman" w:eastAsia="黑体" w:cs="黑体"/>
          <w:sz w:val="32"/>
          <w:szCs w:val="32"/>
          <w:shd w:val="clear" w:color="auto" w:fill="FFFFFF"/>
        </w:rPr>
        <w:t>2</w:t>
      </w:r>
    </w:p>
    <w:p w14:paraId="4FCB1DC1">
      <w:pPr>
        <w:pStyle w:val="36"/>
        <w:spacing w:line="578" w:lineRule="exact"/>
        <w:jc w:val="center"/>
        <w:rPr>
          <w:rFonts w:ascii="Times New Roman" w:hAnsi="Times New Roman" w:eastAsia="方正小标宋简体" w:cs="方正小标宋简体"/>
          <w:color w:val="auto"/>
          <w:kern w:val="2"/>
          <w:sz w:val="44"/>
          <w:szCs w:val="44"/>
          <w:lang w:val="en-US"/>
        </w:rPr>
      </w:pPr>
      <w:r>
        <w:rPr>
          <w:rFonts w:hint="eastAsia" w:ascii="Times New Roman" w:hAnsi="Times New Roman" w:eastAsia="方正小标宋简体" w:cs="方正小标宋简体"/>
          <w:color w:val="auto"/>
          <w:kern w:val="2"/>
          <w:sz w:val="44"/>
          <w:szCs w:val="44"/>
          <w:lang w:val="en-US"/>
        </w:rPr>
        <w:t>沐川县红十字会</w:t>
      </w:r>
    </w:p>
    <w:p w14:paraId="0C84052C">
      <w:pPr>
        <w:pStyle w:val="36"/>
        <w:spacing w:line="578" w:lineRule="exact"/>
        <w:jc w:val="center"/>
        <w:rPr>
          <w:rFonts w:ascii="Times New Roman" w:hAnsi="Times New Roman" w:eastAsia="方正小标宋简体" w:cs="方正小标宋简体"/>
          <w:color w:val="auto"/>
          <w:kern w:val="2"/>
          <w:sz w:val="44"/>
          <w:szCs w:val="44"/>
          <w:lang w:val="en-US"/>
        </w:rPr>
      </w:pPr>
      <w:r>
        <w:rPr>
          <w:rFonts w:hint="eastAsia" w:ascii="Times New Roman" w:hAnsi="Times New Roman" w:eastAsia="方正小标宋简体" w:cs="方正小标宋简体"/>
          <w:color w:val="auto"/>
          <w:kern w:val="2"/>
          <w:sz w:val="44"/>
          <w:szCs w:val="44"/>
          <w:lang w:val="en-US"/>
        </w:rPr>
        <w:t>专项预算项目绩效评价报告</w:t>
      </w:r>
    </w:p>
    <w:p w14:paraId="41DEDEFB">
      <w:pPr>
        <w:pStyle w:val="36"/>
        <w:spacing w:line="578" w:lineRule="exact"/>
        <w:ind w:firstLine="640"/>
        <w:jc w:val="center"/>
        <w:rPr>
          <w:rFonts w:ascii="Times New Roman" w:hAnsi="Times New Roman"/>
          <w:color w:val="auto"/>
          <w:kern w:val="2"/>
          <w:sz w:val="32"/>
          <w:szCs w:val="32"/>
        </w:rPr>
      </w:pPr>
    </w:p>
    <w:p w14:paraId="3C2998EF">
      <w:pPr>
        <w:adjustRightInd w:val="0"/>
        <w:snapToGrid w:val="0"/>
        <w:spacing w:line="578" w:lineRule="exact"/>
        <w:ind w:firstLine="640" w:firstLineChars="200"/>
        <w:rPr>
          <w:rFonts w:eastAsia="黑体"/>
          <w:sz w:val="32"/>
          <w:szCs w:val="32"/>
          <w:lang w:val="zh-CN"/>
        </w:rPr>
      </w:pPr>
      <w:r>
        <w:rPr>
          <w:rFonts w:hint="eastAsia" w:eastAsia="黑体"/>
          <w:sz w:val="32"/>
          <w:szCs w:val="32"/>
        </w:rPr>
        <w:t>一、</w:t>
      </w:r>
      <w:r>
        <w:rPr>
          <w:rFonts w:hint="eastAsia" w:eastAsia="黑体"/>
          <w:sz w:val="32"/>
          <w:szCs w:val="32"/>
          <w:lang w:val="zh-CN"/>
        </w:rPr>
        <w:t>项目概况</w:t>
      </w:r>
    </w:p>
    <w:p w14:paraId="58CDC296">
      <w:pPr>
        <w:widowControl/>
        <w:adjustRightInd w:val="0"/>
        <w:snapToGrid w:val="0"/>
        <w:spacing w:line="578" w:lineRule="exact"/>
        <w:ind w:firstLine="643" w:firstLineChars="200"/>
        <w:contextualSpacing/>
        <w:jc w:val="left"/>
        <w:rPr>
          <w:rFonts w:eastAsia="仿宋_GB2312" w:cs="仿宋_GB2312"/>
          <w:kern w:val="0"/>
          <w:sz w:val="32"/>
          <w:szCs w:val="32"/>
          <w:shd w:val="clear" w:color="auto" w:fill="FFFFFF"/>
          <w:lang w:val="zh-CN"/>
        </w:rPr>
      </w:pPr>
      <w:r>
        <w:rPr>
          <w:rFonts w:hint="eastAsia" w:eastAsia="楷体_GB2312"/>
          <w:b/>
          <w:sz w:val="32"/>
          <w:szCs w:val="32"/>
          <w:lang w:val="zh-CN"/>
        </w:rPr>
        <w:t>（一）设立背景及基本情况。</w:t>
      </w:r>
      <w:r>
        <w:rPr>
          <w:rFonts w:hint="eastAsia" w:ascii="仿宋_GB2312" w:hAnsi="仿宋_GB2312" w:eastAsia="仿宋_GB2312" w:cs="仿宋_GB2312"/>
          <w:bCs/>
          <w:sz w:val="32"/>
          <w:szCs w:val="32"/>
          <w:lang w:val="zh-CN"/>
        </w:rPr>
        <w:t>根据沐川县人民政府阅办文件批示单收文[2021]第1218号文件，我会共计设立特定类项目两个。一是红十字备灾救灾项目，项目资金18万元，二是红十字精神传播项目，项目资金5万元。</w:t>
      </w:r>
    </w:p>
    <w:p w14:paraId="6F8809A5">
      <w:pPr>
        <w:spacing w:line="590" w:lineRule="exact"/>
        <w:ind w:firstLine="643" w:firstLineChars="200"/>
        <w:rPr>
          <w:rFonts w:eastAsia="仿宋_GB2312" w:cs="仿宋_GB2312"/>
          <w:kern w:val="0"/>
          <w:sz w:val="32"/>
          <w:szCs w:val="32"/>
          <w:lang w:val="zh-CN"/>
        </w:rPr>
      </w:pPr>
      <w:r>
        <w:rPr>
          <w:rFonts w:hint="eastAsia" w:eastAsia="楷体_GB2312"/>
          <w:b/>
          <w:sz w:val="32"/>
          <w:szCs w:val="32"/>
          <w:lang w:val="zh-CN"/>
        </w:rPr>
        <w:t>（二）</w:t>
      </w:r>
      <w:r>
        <w:rPr>
          <w:rFonts w:eastAsia="楷体_GB2312"/>
          <w:b/>
          <w:sz w:val="32"/>
          <w:szCs w:val="32"/>
        </w:rPr>
        <w:t>实施目的及支持方向</w:t>
      </w:r>
      <w:r>
        <w:rPr>
          <w:rFonts w:hint="eastAsia" w:eastAsia="楷体_GB2312"/>
          <w:b/>
          <w:sz w:val="32"/>
          <w:szCs w:val="32"/>
        </w:rPr>
        <w:t>。</w:t>
      </w:r>
      <w:r>
        <w:rPr>
          <w:rFonts w:hint="eastAsia" w:ascii="仿宋_GB2312" w:hAnsi="仿宋_GB2312" w:eastAsia="仿宋_GB2312" w:cs="仿宋_GB2312"/>
          <w:color w:val="000000"/>
          <w:kern w:val="0"/>
          <w:sz w:val="32"/>
          <w:szCs w:val="32"/>
          <w:shd w:val="clear" w:color="auto" w:fill="FFFFFF"/>
        </w:rPr>
        <w:t>红十字备灾救灾项目的主要目标是：</w:t>
      </w:r>
      <w:r>
        <w:rPr>
          <w:rFonts w:hint="eastAsia" w:ascii="仿宋_GB2312" w:hAnsi="仿宋_GB2312" w:eastAsia="仿宋_GB2312" w:cs="仿宋_GB2312"/>
          <w:kern w:val="0"/>
          <w:sz w:val="32"/>
          <w:szCs w:val="32"/>
          <w:shd w:val="clear" w:color="auto" w:fill="FFFFFF"/>
          <w:lang w:val="zh-CN"/>
        </w:rPr>
        <w:t>开展备灾救灾工作，建立红十字应急救援体系，开展人道救，开展应急救护培训 、防灾避险和卫生健康知识等；</w:t>
      </w:r>
      <w:r>
        <w:rPr>
          <w:rFonts w:hint="eastAsia" w:ascii="仿宋_GB2312" w:hAnsi="仿宋_GB2312" w:eastAsia="仿宋_GB2312" w:cs="仿宋_GB2312"/>
          <w:sz w:val="32"/>
          <w:szCs w:val="32"/>
          <w:lang w:val="zh-CN"/>
        </w:rPr>
        <w:t>红十字会精神传播经费项目是为加强红十字文化宣传。褒扬红十字工作中涌现的捐赠者、捐献者和优秀会员、志愿者，弘扬自愿捐献、高尚利他的奉献精神和奉献爱心、挽救生命的社会风尚，感召和激励更多的人加入到保护生命和健康的公益事业中来。</w:t>
      </w:r>
    </w:p>
    <w:p w14:paraId="7CA5DD8C">
      <w:pPr>
        <w:pStyle w:val="28"/>
        <w:rPr>
          <w:rFonts w:ascii="Times New Roman" w:hAnsi="Times New Roman" w:eastAsia="仿宋_GB2312" w:cs="仿宋_GB2312"/>
          <w:sz w:val="32"/>
          <w:szCs w:val="32"/>
          <w:lang w:val="zh-CN"/>
        </w:rPr>
      </w:pPr>
      <w:r>
        <w:rPr>
          <w:rFonts w:hint="eastAsia" w:ascii="Times New Roman" w:hAnsi="Times New Roman" w:eastAsia="楷体_GB2312" w:cs="Times New Roman"/>
          <w:b/>
          <w:color w:val="auto"/>
          <w:sz w:val="32"/>
          <w:szCs w:val="32"/>
          <w:lang w:val="zh-CN"/>
        </w:rPr>
        <w:t>（三）</w:t>
      </w:r>
      <w:r>
        <w:rPr>
          <w:rFonts w:ascii="Times New Roman" w:hAnsi="Times New Roman" w:eastAsia="楷体_GB2312" w:cs="Times New Roman"/>
          <w:b/>
          <w:color w:val="auto"/>
          <w:sz w:val="32"/>
          <w:szCs w:val="32"/>
        </w:rPr>
        <w:t>预算安排及分配管理</w:t>
      </w:r>
      <w:r>
        <w:rPr>
          <w:rFonts w:hint="eastAsia" w:ascii="Times New Roman" w:hAnsi="Times New Roman" w:eastAsia="楷体_GB2312" w:cs="Times New Roman"/>
          <w:b/>
          <w:color w:val="auto"/>
          <w:sz w:val="32"/>
          <w:szCs w:val="32"/>
          <w:lang w:val="zh-CN"/>
        </w:rPr>
        <w:t>。</w:t>
      </w:r>
      <w:r>
        <w:rPr>
          <w:rFonts w:hint="eastAsia" w:ascii="仿宋_GB2312" w:hAnsi="仿宋_GB2312" w:eastAsia="仿宋_GB2312" w:cs="仿宋_GB2312"/>
          <w:sz w:val="32"/>
          <w:szCs w:val="32"/>
          <w:shd w:val="clear" w:color="auto" w:fill="FFFFFF"/>
        </w:rPr>
        <w:t>2024年红十字备灾救灾项目安排资金18万元，其中10万元用于购置专用应急救援设备；2万元用于临时人道救助，0.95万元用人应急救护培训，6.05万元用于备灾救灾办公费用。2024年红十字</w:t>
      </w:r>
      <w:r>
        <w:rPr>
          <w:rFonts w:hint="eastAsia" w:ascii="仿宋_GB2312" w:hAnsi="仿宋_GB2312" w:eastAsia="仿宋_GB2312" w:cs="仿宋_GB2312"/>
          <w:sz w:val="32"/>
          <w:szCs w:val="32"/>
          <w:lang w:val="zh-CN"/>
        </w:rPr>
        <w:t>精神传播经费</w:t>
      </w:r>
      <w:r>
        <w:rPr>
          <w:rFonts w:hint="eastAsia" w:ascii="仿宋_GB2312" w:hAnsi="仿宋_GB2312" w:eastAsia="仿宋_GB2312" w:cs="仿宋_GB2312"/>
          <w:sz w:val="32"/>
          <w:szCs w:val="32"/>
        </w:rPr>
        <w:t>安排资金5万元，其中2.5万元用于印刷红字相关宣传资料，2.5万元用于红十字基层阵地建设。沐川县红十字会会对专项资金进行统筹管理；</w:t>
      </w:r>
    </w:p>
    <w:p w14:paraId="66319164">
      <w:pPr>
        <w:spacing w:line="590" w:lineRule="exact"/>
        <w:ind w:firstLine="643" w:firstLineChars="200"/>
        <w:rPr>
          <w:rFonts w:eastAsia="仿宋_GB2312" w:cs="仿宋_GB2312"/>
          <w:kern w:val="0"/>
          <w:sz w:val="32"/>
          <w:szCs w:val="32"/>
          <w:lang w:val="zh-CN"/>
        </w:rPr>
      </w:pPr>
      <w:r>
        <w:rPr>
          <w:rFonts w:hint="eastAsia" w:eastAsia="楷体_GB2312"/>
          <w:b/>
          <w:sz w:val="32"/>
          <w:szCs w:val="32"/>
          <w:lang w:val="zh-CN"/>
        </w:rPr>
        <w:t>（四）项目绩效目标设置。</w:t>
      </w:r>
      <w:r>
        <w:rPr>
          <w:rFonts w:hint="eastAsia" w:ascii="仿宋_GB2312" w:eastAsia="仿宋_GB2312" w:cs="仿宋_GB2312"/>
          <w:kern w:val="0"/>
          <w:sz w:val="32"/>
          <w:szCs w:val="32"/>
          <w:lang w:val="zh-CN"/>
        </w:rPr>
        <w:t>项目整体目标</w:t>
      </w:r>
      <w:r>
        <w:rPr>
          <w:rFonts w:hint="eastAsia" w:ascii="仿宋_GB2312" w:cs="仿宋_GB2312"/>
          <w:kern w:val="0"/>
          <w:sz w:val="32"/>
          <w:szCs w:val="32"/>
        </w:rPr>
        <w:t>是宣传红十字精神，做好政府的人道助手。</w:t>
      </w:r>
    </w:p>
    <w:p w14:paraId="791637EB">
      <w:pPr>
        <w:adjustRightInd w:val="0"/>
        <w:snapToGrid w:val="0"/>
        <w:spacing w:line="578" w:lineRule="exact"/>
        <w:ind w:firstLine="640" w:firstLineChars="200"/>
        <w:rPr>
          <w:rFonts w:eastAsia="黑体"/>
          <w:sz w:val="32"/>
          <w:szCs w:val="32"/>
        </w:rPr>
      </w:pPr>
      <w:r>
        <w:rPr>
          <w:rFonts w:hint="eastAsia" w:eastAsia="黑体"/>
          <w:sz w:val="32"/>
          <w:szCs w:val="32"/>
        </w:rPr>
        <w:t>二、评价实施</w:t>
      </w:r>
    </w:p>
    <w:p w14:paraId="3DD0DC72">
      <w:pPr>
        <w:spacing w:line="578" w:lineRule="exact"/>
        <w:ind w:firstLine="640"/>
        <w:rPr>
          <w:rFonts w:eastAsia="仿宋_GB2312" w:cs="仿宋_GB2312"/>
          <w:kern w:val="0"/>
          <w:sz w:val="32"/>
          <w:szCs w:val="32"/>
          <w:lang w:val="zh-CN"/>
        </w:rPr>
      </w:pPr>
      <w:r>
        <w:rPr>
          <w:rFonts w:hint="eastAsia" w:eastAsia="楷体_GB2312"/>
          <w:b/>
          <w:sz w:val="32"/>
          <w:szCs w:val="32"/>
          <w:lang w:val="zh-CN"/>
        </w:rPr>
        <w:t>（一）评价目的。</w:t>
      </w:r>
      <w:r>
        <w:rPr>
          <w:rFonts w:hint="eastAsia" w:eastAsia="仿宋_GB2312" w:cs="仿宋_GB2312"/>
          <w:kern w:val="0"/>
          <w:sz w:val="32"/>
          <w:szCs w:val="32"/>
          <w:lang w:val="zh-CN"/>
        </w:rPr>
        <w:t>通过项目绩效自评</w:t>
      </w:r>
      <w:r>
        <w:rPr>
          <w:rFonts w:hint="eastAsia" w:eastAsia="仿宋_GB2312" w:cs="仿宋_GB2312"/>
          <w:kern w:val="0"/>
          <w:sz w:val="32"/>
          <w:szCs w:val="32"/>
        </w:rPr>
        <w:t>监督项目实施</w:t>
      </w:r>
      <w:r>
        <w:rPr>
          <w:rFonts w:hint="eastAsia" w:eastAsia="仿宋_GB2312" w:cs="仿宋_GB2312"/>
          <w:kern w:val="0"/>
          <w:sz w:val="32"/>
          <w:szCs w:val="32"/>
          <w:lang w:val="zh-CN"/>
        </w:rPr>
        <w:t>。</w:t>
      </w:r>
    </w:p>
    <w:p w14:paraId="3033F111">
      <w:pPr>
        <w:autoSpaceDE w:val="0"/>
        <w:autoSpaceDN w:val="0"/>
        <w:adjustRightInd w:val="0"/>
        <w:ind w:firstLine="643" w:firstLineChars="200"/>
        <w:jc w:val="left"/>
        <w:rPr>
          <w:rFonts w:eastAsia="仿宋_GB2312" w:cs="仿宋_GB2312"/>
          <w:kern w:val="0"/>
          <w:sz w:val="32"/>
          <w:szCs w:val="32"/>
          <w:lang w:val="zh-CN"/>
        </w:rPr>
      </w:pPr>
      <w:r>
        <w:rPr>
          <w:rFonts w:hint="eastAsia" w:eastAsia="楷体_GB2312"/>
          <w:b/>
          <w:sz w:val="32"/>
          <w:szCs w:val="32"/>
          <w:lang w:val="zh-CN"/>
        </w:rPr>
        <w:t>（二）预设问题及评价重点。</w:t>
      </w:r>
      <w:r>
        <w:rPr>
          <w:rFonts w:hint="eastAsia" w:ascii="仿宋_GB2312" w:eastAsia="仿宋_GB2312" w:cs="仿宋_GB2312"/>
          <w:kern w:val="0"/>
          <w:sz w:val="32"/>
          <w:szCs w:val="32"/>
        </w:rPr>
        <w:t>通过开展本次专项预算项目绩效自评，强化专项预算资金的管理，提高资金使用的规范性、安全性和有效性</w:t>
      </w:r>
      <w:r>
        <w:rPr>
          <w:rFonts w:hint="eastAsia"/>
        </w:rPr>
        <w:t>。</w:t>
      </w:r>
    </w:p>
    <w:p w14:paraId="646BC7EE">
      <w:pPr>
        <w:spacing w:line="578" w:lineRule="exact"/>
        <w:ind w:firstLine="640"/>
        <w:rPr>
          <w:rFonts w:eastAsia="楷体_GB2312"/>
          <w:b/>
          <w:sz w:val="32"/>
          <w:szCs w:val="32"/>
          <w:lang w:val="zh-CN"/>
        </w:rPr>
      </w:pPr>
      <w:r>
        <w:rPr>
          <w:rFonts w:hint="eastAsia" w:eastAsia="楷体_GB2312"/>
          <w:b/>
          <w:sz w:val="32"/>
          <w:szCs w:val="32"/>
          <w:lang w:val="zh-CN"/>
        </w:rPr>
        <w:t>（三）评价选点。</w:t>
      </w:r>
    </w:p>
    <w:p w14:paraId="466163C4">
      <w:pPr>
        <w:autoSpaceDE w:val="0"/>
        <w:autoSpaceDN w:val="0"/>
        <w:adjustRightInd w:val="0"/>
        <w:ind w:firstLine="643" w:firstLineChars="200"/>
        <w:jc w:val="left"/>
        <w:rPr>
          <w:rFonts w:ascii="仿宋_GB2312" w:eastAsia="仿宋_GB2312" w:cs="仿宋_GB2312"/>
          <w:kern w:val="0"/>
          <w:sz w:val="32"/>
          <w:szCs w:val="32"/>
        </w:rPr>
      </w:pPr>
      <w:r>
        <w:rPr>
          <w:rFonts w:hint="eastAsia" w:eastAsia="楷体_GB2312"/>
          <w:b/>
          <w:sz w:val="32"/>
          <w:szCs w:val="32"/>
          <w:lang w:val="zh-CN"/>
        </w:rPr>
        <w:t>（四）评价方法。</w:t>
      </w:r>
      <w:r>
        <w:rPr>
          <w:rFonts w:hint="eastAsia" w:ascii="仿宋_GB2312" w:eastAsia="仿宋_GB2312" w:cs="仿宋_GB2312"/>
          <w:kern w:val="0"/>
          <w:sz w:val="32"/>
          <w:szCs w:val="32"/>
        </w:rPr>
        <w:t>采用单位自评法、问卷调查法等方法，开展项目绩效自评。</w:t>
      </w:r>
    </w:p>
    <w:p w14:paraId="3B718975">
      <w:pPr>
        <w:spacing w:line="578" w:lineRule="exact"/>
        <w:ind w:firstLine="640"/>
        <w:rPr>
          <w:rFonts w:eastAsia="仿宋_GB2312"/>
          <w:bCs/>
        </w:rPr>
      </w:pPr>
      <w:r>
        <w:rPr>
          <w:rFonts w:hint="eastAsia" w:eastAsia="楷体_GB2312"/>
          <w:b/>
          <w:sz w:val="32"/>
          <w:szCs w:val="32"/>
          <w:lang w:val="zh-CN"/>
        </w:rPr>
        <w:t>（五）评价组织。</w:t>
      </w:r>
      <w:r>
        <w:rPr>
          <w:rFonts w:hint="eastAsia" w:eastAsia="仿宋_GB2312" w:cs="仿宋_GB2312"/>
          <w:kern w:val="0"/>
          <w:sz w:val="32"/>
          <w:szCs w:val="32"/>
        </w:rPr>
        <w:t>由单位财务分管领导，财务工作人员评价</w:t>
      </w:r>
      <w:r>
        <w:rPr>
          <w:rFonts w:hint="eastAsia" w:eastAsia="仿宋_GB2312" w:cs="仿宋_GB2312"/>
          <w:kern w:val="0"/>
          <w:sz w:val="32"/>
          <w:szCs w:val="32"/>
          <w:lang w:val="zh-CN"/>
        </w:rPr>
        <w:t>。</w:t>
      </w:r>
    </w:p>
    <w:p w14:paraId="2E1710AA">
      <w:pPr>
        <w:adjustRightInd w:val="0"/>
        <w:snapToGrid w:val="0"/>
        <w:spacing w:line="578" w:lineRule="exact"/>
        <w:ind w:firstLine="640" w:firstLineChars="200"/>
        <w:rPr>
          <w:sz w:val="32"/>
          <w:szCs w:val="32"/>
          <w:lang w:val="zh-CN"/>
        </w:rPr>
      </w:pPr>
      <w:r>
        <w:rPr>
          <w:rFonts w:hint="eastAsia" w:eastAsia="黑体"/>
          <w:sz w:val="32"/>
          <w:szCs w:val="32"/>
        </w:rPr>
        <w:t>三、绩效分析</w:t>
      </w:r>
      <w:r>
        <w:rPr>
          <w:rFonts w:hint="eastAsia"/>
          <w:sz w:val="32"/>
          <w:szCs w:val="32"/>
          <w:lang w:val="zh-CN"/>
        </w:rPr>
        <w:tab/>
      </w:r>
    </w:p>
    <w:p w14:paraId="129D4B30">
      <w:pPr>
        <w:spacing w:line="578" w:lineRule="exact"/>
        <w:ind w:firstLine="640"/>
        <w:rPr>
          <w:rFonts w:eastAsia="仿宋_GB2312" w:cs="仿宋_GB2312"/>
          <w:kern w:val="0"/>
          <w:sz w:val="32"/>
          <w:szCs w:val="32"/>
        </w:rPr>
      </w:pPr>
      <w:r>
        <w:rPr>
          <w:rFonts w:eastAsia="仿宋_GB2312" w:cs="仿宋_GB2312"/>
          <w:kern w:val="0"/>
          <w:sz w:val="32"/>
          <w:szCs w:val="32"/>
          <w:lang w:val="zh-CN"/>
        </w:rPr>
        <w:t>根据</w:t>
      </w:r>
      <w:r>
        <w:rPr>
          <w:rFonts w:hint="eastAsia" w:eastAsia="仿宋_GB2312" w:cs="仿宋_GB2312"/>
          <w:kern w:val="0"/>
          <w:sz w:val="32"/>
          <w:szCs w:val="32"/>
          <w:lang w:val="zh-CN"/>
        </w:rPr>
        <w:t>项目</w:t>
      </w:r>
      <w:r>
        <w:rPr>
          <w:rFonts w:eastAsia="仿宋_GB2312" w:cs="仿宋_GB2312"/>
          <w:kern w:val="0"/>
          <w:sz w:val="32"/>
          <w:szCs w:val="32"/>
          <w:lang w:val="zh-CN"/>
        </w:rPr>
        <w:t>预算绩效评价指标体系</w:t>
      </w:r>
      <w:r>
        <w:rPr>
          <w:rFonts w:hint="eastAsia" w:eastAsia="仿宋_GB2312" w:cs="仿宋_GB2312"/>
          <w:kern w:val="0"/>
          <w:sz w:val="32"/>
          <w:szCs w:val="32"/>
          <w:lang w:val="zh-CN"/>
        </w:rPr>
        <w:t>通用指标、专用指标、个性指标</w:t>
      </w:r>
      <w:r>
        <w:rPr>
          <w:rFonts w:eastAsia="仿宋_GB2312" w:cs="仿宋_GB2312"/>
          <w:kern w:val="0"/>
          <w:sz w:val="32"/>
          <w:szCs w:val="32"/>
          <w:lang w:val="zh-CN"/>
        </w:rPr>
        <w:t>涉及</w:t>
      </w:r>
      <w:r>
        <w:rPr>
          <w:rFonts w:hint="eastAsia" w:eastAsia="仿宋_GB2312" w:cs="仿宋_GB2312"/>
          <w:kern w:val="0"/>
          <w:sz w:val="32"/>
          <w:szCs w:val="32"/>
          <w:lang w:val="zh-CN"/>
        </w:rPr>
        <w:t>二、三级</w:t>
      </w:r>
      <w:r>
        <w:rPr>
          <w:rFonts w:eastAsia="仿宋_GB2312" w:cs="仿宋_GB2312"/>
          <w:kern w:val="0"/>
          <w:sz w:val="32"/>
          <w:szCs w:val="32"/>
          <w:lang w:val="zh-CN"/>
        </w:rPr>
        <w:t>指标进行</w:t>
      </w:r>
      <w:r>
        <w:rPr>
          <w:rFonts w:hint="eastAsia" w:eastAsia="仿宋_GB2312" w:cs="仿宋_GB2312"/>
          <w:kern w:val="0"/>
          <w:sz w:val="32"/>
          <w:szCs w:val="32"/>
          <w:lang w:val="zh-CN"/>
        </w:rPr>
        <w:t>逐项</w:t>
      </w:r>
      <w:r>
        <w:rPr>
          <w:rFonts w:eastAsia="仿宋_GB2312" w:cs="仿宋_GB2312"/>
          <w:kern w:val="0"/>
          <w:sz w:val="32"/>
          <w:szCs w:val="32"/>
          <w:lang w:val="zh-CN"/>
        </w:rPr>
        <w:t>绩效分析</w:t>
      </w:r>
      <w:r>
        <w:rPr>
          <w:rFonts w:hint="eastAsia" w:eastAsia="仿宋_GB2312" w:cs="仿宋_GB2312"/>
          <w:kern w:val="0"/>
          <w:sz w:val="32"/>
          <w:szCs w:val="32"/>
          <w:lang w:val="zh-CN"/>
        </w:rPr>
        <w:t>并评分</w:t>
      </w:r>
      <w:r>
        <w:rPr>
          <w:rFonts w:hint="eastAsia" w:eastAsia="仿宋_GB2312" w:cs="仿宋_GB2312"/>
          <w:kern w:val="0"/>
          <w:sz w:val="32"/>
          <w:szCs w:val="32"/>
        </w:rPr>
        <w:t>。</w:t>
      </w:r>
    </w:p>
    <w:p w14:paraId="1FDBAD05">
      <w:pPr>
        <w:spacing w:line="578" w:lineRule="exact"/>
        <w:ind w:firstLine="640"/>
        <w:rPr>
          <w:rFonts w:eastAsia="楷体_GB2312"/>
          <w:b/>
          <w:sz w:val="32"/>
          <w:szCs w:val="32"/>
        </w:rPr>
      </w:pPr>
      <w:r>
        <w:rPr>
          <w:rFonts w:hint="eastAsia" w:eastAsia="楷体_GB2312"/>
          <w:b/>
          <w:sz w:val="32"/>
          <w:szCs w:val="32"/>
          <w:lang w:val="zh-CN"/>
        </w:rPr>
        <w:t>（一）</w:t>
      </w:r>
      <w:r>
        <w:rPr>
          <w:rFonts w:hint="eastAsia" w:eastAsia="楷体_GB2312"/>
          <w:b/>
          <w:sz w:val="32"/>
          <w:szCs w:val="32"/>
        </w:rPr>
        <w:t>通用指标</w:t>
      </w:r>
      <w:r>
        <w:rPr>
          <w:rFonts w:eastAsia="楷体_GB2312"/>
          <w:b/>
          <w:bCs/>
          <w:color w:val="000000"/>
          <w:kern w:val="0"/>
          <w:sz w:val="32"/>
          <w:szCs w:val="32"/>
          <w:shd w:val="clear" w:color="auto" w:fill="FFFFFF"/>
          <w:lang w:val="zh-CN"/>
        </w:rPr>
        <w:t>绩效分析。</w:t>
      </w:r>
    </w:p>
    <w:p w14:paraId="1CD41600">
      <w:pPr>
        <w:spacing w:line="59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 项目决策。</w:t>
      </w:r>
      <w:r>
        <w:rPr>
          <w:rFonts w:hint="eastAsia" w:ascii="仿宋_GB2312" w:hAnsi="仿宋_GB2312" w:eastAsia="仿宋_GB2312" w:cs="仿宋_GB2312"/>
          <w:kern w:val="0"/>
          <w:sz w:val="32"/>
          <w:szCs w:val="32"/>
        </w:rPr>
        <w:t>财政性资金和项目管理决策遵循依法合规、分类分层、注重绩效、公开透明的原则。</w:t>
      </w:r>
    </w:p>
    <w:p w14:paraId="0696AF10">
      <w:pPr>
        <w:spacing w:line="59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 项目管理。</w:t>
      </w:r>
      <w:r>
        <w:rPr>
          <w:rFonts w:hint="eastAsia" w:ascii="仿宋_GB2312" w:hAnsi="仿宋_GB2312" w:eastAsia="仿宋_GB2312" w:cs="仿宋_GB2312"/>
          <w:kern w:val="0"/>
          <w:sz w:val="32"/>
          <w:szCs w:val="32"/>
        </w:rPr>
        <w:t>从项目申报、资金安排、资金使用、资金绩效、廉洁用权等五个方面开展监督自查。</w:t>
      </w:r>
    </w:p>
    <w:p w14:paraId="28E39E05">
      <w:pPr>
        <w:spacing w:line="590" w:lineRule="exact"/>
        <w:ind w:left="420" w:leftChars="200"/>
        <w:rPr>
          <w:rFonts w:ascii="仿宋_GB2312" w:hAnsi="仿宋_GB2312" w:eastAsia="仿宋_GB2312" w:cs="仿宋_GB2312"/>
          <w:kern w:val="0"/>
          <w:sz w:val="32"/>
          <w:szCs w:val="32"/>
        </w:rPr>
      </w:pPr>
      <w:r>
        <w:rPr>
          <w:rFonts w:hint="eastAsia" w:ascii="仿宋_GB2312" w:hAnsi="仿宋_GB2312" w:eastAsia="仿宋_GB2312" w:cs="仿宋_GB2312"/>
          <w:sz w:val="32"/>
          <w:szCs w:val="32"/>
        </w:rPr>
        <w:t>3. 项目实施。</w:t>
      </w:r>
      <w:r>
        <w:rPr>
          <w:rFonts w:hint="eastAsia" w:ascii="仿宋_GB2312" w:hAnsi="仿宋_GB2312" w:eastAsia="仿宋_GB2312" w:cs="仿宋_GB2312"/>
          <w:kern w:val="0"/>
          <w:sz w:val="32"/>
          <w:szCs w:val="32"/>
        </w:rPr>
        <w:t>各项目实施单位能按照相关规定和管理办法</w:t>
      </w:r>
    </w:p>
    <w:p w14:paraId="0464F944">
      <w:pPr>
        <w:spacing w:line="590" w:lineRule="exact"/>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执行，建立相应的财务和内控管理制度，</w:t>
      </w:r>
    </w:p>
    <w:p w14:paraId="1E9D75BE">
      <w:pPr>
        <w:spacing w:line="0" w:lineRule="atLeast"/>
        <w:ind w:firstLine="640" w:firstLineChars="200"/>
        <w:jc w:val="left"/>
      </w:pPr>
      <w:r>
        <w:rPr>
          <w:rFonts w:hint="eastAsia" w:ascii="仿宋_GB2312" w:hAnsi="仿宋_GB2312" w:eastAsia="仿宋_GB2312" w:cs="仿宋_GB2312"/>
          <w:sz w:val="32"/>
          <w:szCs w:val="32"/>
        </w:rPr>
        <w:t>4. 项目结果。打造红十字基层阵地4个，配置AED急救设备2台，开展应急救护员培训612人，</w:t>
      </w:r>
      <w:r>
        <w:rPr>
          <w:rFonts w:hint="eastAsia" w:ascii="仿宋_GB2312" w:hAnsi="仿宋_GB2312" w:eastAsia="仿宋_GB2312" w:cs="仿宋_GB2312"/>
          <w:color w:val="000000"/>
          <w:kern w:val="0"/>
          <w:sz w:val="32"/>
          <w:szCs w:val="32"/>
          <w:lang w:bidi="ar"/>
        </w:rPr>
        <w:t>筹集资金和物资折价404万元。</w:t>
      </w:r>
    </w:p>
    <w:p w14:paraId="503B7EA8">
      <w:pPr>
        <w:spacing w:line="578" w:lineRule="exact"/>
        <w:ind w:firstLine="640"/>
        <w:rPr>
          <w:rFonts w:eastAsia="楷体_GB2312"/>
          <w:b/>
          <w:sz w:val="32"/>
          <w:szCs w:val="32"/>
          <w:lang w:val="zh-CN"/>
        </w:rPr>
      </w:pPr>
      <w:r>
        <w:rPr>
          <w:rFonts w:hint="eastAsia" w:eastAsia="楷体_GB2312"/>
          <w:b/>
          <w:sz w:val="32"/>
          <w:szCs w:val="32"/>
          <w:lang w:val="zh-CN"/>
        </w:rPr>
        <w:t>（二）</w:t>
      </w:r>
      <w:r>
        <w:rPr>
          <w:rFonts w:hint="eastAsia" w:eastAsia="楷体_GB2312"/>
          <w:b/>
          <w:sz w:val="32"/>
          <w:szCs w:val="32"/>
        </w:rPr>
        <w:t>专用指标</w:t>
      </w:r>
      <w:r>
        <w:rPr>
          <w:rFonts w:hint="eastAsia" w:eastAsia="楷体_GB2312"/>
          <w:b/>
          <w:sz w:val="32"/>
          <w:szCs w:val="32"/>
          <w:lang w:val="zh-CN"/>
        </w:rPr>
        <w:t>绩效分析。</w:t>
      </w:r>
    </w:p>
    <w:p w14:paraId="6CA8A959">
      <w:pPr>
        <w:spacing w:line="590" w:lineRule="exact"/>
        <w:ind w:firstLine="640" w:firstLineChars="200"/>
      </w:pPr>
      <w:r>
        <w:rPr>
          <w:rFonts w:hint="eastAsia" w:ascii="仿宋_GB2312" w:hAnsi="仿宋_GB2312" w:eastAsia="仿宋_GB2312" w:cs="仿宋_GB2312"/>
          <w:sz w:val="32"/>
          <w:szCs w:val="32"/>
        </w:rPr>
        <w:t xml:space="preserve">1. </w:t>
      </w:r>
      <w:r>
        <w:rPr>
          <w:rFonts w:hint="eastAsia" w:ascii="仿宋_GB2312" w:hAnsi="仿宋_GB2312" w:eastAsia="仿宋_GB2312" w:cs="仿宋_GB2312"/>
          <w:sz w:val="32"/>
          <w:szCs w:val="32"/>
          <w:lang w:val="zh-CN"/>
        </w:rPr>
        <w:t>民生保障。</w:t>
      </w:r>
      <w:r>
        <w:rPr>
          <w:rFonts w:hint="eastAsia" w:ascii="仿宋_GB2312" w:hAnsi="仿宋_GB2312" w:eastAsia="仿宋_GB2312" w:cs="仿宋_GB2312"/>
          <w:sz w:val="32"/>
          <w:szCs w:val="32"/>
        </w:rPr>
        <w:t>群总满意度达到99%以上。</w:t>
      </w:r>
    </w:p>
    <w:p w14:paraId="029B27BA">
      <w:pPr>
        <w:spacing w:line="590" w:lineRule="exact"/>
        <w:ind w:firstLine="640"/>
        <w:rPr>
          <w:rFonts w:ascii="仿宋_GB2312" w:hAnsi="仿宋_GB2312" w:eastAsia="仿宋_GB2312" w:cs="仿宋_GB2312"/>
          <w:sz w:val="32"/>
          <w:szCs w:val="32"/>
        </w:rPr>
      </w:pPr>
      <w:r>
        <w:rPr>
          <w:rFonts w:hint="eastAsia" w:eastAsia="楷体_GB2312"/>
          <w:b/>
          <w:sz w:val="32"/>
          <w:szCs w:val="32"/>
          <w:lang w:val="zh-CN"/>
        </w:rPr>
        <w:t>（三）</w:t>
      </w:r>
      <w:r>
        <w:rPr>
          <w:rFonts w:hint="eastAsia" w:eastAsia="楷体_GB2312"/>
          <w:b/>
          <w:sz w:val="32"/>
          <w:szCs w:val="32"/>
        </w:rPr>
        <w:t>个性指标</w:t>
      </w:r>
      <w:r>
        <w:rPr>
          <w:rFonts w:hint="eastAsia" w:eastAsia="楷体_GB2312"/>
          <w:b/>
          <w:sz w:val="32"/>
          <w:szCs w:val="32"/>
          <w:lang w:val="zh-CN"/>
        </w:rPr>
        <w:t>绩效分析。</w:t>
      </w:r>
      <w:r>
        <w:rPr>
          <w:rFonts w:hint="eastAsia" w:ascii="仿宋_GB2312" w:hAnsi="仿宋_GB2312" w:eastAsia="仿宋_GB2312" w:cs="仿宋_GB2312"/>
          <w:sz w:val="32"/>
          <w:szCs w:val="32"/>
          <w:lang w:val="zh-CN"/>
        </w:rPr>
        <w:t>根据项目个性自行设定部分指标，反映该项指标执行完成情况。</w:t>
      </w:r>
    </w:p>
    <w:p w14:paraId="30F674BD">
      <w:pPr>
        <w:spacing w:line="578" w:lineRule="exact"/>
        <w:ind w:firstLine="640"/>
        <w:rPr>
          <w:rFonts w:ascii="黑体" w:hAnsi="黑体" w:eastAsia="黑体" w:cs="黑体"/>
          <w:kern w:val="0"/>
          <w:sz w:val="32"/>
          <w:szCs w:val="32"/>
        </w:rPr>
      </w:pPr>
      <w:r>
        <w:rPr>
          <w:rFonts w:hint="eastAsia" w:ascii="黑体" w:hAnsi="黑体" w:eastAsia="黑体" w:cs="黑体"/>
          <w:kern w:val="0"/>
          <w:sz w:val="32"/>
          <w:szCs w:val="32"/>
        </w:rPr>
        <w:t>四、评价结论</w:t>
      </w:r>
    </w:p>
    <w:p w14:paraId="604CADF5">
      <w:pPr>
        <w:pStyle w:val="7"/>
        <w:tabs>
          <w:tab w:val="left" w:pos="2160"/>
        </w:tabs>
        <w:spacing w:before="93" w:line="590" w:lineRule="exact"/>
        <w:ind w:firstLine="640" w:firstLineChars="200"/>
        <w:rPr>
          <w:rFonts w:ascii="黑体" w:hAnsi="黑体" w:cs="黑体"/>
          <w:kern w:val="2"/>
          <w:sz w:val="32"/>
          <w:szCs w:val="32"/>
        </w:rPr>
      </w:pPr>
      <w:r>
        <w:rPr>
          <w:rFonts w:hint="eastAsia" w:cs="仿宋_GB2312"/>
          <w:sz w:val="32"/>
          <w:szCs w:val="32"/>
        </w:rPr>
        <w:t>总体而言，项目决策较科学合理、项目管理较规范到位、项目完成质量较高、运行保障有力、项目效益较明显。我会自评得分98分。两个项目在年内全部设施完毕。</w:t>
      </w:r>
    </w:p>
    <w:p w14:paraId="363B380E">
      <w:pPr>
        <w:spacing w:line="578" w:lineRule="exact"/>
        <w:ind w:firstLine="640"/>
        <w:rPr>
          <w:rFonts w:ascii="黑体" w:hAnsi="黑体" w:eastAsia="黑体" w:cs="黑体"/>
          <w:kern w:val="0"/>
          <w:sz w:val="32"/>
          <w:szCs w:val="32"/>
        </w:rPr>
      </w:pPr>
      <w:r>
        <w:rPr>
          <w:rFonts w:hint="eastAsia" w:ascii="黑体" w:hAnsi="黑体" w:eastAsia="黑体" w:cs="黑体"/>
          <w:kern w:val="0"/>
          <w:sz w:val="32"/>
          <w:szCs w:val="32"/>
        </w:rPr>
        <w:t>五、存在主要问题</w:t>
      </w:r>
    </w:p>
    <w:p w14:paraId="032BB385">
      <w:pPr>
        <w:spacing w:line="578" w:lineRule="exact"/>
        <w:ind w:firstLine="640"/>
        <w:rPr>
          <w:rFonts w:eastAsia="仿宋_GB2312" w:cs="仿宋_GB2312"/>
          <w:kern w:val="0"/>
          <w:sz w:val="32"/>
          <w:szCs w:val="32"/>
        </w:rPr>
      </w:pPr>
      <w:r>
        <w:rPr>
          <w:rFonts w:hint="eastAsia" w:eastAsia="仿宋_GB2312" w:cs="仿宋_GB2312"/>
          <w:kern w:val="0"/>
          <w:sz w:val="32"/>
          <w:szCs w:val="32"/>
        </w:rPr>
        <w:t>无。</w:t>
      </w:r>
    </w:p>
    <w:p w14:paraId="4DF6299A">
      <w:pPr>
        <w:spacing w:line="578" w:lineRule="exact"/>
        <w:ind w:firstLine="640"/>
        <w:rPr>
          <w:rFonts w:ascii="黑体" w:hAnsi="黑体" w:eastAsia="黑体" w:cs="黑体"/>
          <w:kern w:val="0"/>
          <w:sz w:val="32"/>
          <w:szCs w:val="32"/>
          <w:lang w:val="zh-CN"/>
        </w:rPr>
      </w:pPr>
      <w:r>
        <w:rPr>
          <w:rFonts w:hint="eastAsia" w:ascii="黑体" w:hAnsi="黑体" w:eastAsia="黑体" w:cs="黑体"/>
          <w:kern w:val="0"/>
          <w:sz w:val="32"/>
          <w:szCs w:val="32"/>
          <w:lang w:val="zh-CN"/>
        </w:rPr>
        <w:t>六、改进建议</w:t>
      </w:r>
    </w:p>
    <w:p w14:paraId="15EE7C30">
      <w:pPr>
        <w:spacing w:line="59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1.持续加强资金项目监管，切实提升资金使用质效。</w:t>
      </w:r>
    </w:p>
    <w:p w14:paraId="73F0C3D6">
      <w:pPr>
        <w:spacing w:line="578" w:lineRule="exact"/>
        <w:ind w:firstLine="640"/>
        <w:rPr>
          <w:rFonts w:eastAsia="仿宋_GB2312" w:cs="仿宋_GB2312"/>
          <w:kern w:val="0"/>
          <w:sz w:val="32"/>
          <w:szCs w:val="32"/>
        </w:rPr>
      </w:pPr>
      <w:r>
        <w:rPr>
          <w:rFonts w:hint="eastAsia" w:ascii="仿宋_GB2312" w:hAnsi="仿宋_GB2312" w:eastAsia="仿宋_GB2312" w:cs="仿宋_GB2312"/>
          <w:kern w:val="0"/>
          <w:sz w:val="32"/>
          <w:szCs w:val="32"/>
        </w:rPr>
        <w:t>2.不断提高项目过程管理水平，着力加快项目实施进度</w:t>
      </w:r>
    </w:p>
    <w:p w14:paraId="7D845B53">
      <w:pPr>
        <w:spacing w:line="578" w:lineRule="exact"/>
        <w:ind w:firstLine="640"/>
        <w:rPr>
          <w:rFonts w:eastAsia="仿宋_GB2312" w:cs="仿宋_GB2312"/>
          <w:kern w:val="0"/>
          <w:sz w:val="32"/>
          <w:szCs w:val="32"/>
        </w:rPr>
      </w:pPr>
    </w:p>
    <w:p w14:paraId="4F9EF2A0">
      <w:pPr>
        <w:spacing w:line="578" w:lineRule="exact"/>
        <w:ind w:firstLine="640"/>
        <w:rPr>
          <w:rFonts w:eastAsia="仿宋_GB2312" w:cs="仿宋_GB2312"/>
          <w:kern w:val="0"/>
          <w:sz w:val="32"/>
          <w:szCs w:val="32"/>
        </w:rPr>
      </w:pPr>
      <w:bookmarkStart w:id="54" w:name="_Toc15396618"/>
      <w:r>
        <w:rPr>
          <w:rFonts w:hint="eastAsia" w:eastAsia="仿宋_GB2312" w:cs="仿宋_GB2312"/>
          <w:kern w:val="0"/>
          <w:sz w:val="32"/>
          <w:szCs w:val="32"/>
        </w:rPr>
        <w:br w:type="page"/>
      </w:r>
    </w:p>
    <w:p w14:paraId="208FF700">
      <w:pPr>
        <w:widowControl/>
        <w:jc w:val="center"/>
        <w:rPr>
          <w:rFonts w:eastAsia="仿宋"/>
        </w:rPr>
      </w:pPr>
      <w:r>
        <w:rPr>
          <w:rFonts w:hint="eastAsia" w:eastAsia="黑体"/>
          <w:sz w:val="44"/>
          <w:szCs w:val="44"/>
        </w:rPr>
        <w:t>第</w:t>
      </w:r>
      <w:r>
        <w:rPr>
          <w:rStyle w:val="30"/>
          <w:rFonts w:hint="eastAsia" w:eastAsia="黑体"/>
          <w:b w:val="0"/>
        </w:rPr>
        <w:t>五部分 附表</w:t>
      </w:r>
      <w:bookmarkEnd w:id="52"/>
      <w:bookmarkEnd w:id="54"/>
      <w:bookmarkStart w:id="55" w:name="_Toc15396619"/>
    </w:p>
    <w:p w14:paraId="4413044D">
      <w:pPr>
        <w:pStyle w:val="16"/>
        <w:adjustRightInd w:val="0"/>
        <w:snapToGrid w:val="0"/>
        <w:spacing w:line="560" w:lineRule="exact"/>
        <w:jc w:val="left"/>
        <w:rPr>
          <w:rFonts w:eastAsia="仿宋_GB2312" w:cs="仿宋_GB2312"/>
          <w:sz w:val="32"/>
          <w:szCs w:val="32"/>
        </w:rPr>
      </w:pPr>
    </w:p>
    <w:p w14:paraId="4E6245D5">
      <w:pPr>
        <w:pStyle w:val="16"/>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55"/>
    </w:p>
    <w:p w14:paraId="7F87A5ED">
      <w:pPr>
        <w:pStyle w:val="16"/>
        <w:adjustRightInd w:val="0"/>
        <w:snapToGrid w:val="0"/>
        <w:spacing w:line="560" w:lineRule="exact"/>
        <w:jc w:val="left"/>
        <w:rPr>
          <w:rFonts w:eastAsia="仿宋_GB2312" w:cs="仿宋_GB2312"/>
          <w:sz w:val="32"/>
          <w:szCs w:val="32"/>
        </w:rPr>
      </w:pPr>
      <w:bookmarkStart w:id="56" w:name="_Toc15396620"/>
      <w:r>
        <w:rPr>
          <w:rFonts w:hint="eastAsia" w:eastAsia="仿宋_GB2312" w:cs="仿宋_GB2312"/>
          <w:sz w:val="32"/>
          <w:szCs w:val="32"/>
        </w:rPr>
        <w:t>二、收入决算表</w:t>
      </w:r>
      <w:bookmarkEnd w:id="56"/>
    </w:p>
    <w:p w14:paraId="20EC0ADC">
      <w:pPr>
        <w:pStyle w:val="16"/>
        <w:adjustRightInd w:val="0"/>
        <w:snapToGrid w:val="0"/>
        <w:spacing w:line="560" w:lineRule="exact"/>
        <w:jc w:val="left"/>
        <w:rPr>
          <w:rFonts w:eastAsia="仿宋_GB2312" w:cs="仿宋_GB2312"/>
          <w:sz w:val="32"/>
          <w:szCs w:val="32"/>
        </w:rPr>
      </w:pPr>
      <w:bookmarkStart w:id="57" w:name="_Toc15396621"/>
      <w:r>
        <w:rPr>
          <w:rFonts w:hint="eastAsia" w:eastAsia="仿宋_GB2312" w:cs="仿宋_GB2312"/>
          <w:sz w:val="32"/>
          <w:szCs w:val="32"/>
        </w:rPr>
        <w:t>三、支出决算表</w:t>
      </w:r>
      <w:bookmarkEnd w:id="57"/>
    </w:p>
    <w:p w14:paraId="736551DF">
      <w:pPr>
        <w:pStyle w:val="16"/>
        <w:adjustRightInd w:val="0"/>
        <w:snapToGrid w:val="0"/>
        <w:spacing w:line="560" w:lineRule="exact"/>
        <w:jc w:val="left"/>
        <w:rPr>
          <w:rFonts w:eastAsia="仿宋_GB2312" w:cs="仿宋_GB2312"/>
          <w:sz w:val="32"/>
          <w:szCs w:val="32"/>
        </w:rPr>
      </w:pPr>
      <w:bookmarkStart w:id="58" w:name="_Toc15396622"/>
      <w:r>
        <w:rPr>
          <w:rFonts w:hint="eastAsia" w:eastAsia="仿宋_GB2312" w:cs="仿宋_GB2312"/>
          <w:sz w:val="32"/>
          <w:szCs w:val="32"/>
        </w:rPr>
        <w:t>四、财政拨款收入支出决算总表</w:t>
      </w:r>
      <w:bookmarkEnd w:id="58"/>
    </w:p>
    <w:p w14:paraId="79D5B011">
      <w:pPr>
        <w:pStyle w:val="16"/>
        <w:adjustRightInd w:val="0"/>
        <w:snapToGrid w:val="0"/>
        <w:spacing w:line="560" w:lineRule="exact"/>
        <w:jc w:val="left"/>
        <w:rPr>
          <w:rFonts w:eastAsia="仿宋_GB2312" w:cs="仿宋_GB2312"/>
          <w:sz w:val="32"/>
          <w:szCs w:val="32"/>
        </w:rPr>
      </w:pPr>
      <w:bookmarkStart w:id="59" w:name="_Toc15396623"/>
      <w:r>
        <w:rPr>
          <w:rFonts w:hint="eastAsia" w:eastAsia="仿宋_GB2312" w:cs="仿宋_GB2312"/>
          <w:sz w:val="32"/>
          <w:szCs w:val="32"/>
        </w:rPr>
        <w:t>五、财政拨款支出决算明细表</w:t>
      </w:r>
      <w:bookmarkEnd w:id="59"/>
      <w:bookmarkStart w:id="60" w:name="_Toc15396624"/>
    </w:p>
    <w:p w14:paraId="595FEF9E">
      <w:pPr>
        <w:pStyle w:val="16"/>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60"/>
    </w:p>
    <w:p w14:paraId="2508D7B2">
      <w:pPr>
        <w:pStyle w:val="16"/>
        <w:adjustRightInd w:val="0"/>
        <w:snapToGrid w:val="0"/>
        <w:spacing w:line="560" w:lineRule="exact"/>
        <w:jc w:val="left"/>
        <w:rPr>
          <w:rFonts w:eastAsia="仿宋_GB2312" w:cs="仿宋_GB2312"/>
          <w:sz w:val="32"/>
          <w:szCs w:val="32"/>
        </w:rPr>
      </w:pPr>
      <w:bookmarkStart w:id="61" w:name="_Toc15396625"/>
      <w:r>
        <w:rPr>
          <w:rFonts w:hint="eastAsia" w:eastAsia="仿宋_GB2312" w:cs="仿宋_GB2312"/>
          <w:sz w:val="32"/>
          <w:szCs w:val="32"/>
        </w:rPr>
        <w:t>七、一般公共预算财政拨款支出决算明细表</w:t>
      </w:r>
      <w:bookmarkEnd w:id="61"/>
    </w:p>
    <w:p w14:paraId="4A5A87B0">
      <w:pPr>
        <w:pStyle w:val="16"/>
        <w:adjustRightInd w:val="0"/>
        <w:snapToGrid w:val="0"/>
        <w:spacing w:line="560" w:lineRule="exact"/>
        <w:jc w:val="left"/>
        <w:rPr>
          <w:rFonts w:eastAsia="仿宋_GB2312" w:cs="仿宋_GB2312"/>
          <w:sz w:val="32"/>
          <w:szCs w:val="32"/>
        </w:rPr>
      </w:pPr>
      <w:bookmarkStart w:id="62" w:name="_Toc15396626"/>
      <w:r>
        <w:rPr>
          <w:rFonts w:hint="eastAsia" w:eastAsia="仿宋_GB2312" w:cs="仿宋_GB2312"/>
          <w:sz w:val="32"/>
          <w:szCs w:val="32"/>
        </w:rPr>
        <w:t>八、一般公共预算财政拨款基本支出决算表</w:t>
      </w:r>
      <w:bookmarkEnd w:id="62"/>
    </w:p>
    <w:p w14:paraId="597D1B15">
      <w:pPr>
        <w:pStyle w:val="16"/>
        <w:adjustRightInd w:val="0"/>
        <w:snapToGrid w:val="0"/>
        <w:spacing w:line="560" w:lineRule="exact"/>
        <w:jc w:val="left"/>
        <w:rPr>
          <w:rFonts w:eastAsia="仿宋_GB2312" w:cs="仿宋_GB2312"/>
          <w:sz w:val="32"/>
          <w:szCs w:val="32"/>
        </w:rPr>
      </w:pPr>
      <w:bookmarkStart w:id="63" w:name="_Toc15396627"/>
      <w:r>
        <w:rPr>
          <w:rFonts w:hint="eastAsia" w:eastAsia="仿宋_GB2312" w:cs="仿宋_GB2312"/>
          <w:sz w:val="32"/>
          <w:szCs w:val="32"/>
        </w:rPr>
        <w:t>九、一般公共预算财政拨款项目支出决算表</w:t>
      </w:r>
      <w:bookmarkEnd w:id="63"/>
    </w:p>
    <w:p w14:paraId="16282693">
      <w:pPr>
        <w:pStyle w:val="16"/>
        <w:adjustRightInd w:val="0"/>
        <w:snapToGrid w:val="0"/>
        <w:spacing w:line="560" w:lineRule="exact"/>
        <w:jc w:val="left"/>
        <w:rPr>
          <w:rFonts w:eastAsia="仿宋_GB2312" w:cs="仿宋_GB2312"/>
          <w:sz w:val="32"/>
          <w:szCs w:val="32"/>
        </w:rPr>
      </w:pPr>
      <w:bookmarkStart w:id="64" w:name="_Toc15396628"/>
      <w:r>
        <w:rPr>
          <w:rFonts w:hint="eastAsia" w:eastAsia="仿宋_GB2312" w:cs="仿宋_GB2312"/>
          <w:sz w:val="32"/>
          <w:szCs w:val="32"/>
        </w:rPr>
        <w:t>十、</w:t>
      </w:r>
      <w:bookmarkEnd w:id="64"/>
      <w:r>
        <w:rPr>
          <w:rFonts w:hint="eastAsia" w:eastAsia="仿宋_GB2312" w:cs="仿宋_GB2312"/>
          <w:sz w:val="32"/>
          <w:szCs w:val="32"/>
        </w:rPr>
        <w:t>政府性基金预算财政拨款收入支出决算表</w:t>
      </w:r>
    </w:p>
    <w:p w14:paraId="360E517B">
      <w:pPr>
        <w:pStyle w:val="16"/>
        <w:adjustRightInd w:val="0"/>
        <w:snapToGrid w:val="0"/>
        <w:spacing w:line="560" w:lineRule="exact"/>
        <w:jc w:val="left"/>
        <w:rPr>
          <w:rFonts w:eastAsia="仿宋_GB2312" w:cs="仿宋_GB2312"/>
          <w:sz w:val="32"/>
          <w:szCs w:val="32"/>
        </w:rPr>
      </w:pPr>
      <w:bookmarkStart w:id="65" w:name="_Toc15396629"/>
      <w:r>
        <w:rPr>
          <w:rFonts w:hint="eastAsia" w:eastAsia="仿宋_GB2312" w:cs="仿宋_GB2312"/>
          <w:sz w:val="32"/>
          <w:szCs w:val="32"/>
        </w:rPr>
        <w:t>十一、</w:t>
      </w:r>
      <w:bookmarkEnd w:id="65"/>
      <w:r>
        <w:rPr>
          <w:rFonts w:hint="eastAsia" w:eastAsia="仿宋_GB2312" w:cs="仿宋_GB2312"/>
          <w:sz w:val="32"/>
          <w:szCs w:val="32"/>
        </w:rPr>
        <w:t>国有资本经营预算财政拨款收入支出决算表</w:t>
      </w:r>
    </w:p>
    <w:p w14:paraId="1114D1D6">
      <w:pPr>
        <w:pStyle w:val="16"/>
        <w:adjustRightInd w:val="0"/>
        <w:snapToGrid w:val="0"/>
        <w:spacing w:line="560" w:lineRule="exact"/>
        <w:jc w:val="left"/>
        <w:rPr>
          <w:rFonts w:eastAsia="仿宋_GB2312" w:cs="仿宋_GB2312"/>
          <w:sz w:val="32"/>
          <w:szCs w:val="32"/>
        </w:rPr>
      </w:pPr>
      <w:bookmarkStart w:id="66" w:name="_Toc15396630"/>
      <w:r>
        <w:rPr>
          <w:rFonts w:hint="eastAsia" w:eastAsia="仿宋_GB2312" w:cs="仿宋_GB2312"/>
          <w:sz w:val="32"/>
          <w:szCs w:val="32"/>
        </w:rPr>
        <w:t>十二、</w:t>
      </w:r>
      <w:bookmarkEnd w:id="66"/>
      <w:r>
        <w:rPr>
          <w:rFonts w:hint="eastAsia" w:eastAsia="仿宋_GB2312" w:cs="仿宋_GB2312"/>
          <w:sz w:val="32"/>
          <w:szCs w:val="32"/>
        </w:rPr>
        <w:t>国有资本经营预算财政拨款支出决算表</w:t>
      </w:r>
    </w:p>
    <w:p w14:paraId="0521A1C8">
      <w:pPr>
        <w:pStyle w:val="16"/>
        <w:adjustRightInd w:val="0"/>
        <w:snapToGrid w:val="0"/>
        <w:spacing w:line="560" w:lineRule="exact"/>
        <w:jc w:val="left"/>
        <w:rPr>
          <w:rFonts w:eastAsia="仿宋_GB2312" w:cs="仿宋_GB2312"/>
          <w:sz w:val="32"/>
          <w:szCs w:val="32"/>
        </w:rPr>
      </w:pPr>
      <w:bookmarkStart w:id="67" w:name="_Toc15396631"/>
      <w:r>
        <w:rPr>
          <w:rFonts w:hint="eastAsia" w:eastAsia="仿宋_GB2312" w:cs="仿宋_GB2312"/>
          <w:sz w:val="32"/>
          <w:szCs w:val="32"/>
        </w:rPr>
        <w:t>十三、</w:t>
      </w:r>
      <w:bookmarkEnd w:id="67"/>
      <w:r>
        <w:rPr>
          <w:rFonts w:hint="eastAsia" w:eastAsia="仿宋_GB2312" w:cs="仿宋_GB2312"/>
          <w:sz w:val="32"/>
          <w:szCs w:val="32"/>
        </w:rPr>
        <w:t>财政拨款“三公”经费支出决算表</w:t>
      </w:r>
    </w:p>
    <w:p w14:paraId="15BA53F0"/>
    <w:sectPr>
      <w:footerReference r:id="rId4" w:type="default"/>
      <w:footerReference r:id="rId5" w:type="even"/>
      <w:pgSz w:w="11906" w:h="16838"/>
      <w:pgMar w:top="1440" w:right="1797" w:bottom="1440" w:left="1797"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w:panose1 w:val="020B0604020202020204"/>
    <w:charset w:val="00"/>
    <w:family w:val="swiss"/>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heme="majorEastAsia" w:hAnsiTheme="majorEastAsia" w:eastAsiaTheme="majorEastAsia"/>
        <w:sz w:val="28"/>
        <w:szCs w:val="28"/>
      </w:rPr>
      <w:id w:val="1635211306"/>
      <w:docPartObj>
        <w:docPartGallery w:val="AutoText"/>
      </w:docPartObj>
    </w:sdtPr>
    <w:sdtEndPr>
      <w:rPr>
        <w:rFonts w:asciiTheme="majorEastAsia" w:hAnsiTheme="majorEastAsia" w:eastAsiaTheme="majorEastAsia"/>
        <w:sz w:val="28"/>
        <w:szCs w:val="28"/>
      </w:rPr>
    </w:sdtEndPr>
    <w:sdtContent>
      <w:p w14:paraId="43F5FBB5">
        <w:pPr>
          <w:pStyle w:val="12"/>
          <w:ind w:left="284" w:right="284"/>
          <w:jc w:val="right"/>
          <w:rPr>
            <w:rFonts w:asciiTheme="majorEastAsia" w:hAnsiTheme="majorEastAsia" w:eastAsiaTheme="majorEastAsia"/>
            <w:sz w:val="28"/>
            <w:szCs w:val="28"/>
          </w:rPr>
        </w:pPr>
        <w:r>
          <w:rPr>
            <w:rFonts w:asciiTheme="majorEastAsia" w:hAnsiTheme="majorEastAsia" w:eastAsiaTheme="majorEastAsia"/>
            <w:sz w:val="28"/>
            <w:szCs w:val="28"/>
          </w:rPr>
          <w:t>—</w:t>
        </w:r>
        <w:r>
          <w:rPr>
            <w:rFonts w:hint="eastAsia" w:asciiTheme="majorEastAsia" w:hAnsiTheme="majorEastAsia" w:eastAsiaTheme="majorEastAsia"/>
            <w:sz w:val="28"/>
            <w:szCs w:val="28"/>
          </w:rPr>
          <w:t xml:space="preserve"> </w:t>
        </w:r>
        <w:r>
          <w:rPr>
            <w:rFonts w:asciiTheme="majorEastAsia" w:hAnsiTheme="majorEastAsia" w:eastAsiaTheme="majorEastAsia"/>
            <w:sz w:val="28"/>
            <w:szCs w:val="28"/>
          </w:rPr>
          <w:fldChar w:fldCharType="begin"/>
        </w:r>
        <w:r>
          <w:rPr>
            <w:rFonts w:asciiTheme="majorEastAsia" w:hAnsiTheme="majorEastAsia" w:eastAsiaTheme="majorEastAsia"/>
            <w:sz w:val="28"/>
            <w:szCs w:val="28"/>
          </w:rPr>
          <w:instrText xml:space="preserve">PAGE   \* MERGEFORMAT</w:instrText>
        </w:r>
        <w:r>
          <w:rPr>
            <w:rFonts w:asciiTheme="majorEastAsia" w:hAnsiTheme="majorEastAsia" w:eastAsiaTheme="majorEastAsia"/>
            <w:sz w:val="28"/>
            <w:szCs w:val="28"/>
          </w:rPr>
          <w:fldChar w:fldCharType="separate"/>
        </w:r>
        <w:r>
          <w:rPr>
            <w:rFonts w:asciiTheme="majorEastAsia" w:hAnsiTheme="majorEastAsia" w:eastAsiaTheme="majorEastAsia"/>
            <w:sz w:val="28"/>
            <w:szCs w:val="28"/>
            <w:lang w:val="zh-CN"/>
          </w:rPr>
          <w:t>3</w:t>
        </w:r>
        <w:r>
          <w:rPr>
            <w:rFonts w:asciiTheme="majorEastAsia" w:hAnsiTheme="majorEastAsia" w:eastAsiaTheme="majorEastAsia"/>
            <w:sz w:val="28"/>
            <w:szCs w:val="28"/>
          </w:rPr>
          <w:fldChar w:fldCharType="end"/>
        </w:r>
        <w:r>
          <w:rPr>
            <w:rFonts w:hint="eastAsia" w:asciiTheme="majorEastAsia" w:hAnsiTheme="majorEastAsia" w:eastAsiaTheme="majorEastAsia"/>
            <w:sz w:val="28"/>
            <w:szCs w:val="28"/>
          </w:rPr>
          <w:t xml:space="preserve"> </w:t>
        </w:r>
        <w:r>
          <w:rPr>
            <w:rFonts w:asciiTheme="majorEastAsia" w:hAnsiTheme="majorEastAsia" w:eastAsiaTheme="majorEastAsia"/>
            <w:sz w:val="28"/>
            <w:szCs w:val="28"/>
          </w:rPr>
          <w:t>—</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heme="minorEastAsia" w:hAnsiTheme="minorEastAsia" w:eastAsiaTheme="minorEastAsia"/>
        <w:sz w:val="28"/>
        <w:szCs w:val="28"/>
      </w:rPr>
      <w:id w:val="241296001"/>
      <w:docPartObj>
        <w:docPartGallery w:val="AutoText"/>
      </w:docPartObj>
    </w:sdtPr>
    <w:sdtEndPr>
      <w:rPr>
        <w:rFonts w:asciiTheme="minorEastAsia" w:hAnsiTheme="minorEastAsia" w:eastAsiaTheme="minorEastAsia"/>
        <w:sz w:val="28"/>
        <w:szCs w:val="28"/>
      </w:rPr>
    </w:sdtEndPr>
    <w:sdtContent>
      <w:p w14:paraId="67A8AD09">
        <w:pPr>
          <w:pStyle w:val="12"/>
          <w:ind w:firstLine="280"/>
          <w:jc w:val="both"/>
          <w:rPr>
            <w:rFonts w:asciiTheme="minorEastAsia" w:hAnsiTheme="minorEastAsia" w:eastAsiaTheme="minorEastAsia"/>
            <w:sz w:val="28"/>
            <w:szCs w:val="28"/>
          </w:rPr>
        </w:pPr>
        <w:r>
          <w:rPr>
            <w:rFonts w:asciiTheme="minorEastAsia" w:hAnsiTheme="minorEastAsia" w:eastAsiaTheme="minorEastAsia"/>
            <w:sz w:val="28"/>
            <w:szCs w:val="28"/>
          </w:rPr>
          <w:t>—</w:t>
        </w:r>
        <w:r>
          <w:rPr>
            <w:rFonts w:hint="eastAsia" w:asciiTheme="minorEastAsia" w:hAnsiTheme="minorEastAsia" w:eastAsiaTheme="minorEastAsia"/>
            <w:sz w:val="28"/>
            <w:szCs w:val="28"/>
          </w:rPr>
          <w:t xml:space="preserve"> </w:t>
        </w: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PAGE   \* MERGEFORMAT</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2</w:t>
        </w:r>
        <w:r>
          <w:rPr>
            <w:rFonts w:asciiTheme="minorEastAsia" w:hAnsiTheme="minorEastAsia" w:eastAsiaTheme="minorEastAsia"/>
            <w:sz w:val="28"/>
            <w:szCs w:val="28"/>
          </w:rPr>
          <w:fldChar w:fldCharType="end"/>
        </w:r>
        <w:r>
          <w:rPr>
            <w:rFonts w:hint="eastAsia" w:asciiTheme="minorEastAsia" w:hAnsiTheme="minorEastAsia" w:eastAsiaTheme="minorEastAsia"/>
            <w:sz w:val="28"/>
            <w:szCs w:val="28"/>
          </w:rPr>
          <w:t xml:space="preserve"> </w:t>
        </w:r>
        <w:r>
          <w:rPr>
            <w:rFonts w:asciiTheme="minorEastAsia" w:hAnsiTheme="minorEastAsia" w:eastAsiaTheme="minorEastAsia"/>
            <w:sz w:val="28"/>
            <w:szCs w:val="28"/>
          </w:rPr>
          <w:t>—</w:t>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681B5">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9BA65D"/>
    <w:multiLevelType w:val="singleLevel"/>
    <w:tmpl w:val="189BA65D"/>
    <w:lvl w:ilvl="0" w:tentative="0">
      <w:start w:val="2"/>
      <w:numFmt w:val="chineseCounting"/>
      <w:suff w:val="nothing"/>
      <w:lvlText w:val="（%1）"/>
      <w:lvlJc w:val="left"/>
      <w:rPr>
        <w:rFonts w:hint="eastAsia"/>
      </w:rPr>
    </w:lvl>
  </w:abstractNum>
  <w:abstractNum w:abstractNumId="1">
    <w:nsid w:val="39FE62C7"/>
    <w:multiLevelType w:val="singleLevel"/>
    <w:tmpl w:val="39FE62C7"/>
    <w:lvl w:ilvl="0" w:tentative="0">
      <w:start w:val="1"/>
      <w:numFmt w:val="chineseCounting"/>
      <w:suff w:val="nothing"/>
      <w:lvlText w:val="%1、"/>
      <w:lvlJc w:val="left"/>
      <w:rPr>
        <w:rFonts w:hint="eastAsia"/>
      </w:rPr>
    </w:lvl>
  </w:abstractNum>
  <w:abstractNum w:abstractNumId="2">
    <w:nsid w:val="766619BD"/>
    <w:multiLevelType w:val="singleLevel"/>
    <w:tmpl w:val="766619BD"/>
    <w:lvl w:ilvl="0" w:tentative="0">
      <w:start w:val="1"/>
      <w:numFmt w:val="decimal"/>
      <w:lvlText w:val="%1."/>
      <w:lvlJc w:val="left"/>
      <w:pPr>
        <w:tabs>
          <w:tab w:val="left" w:pos="312"/>
        </w:tabs>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bordersDoNotSurroundHeader w:val="1"/>
  <w:bordersDoNotSurroundFooter w:val="1"/>
  <w:documentProtection w:enforcement="0"/>
  <w:defaultTabStop w:val="420"/>
  <w:evenAndOddHeaders w:val="1"/>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36ED"/>
    <w:rsid w:val="000D5782"/>
    <w:rsid w:val="000E6613"/>
    <w:rsid w:val="000E7119"/>
    <w:rsid w:val="00114E9B"/>
    <w:rsid w:val="00122BEF"/>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B5C60"/>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25010"/>
    <w:rsid w:val="00630AEF"/>
    <w:rsid w:val="006325F8"/>
    <w:rsid w:val="00633463"/>
    <w:rsid w:val="00634C9A"/>
    <w:rsid w:val="00642761"/>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19EC"/>
    <w:rsid w:val="00AD5620"/>
    <w:rsid w:val="00AD656B"/>
    <w:rsid w:val="00AD7C1B"/>
    <w:rsid w:val="00AE16BA"/>
    <w:rsid w:val="00AE1EBE"/>
    <w:rsid w:val="00AF0C6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3BE48B1"/>
    <w:rsid w:val="04916F1E"/>
    <w:rsid w:val="061E35DE"/>
    <w:rsid w:val="066E0107"/>
    <w:rsid w:val="07996F6E"/>
    <w:rsid w:val="07DFD8BA"/>
    <w:rsid w:val="09867E8F"/>
    <w:rsid w:val="0A2032A3"/>
    <w:rsid w:val="0CA8290A"/>
    <w:rsid w:val="0D35B1ED"/>
    <w:rsid w:val="0E254B6B"/>
    <w:rsid w:val="0F98263C"/>
    <w:rsid w:val="101860EC"/>
    <w:rsid w:val="101F47CC"/>
    <w:rsid w:val="10C055FF"/>
    <w:rsid w:val="11694EBD"/>
    <w:rsid w:val="11772AA4"/>
    <w:rsid w:val="118107EC"/>
    <w:rsid w:val="12E24EE2"/>
    <w:rsid w:val="13D50BC4"/>
    <w:rsid w:val="14B17F78"/>
    <w:rsid w:val="165E0673"/>
    <w:rsid w:val="16B831D5"/>
    <w:rsid w:val="16BB723D"/>
    <w:rsid w:val="17E50567"/>
    <w:rsid w:val="186504BB"/>
    <w:rsid w:val="18B96659"/>
    <w:rsid w:val="19A445FC"/>
    <w:rsid w:val="1BE8440E"/>
    <w:rsid w:val="1D155CEE"/>
    <w:rsid w:val="1D1638FE"/>
    <w:rsid w:val="1E312DEB"/>
    <w:rsid w:val="1E740ACF"/>
    <w:rsid w:val="1FF35744"/>
    <w:rsid w:val="1FF6BC77"/>
    <w:rsid w:val="2186353C"/>
    <w:rsid w:val="23860B96"/>
    <w:rsid w:val="240371BF"/>
    <w:rsid w:val="244F3473"/>
    <w:rsid w:val="24C97D99"/>
    <w:rsid w:val="24D257DC"/>
    <w:rsid w:val="25A718F0"/>
    <w:rsid w:val="25BB59F6"/>
    <w:rsid w:val="260F557C"/>
    <w:rsid w:val="26970054"/>
    <w:rsid w:val="281408E2"/>
    <w:rsid w:val="29FD04D3"/>
    <w:rsid w:val="2A1B54D9"/>
    <w:rsid w:val="2BFF7BC6"/>
    <w:rsid w:val="2C8A61B5"/>
    <w:rsid w:val="2DF04E50"/>
    <w:rsid w:val="2E586DFA"/>
    <w:rsid w:val="2F040D46"/>
    <w:rsid w:val="2F6B035B"/>
    <w:rsid w:val="2FAE5751"/>
    <w:rsid w:val="2FB1A395"/>
    <w:rsid w:val="2FD9A7D8"/>
    <w:rsid w:val="2FDBF714"/>
    <w:rsid w:val="30AB6865"/>
    <w:rsid w:val="319F7F4E"/>
    <w:rsid w:val="32BD1EF1"/>
    <w:rsid w:val="3304709D"/>
    <w:rsid w:val="33A773CB"/>
    <w:rsid w:val="349D6851"/>
    <w:rsid w:val="36AA5135"/>
    <w:rsid w:val="36BE0DA7"/>
    <w:rsid w:val="376B6AA6"/>
    <w:rsid w:val="376D39B2"/>
    <w:rsid w:val="37E16F03"/>
    <w:rsid w:val="37F53A3B"/>
    <w:rsid w:val="388D46D6"/>
    <w:rsid w:val="389B6C89"/>
    <w:rsid w:val="38D469F0"/>
    <w:rsid w:val="39627CCD"/>
    <w:rsid w:val="397BAF1F"/>
    <w:rsid w:val="3AB79AF3"/>
    <w:rsid w:val="3AE834C0"/>
    <w:rsid w:val="3B7EF35A"/>
    <w:rsid w:val="3B9FDB6C"/>
    <w:rsid w:val="3BF5BC2F"/>
    <w:rsid w:val="3CEBA265"/>
    <w:rsid w:val="3D98207C"/>
    <w:rsid w:val="3DEE7CF3"/>
    <w:rsid w:val="3E740A63"/>
    <w:rsid w:val="3E78745D"/>
    <w:rsid w:val="3EE17838"/>
    <w:rsid w:val="3F55381A"/>
    <w:rsid w:val="3F7F7599"/>
    <w:rsid w:val="3FF4CAE0"/>
    <w:rsid w:val="3FF7B227"/>
    <w:rsid w:val="44E268DA"/>
    <w:rsid w:val="450D13D7"/>
    <w:rsid w:val="45506656"/>
    <w:rsid w:val="45921CBD"/>
    <w:rsid w:val="486A6C7A"/>
    <w:rsid w:val="4A627F82"/>
    <w:rsid w:val="4B0E749A"/>
    <w:rsid w:val="4B2477C4"/>
    <w:rsid w:val="4B4F25DA"/>
    <w:rsid w:val="4BE068DB"/>
    <w:rsid w:val="4D577224"/>
    <w:rsid w:val="4DBF1CEB"/>
    <w:rsid w:val="4DF0007C"/>
    <w:rsid w:val="4EAB630A"/>
    <w:rsid w:val="4ECE2238"/>
    <w:rsid w:val="4F833267"/>
    <w:rsid w:val="4FE9BD67"/>
    <w:rsid w:val="4FFB052F"/>
    <w:rsid w:val="537E6D0A"/>
    <w:rsid w:val="53F74C96"/>
    <w:rsid w:val="55170BA8"/>
    <w:rsid w:val="553218C9"/>
    <w:rsid w:val="567E1AA5"/>
    <w:rsid w:val="56E47B74"/>
    <w:rsid w:val="57175D52"/>
    <w:rsid w:val="57BD3DD4"/>
    <w:rsid w:val="5AF92295"/>
    <w:rsid w:val="5B250254"/>
    <w:rsid w:val="5BDD79E6"/>
    <w:rsid w:val="5BF561CA"/>
    <w:rsid w:val="5BFF5DFC"/>
    <w:rsid w:val="5CD71FC4"/>
    <w:rsid w:val="5D1F11B5"/>
    <w:rsid w:val="5D695134"/>
    <w:rsid w:val="5DAE1B18"/>
    <w:rsid w:val="5DE7D9E5"/>
    <w:rsid w:val="5ECEC941"/>
    <w:rsid w:val="5FBF9FF3"/>
    <w:rsid w:val="5FCD4E2C"/>
    <w:rsid w:val="5FEF394A"/>
    <w:rsid w:val="5FF67715"/>
    <w:rsid w:val="62BF3928"/>
    <w:rsid w:val="63B3701E"/>
    <w:rsid w:val="647F5392"/>
    <w:rsid w:val="65E66580"/>
    <w:rsid w:val="664B1D71"/>
    <w:rsid w:val="664B4E8E"/>
    <w:rsid w:val="67277B67"/>
    <w:rsid w:val="67AA3209"/>
    <w:rsid w:val="698D0931"/>
    <w:rsid w:val="6A39538D"/>
    <w:rsid w:val="6A7FE5F3"/>
    <w:rsid w:val="6B053271"/>
    <w:rsid w:val="6BDD78B3"/>
    <w:rsid w:val="6C4A05C8"/>
    <w:rsid w:val="6C8742B8"/>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12A28F1"/>
    <w:rsid w:val="715C0E4B"/>
    <w:rsid w:val="71992E7C"/>
    <w:rsid w:val="72233669"/>
    <w:rsid w:val="72734D90"/>
    <w:rsid w:val="73160E6D"/>
    <w:rsid w:val="7332FE48"/>
    <w:rsid w:val="73AB61DA"/>
    <w:rsid w:val="73AD73D5"/>
    <w:rsid w:val="73B6EB34"/>
    <w:rsid w:val="73FA497D"/>
    <w:rsid w:val="744731E5"/>
    <w:rsid w:val="74BBD01D"/>
    <w:rsid w:val="74ED5379"/>
    <w:rsid w:val="75DEEEC2"/>
    <w:rsid w:val="75E32345"/>
    <w:rsid w:val="76E3355F"/>
    <w:rsid w:val="76FF5125"/>
    <w:rsid w:val="776F6FFA"/>
    <w:rsid w:val="778769C8"/>
    <w:rsid w:val="77A75DCA"/>
    <w:rsid w:val="77DC22F5"/>
    <w:rsid w:val="783E271A"/>
    <w:rsid w:val="78616DE9"/>
    <w:rsid w:val="78E875D7"/>
    <w:rsid w:val="79086DAD"/>
    <w:rsid w:val="79D7FD79"/>
    <w:rsid w:val="79EE5BA4"/>
    <w:rsid w:val="7A894339"/>
    <w:rsid w:val="7AD284E8"/>
    <w:rsid w:val="7AFF7572"/>
    <w:rsid w:val="7B6C7DFB"/>
    <w:rsid w:val="7BBFBED0"/>
    <w:rsid w:val="7BC3E394"/>
    <w:rsid w:val="7C1F3737"/>
    <w:rsid w:val="7CBFC87B"/>
    <w:rsid w:val="7CFE0F48"/>
    <w:rsid w:val="7D272ABC"/>
    <w:rsid w:val="7D7EC23E"/>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iPriority="99" w:semiHidden="0"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9">
    <w:name w:val="Default Paragraph Font"/>
    <w:semiHidden/>
    <w:unhideWhenUsed/>
    <w:uiPriority w:val="1"/>
  </w:style>
  <w:style w:type="table" w:default="1" w:styleId="18">
    <w:name w:val="Normal Table"/>
    <w:semiHidden/>
    <w:unhideWhenUsed/>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6">
    <w:name w:val="Salutation"/>
    <w:basedOn w:val="1"/>
    <w:next w:val="1"/>
    <w:unhideWhenUsed/>
    <w:qFormat/>
    <w:uiPriority w:val="99"/>
  </w:style>
  <w:style w:type="paragraph" w:styleId="7">
    <w:name w:val="Body Text"/>
    <w:basedOn w:val="1"/>
    <w:link w:val="27"/>
    <w:qFormat/>
    <w:uiPriority w:val="99"/>
    <w:pPr>
      <w:spacing w:beforeLines="30"/>
    </w:pPr>
    <w:rPr>
      <w:rFonts w:ascii="仿宋_GB2312" w:eastAsia="仿宋_GB2312"/>
      <w:kern w:val="0"/>
      <w:sz w:val="30"/>
    </w:rPr>
  </w:style>
  <w:style w:type="paragraph" w:styleId="8">
    <w:name w:val="Body Text Indent"/>
    <w:basedOn w:val="1"/>
    <w:next w:val="9"/>
    <w:qFormat/>
    <w:uiPriority w:val="0"/>
    <w:pPr>
      <w:spacing w:after="120"/>
      <w:ind w:left="200" w:leftChars="200"/>
    </w:pPr>
    <w:rPr>
      <w:rFonts w:ascii="仿宋_GB2312"/>
      <w:szCs w:val="32"/>
    </w:rPr>
  </w:style>
  <w:style w:type="paragraph" w:styleId="9">
    <w:name w:val="Body Text First Indent 2"/>
    <w:basedOn w:val="8"/>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3"/>
    <w:semiHidden/>
    <w:unhideWhenUsed/>
    <w:qFormat/>
    <w:uiPriority w:val="99"/>
    <w:rPr>
      <w:sz w:val="18"/>
      <w:szCs w:val="18"/>
    </w:rPr>
  </w:style>
  <w:style w:type="paragraph" w:styleId="12">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paragraph" w:styleId="17">
    <w:name w:val="HTML Preformatted"/>
    <w:basedOn w:val="1"/>
    <w:unhideWhenUsed/>
    <w:qFormat/>
    <w:uiPriority w:val="99"/>
    <w:rPr>
      <w:rFonts w:ascii="Courier New" w:hAnsi="Courier New" w:cs="Courier New"/>
      <w:sz w:val="20"/>
      <w:szCs w:val="20"/>
    </w:r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character" w:customStyle="1" w:styleId="22">
    <w:name w:val="Header Char"/>
    <w:basedOn w:val="19"/>
    <w:semiHidden/>
    <w:qFormat/>
    <w:uiPriority w:val="99"/>
    <w:rPr>
      <w:rFonts w:ascii="Times New Roman" w:hAnsi="Times New Roman"/>
      <w:sz w:val="18"/>
      <w:szCs w:val="18"/>
    </w:rPr>
  </w:style>
  <w:style w:type="character" w:customStyle="1" w:styleId="23">
    <w:name w:val="页眉 Char"/>
    <w:link w:val="13"/>
    <w:semiHidden/>
    <w:qFormat/>
    <w:locked/>
    <w:uiPriority w:val="99"/>
    <w:rPr>
      <w:sz w:val="18"/>
    </w:rPr>
  </w:style>
  <w:style w:type="character" w:customStyle="1" w:styleId="24">
    <w:name w:val="Footer Char"/>
    <w:basedOn w:val="19"/>
    <w:semiHidden/>
    <w:qFormat/>
    <w:uiPriority w:val="99"/>
    <w:rPr>
      <w:rFonts w:ascii="Times New Roman" w:hAnsi="Times New Roman"/>
      <w:sz w:val="18"/>
      <w:szCs w:val="18"/>
    </w:rPr>
  </w:style>
  <w:style w:type="character" w:customStyle="1" w:styleId="25">
    <w:name w:val="页脚 Char"/>
    <w:link w:val="12"/>
    <w:qFormat/>
    <w:locked/>
    <w:uiPriority w:val="99"/>
    <w:rPr>
      <w:sz w:val="18"/>
    </w:rPr>
  </w:style>
  <w:style w:type="character" w:customStyle="1" w:styleId="26">
    <w:name w:val="Body Text Char"/>
    <w:basedOn w:val="19"/>
    <w:semiHidden/>
    <w:qFormat/>
    <w:uiPriority w:val="99"/>
    <w:rPr>
      <w:rFonts w:ascii="Times New Roman" w:hAnsi="Times New Roman"/>
      <w:szCs w:val="24"/>
    </w:rPr>
  </w:style>
  <w:style w:type="character" w:customStyle="1" w:styleId="27">
    <w:name w:val="正文文本 Char"/>
    <w:link w:val="7"/>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9"/>
    <w:link w:val="3"/>
    <w:qFormat/>
    <w:uiPriority w:val="9"/>
    <w:rPr>
      <w:rFonts w:ascii="Times New Roman" w:hAnsi="Times New Roman"/>
      <w:b/>
      <w:bCs/>
      <w:kern w:val="44"/>
      <w:sz w:val="44"/>
      <w:szCs w:val="44"/>
    </w:rPr>
  </w:style>
  <w:style w:type="character" w:customStyle="1" w:styleId="31">
    <w:name w:val="标题 2 Char"/>
    <w:basedOn w:val="19"/>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9"/>
    <w:link w:val="11"/>
    <w:semiHidden/>
    <w:qFormat/>
    <w:uiPriority w:val="99"/>
    <w:rPr>
      <w:rFonts w:ascii="Times New Roman" w:hAnsi="Times New Roman"/>
      <w:kern w:val="2"/>
      <w:sz w:val="18"/>
      <w:szCs w:val="18"/>
    </w:rPr>
  </w:style>
  <w:style w:type="character" w:customStyle="1" w:styleId="34">
    <w:name w:val="标题 3 Char"/>
    <w:basedOn w:val="19"/>
    <w:link w:val="5"/>
    <w:qFormat/>
    <w:uiPriority w:val="9"/>
    <w:rPr>
      <w:rFonts w:ascii="Times New Roman" w:hAnsi="Times New Roman"/>
      <w:b/>
      <w:bCs/>
      <w:kern w:val="2"/>
      <w:sz w:val="32"/>
      <w:szCs w:val="32"/>
    </w:rPr>
  </w:style>
  <w:style w:type="paragraph" w:customStyle="1" w:styleId="35">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color w:val="000000"/>
      <w:kern w:val="0"/>
      <w:sz w:val="28"/>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AppData\Local\Temp\360zip$Temp\360$3\&#38468;&#20214;2.5-&#20316;&#21442;&#32771;&#65306;&#39292;&#29366;&#65288;&#30452;&#26041;&#65289;&#22270;&#32472;&#21046;&#26041;&#27861;.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AppData\Local\Temp\360zip$Temp\360$3\&#38468;&#20214;2.5-&#20316;&#21442;&#32771;&#65306;&#39292;&#29366;&#65288;&#30452;&#26041;&#65289;&#22270;&#32472;&#21046;&#26041;&#27861;.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AppData\Local\Temp\360zip$Temp\360$3\&#38468;&#20214;2.5-&#20316;&#21442;&#32771;&#65306;&#39292;&#29366;&#65288;&#30452;&#26041;&#65289;&#22270;&#32472;&#21046;&#26041;&#27861;.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AppData\Local\Temp\360zip$Temp\360$3\&#38468;&#20214;2.5-&#20316;&#21442;&#32771;&#65306;&#39292;&#29366;&#65288;&#30452;&#26041;&#65289;&#22270;&#32472;&#21046;&#26041;&#27861;.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AppData\Local\Temp\360zip$Temp\360$3\&#38468;&#20214;2.5-&#20316;&#21442;&#32771;&#65306;&#39292;&#29366;&#65288;&#30452;&#26041;&#65289;&#22270;&#32472;&#21046;&#26041;&#27861;.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AppData\Local\Temp\360zip$Temp\360$3\&#38468;&#20214;2.5-&#20316;&#21442;&#32771;&#65306;&#39292;&#29366;&#65288;&#30452;&#26041;&#65289;&#22270;&#32472;&#21046;&#26041;&#27861;.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AppData\Local\Temp\360zip$Temp\360$3\&#38468;&#20214;2.5-&#20316;&#21442;&#32771;&#65306;&#39292;&#29366;&#65288;&#30452;&#26041;&#65289;&#22270;&#32472;&#21046;&#26041;&#27861;.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w="3175">
          <a:noFill/>
        </a:ln>
      </c:spPr>
      <c:txPr>
        <a:bodyPr rot="0" spcFirstLastPara="0" vertOverflow="ellipsis" vert="horz" wrap="square" anchor="ctr" anchorCtr="1"/>
        <a:lstStyle/>
        <a:p>
          <a:pPr>
            <a:defRPr lang="zh-CN" sz="1100"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title>
    <c:autoTitleDeleted val="0"/>
    <c:plotArea>
      <c:layout/>
      <c:barChart>
        <c:barDir val="col"/>
        <c:grouping val="clustered"/>
        <c:varyColors val="0"/>
        <c:ser>
          <c:idx val="0"/>
          <c:order val="0"/>
          <c:tx>
            <c:strRef>
              <c:f>'[附件2.5-作参考：饼状（直方）图绘制方法.xls]收支决算总计变动情况-图1'!$A$4</c:f>
              <c:strCache>
                <c:ptCount val="1"/>
                <c:pt idx="0">
                  <c:v>沐川县红十字会收、支决算总计变动情况</c:v>
                </c:pt>
              </c:strCache>
            </c:strRef>
          </c:tx>
          <c:spPr>
            <a:solidFill>
              <a:srgbClr val="9999FF">
                <a:alpha val="100000"/>
              </a:srgbClr>
            </a:solidFill>
            <a:ln w="12700">
              <a:solidFill>
                <a:srgbClr val="000000">
                  <a:alpha val="100000"/>
                </a:srgbClr>
              </a:solidFill>
              <a:prstDash val="solid"/>
            </a:ln>
          </c:spPr>
          <c:invertIfNegative val="0"/>
          <c:dLbls>
            <c:dLbl>
              <c:idx val="0"/>
              <c:layout>
                <c:manualLayout>
                  <c:x val="0.00176132013201321"/>
                  <c:y val="0.2230002424242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968726072607265"/>
                  <c:y val="0.3429687272727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'[附件2.5-作参考：饼状（直方）图绘制方法.xls]收支决算总计变动情况-图1'!$A$1:$B$1</c:f>
              <c:strCache>
                <c:ptCount val="2"/>
                <c:pt idx="0">
                  <c:v>2023年收支</c:v>
                </c:pt>
                <c:pt idx="1">
                  <c:v>2024年收支</c:v>
                </c:pt>
              </c:strCache>
            </c:strRef>
          </c:cat>
          <c:val>
            <c:numRef>
              <c:f>'[附件2.5-作参考：饼状（直方）图绘制方法.xls]收支决算总计变动情况-图1'!$A$2:$B$2</c:f>
              <c:numCache>
                <c:formatCode>General</c:formatCode>
                <c:ptCount val="2"/>
                <c:pt idx="0">
                  <c:v>90.36</c:v>
                </c:pt>
                <c:pt idx="1">
                  <c:v>103.99</c:v>
                </c:pt>
              </c:numCache>
            </c:numRef>
          </c:val>
        </c:ser>
        <c:dLbls>
          <c:showLegendKey val="0"/>
          <c:showVal val="0"/>
          <c:showCatName val="0"/>
          <c:showSerName val="0"/>
          <c:showPercent val="0"/>
          <c:showBubbleSize val="0"/>
        </c:dLbls>
        <c:gapWidth val="150"/>
        <c:axId val="441947648"/>
        <c:axId val="441949184"/>
      </c:barChart>
      <c:catAx>
        <c:axId val="441947648"/>
        <c:scaling>
          <c:orientation val="minMax"/>
        </c:scaling>
        <c:delete val="0"/>
        <c:axPos val="b"/>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441949184"/>
        <c:crosses val="autoZero"/>
        <c:auto val="1"/>
        <c:lblAlgn val="ctr"/>
        <c:lblOffset val="100"/>
        <c:noMultiLvlLbl val="0"/>
      </c:catAx>
      <c:valAx>
        <c:axId val="441949184"/>
        <c:scaling>
          <c:orientation val="minMax"/>
        </c:scaling>
        <c:delete val="0"/>
        <c:axPos val="l"/>
        <c:majorGridlines>
          <c:spPr>
            <a:ln w="3175" cap="flat" cmpd="sng" algn="ctr">
              <a:solidFill>
                <a:srgbClr val="000000">
                  <a:alpha val="100000"/>
                </a:srgbClr>
              </a:solidFill>
              <a:prstDash val="solid"/>
              <a:round/>
            </a:ln>
          </c:spPr>
        </c:majorGridlines>
        <c:numFmt formatCode="General" sourceLinked="1"/>
        <c:majorTickMark val="in"/>
        <c:minorTickMark val="none"/>
        <c:tickLblPos val="nextTo"/>
        <c:spPr>
          <a:ln w="3175" cap="flat" cmpd="sng" algn="ctr">
            <a:solidFill>
              <a:srgbClr val="000000"/>
            </a:solidFill>
            <a:prstDash val="solid"/>
            <a:round/>
          </a:ln>
        </c:spPr>
        <c:txPr>
          <a:bodyPr rot="-60000000" spcFirstLastPara="0" vertOverflow="ellipsis" vert="horz" wrap="square"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441947648"/>
        <c:crosses val="autoZero"/>
        <c:crossBetween val="between"/>
      </c:valAx>
      <c:spPr>
        <a:solidFill>
          <a:srgbClr val="C0C0C0">
            <a:alpha val="100000"/>
          </a:srgbClr>
        </a:solidFill>
        <a:ln w="12700">
          <a:solidFill>
            <a:srgbClr val="808080">
              <a:alpha val="100000"/>
            </a:srgbClr>
          </a:solidFill>
          <a:prstDash val="solid"/>
        </a:ln>
      </c:spPr>
    </c:plotArea>
    <c:plotVisOnly val="1"/>
    <c:dispBlanksAs val="gap"/>
    <c:showDLblsOverMax val="0"/>
    <c:extLst>
      <c:ext uri="{0b15fc19-7d7d-44ad-8c2d-2c3a37ce22c3}">
        <chartProps xmlns="https://web.wps.cn/et/2018/main" chartId="{48b9c55f-6ac6-4dbc-89e2-ed1b50bf12ed}"/>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8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w="3175">
          <a:noFill/>
        </a:ln>
      </c:spPr>
      <c:txPr>
        <a:bodyPr rot="0" spcFirstLastPara="0" vertOverflow="ellipsis" vert="horz" wrap="square" anchor="ctr" anchorCtr="1"/>
        <a:lstStyle/>
        <a:p>
          <a:pPr>
            <a:defRPr lang="zh-CN" sz="1125"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title>
    <c:autoTitleDeleted val="0"/>
    <c:plotArea>
      <c:layout>
        <c:manualLayout>
          <c:layoutTarget val="inner"/>
          <c:xMode val="edge"/>
          <c:yMode val="edge"/>
          <c:x val="0.17275"/>
          <c:y val="0.277"/>
          <c:w val="0.3375"/>
          <c:h val="0.56075"/>
        </c:manualLayout>
      </c:layout>
      <c:pieChart>
        <c:varyColors val="1"/>
        <c:ser>
          <c:idx val="0"/>
          <c:order val="0"/>
          <c:tx>
            <c:strRef>
              <c:f>'[附件2.5-作参考：饼状（直方）图绘制方法.xls]收入决算结构-图2-1'!$A$5</c:f>
              <c:strCache>
                <c:ptCount val="1"/>
                <c:pt idx="0">
                  <c:v>沐川县红十字会2024年收入决算结构图</c:v>
                </c:pt>
              </c:strCache>
            </c:strRef>
          </c:tx>
          <c:spPr>
            <a:solidFill>
              <a:srgbClr val="9999FF">
                <a:alpha val="100000"/>
              </a:srgbClr>
            </a:solidFill>
            <a:ln w="12700">
              <a:solidFill>
                <a:srgbClr val="000000">
                  <a:alpha val="100000"/>
                </a:srgbClr>
              </a:solidFill>
              <a:prstDash val="solid"/>
            </a:ln>
          </c:spPr>
          <c:explosion val="0"/>
          <c:dPt>
            <c:idx val="0"/>
            <c:bubble3D val="0"/>
            <c:spPr>
              <a:solidFill>
                <a:srgbClr val="9999FF">
                  <a:alpha val="100000"/>
                </a:srgbClr>
              </a:solidFill>
              <a:ln w="3175">
                <a:solidFill>
                  <a:srgbClr val="000000">
                    <a:alpha val="100000"/>
                  </a:srgbClr>
                </a:solidFill>
                <a:prstDash val="solid"/>
              </a:ln>
            </c:spPr>
          </c:dPt>
          <c:dPt>
            <c:idx val="1"/>
            <c:bubble3D val="0"/>
            <c:spPr>
              <a:solidFill>
                <a:srgbClr val="993366">
                  <a:alpha val="100000"/>
                </a:srgbClr>
              </a:solidFill>
              <a:ln w="12700">
                <a:solidFill>
                  <a:srgbClr val="000000">
                    <a:alpha val="100000"/>
                  </a:srgbClr>
                </a:solidFill>
                <a:prstDash val="solid"/>
              </a:ln>
            </c:spPr>
          </c:dPt>
          <c:dPt>
            <c:idx val="2"/>
            <c:bubble3D val="0"/>
            <c:spPr>
              <a:solidFill>
                <a:srgbClr val="9999FF">
                  <a:alpha val="100000"/>
                </a:srgbClr>
              </a:solidFill>
              <a:ln w="12700">
                <a:solidFill>
                  <a:srgbClr val="000000">
                    <a:alpha val="100000"/>
                  </a:srgbClr>
                </a:solidFill>
                <a:prstDash val="solid"/>
              </a:ln>
            </c:spPr>
          </c:dPt>
          <c:dLbls>
            <c:numFmt formatCode="0%" sourceLinked="0"/>
            <c:spPr>
              <a:noFill/>
              <a:ln w="3175">
                <a:noFill/>
              </a:ln>
              <a:effectLst/>
            </c:spPr>
            <c:txPr>
              <a:bodyPr rot="0" spcFirstLastPara="0" vertOverflow="ellipsis" vert="horz" wrap="square" lIns="38100" tIns="19050" rIns="38100" bIns="19050" anchor="ctr" anchorCtr="1"/>
              <a:lstStyle/>
              <a:p>
                <a:pPr>
                  <a:defRPr lang="zh-CN" sz="925"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'[附件2.5-作参考：饼状（直方）图绘制方法.xls]收入决算结构-图2-1'!$A$1:$C$1</c:f>
              <c:strCache>
                <c:ptCount val="3"/>
                <c:pt idx="0">
                  <c:v>一般公共预算财政拨款收入</c:v>
                </c:pt>
                <c:pt idx="1">
                  <c:v>国有资本经营预算财政拨款收入</c:v>
                </c:pt>
                <c:pt idx="2">
                  <c:v>其他收入</c:v>
                </c:pt>
              </c:strCache>
            </c:strRef>
          </c:cat>
          <c:val>
            <c:numRef>
              <c:f>'[附件2.5-作参考：饼状（直方）图绘制方法.xls]收入决算结构-图2-1'!$A$2:$C$2</c:f>
              <c:numCache>
                <c:formatCode>General</c:formatCode>
                <c:ptCount val="3"/>
                <c:pt idx="0">
                  <c:v>1170.01</c:v>
                </c:pt>
                <c:pt idx="2">
                  <c:v>0.03</c:v>
                </c:pt>
              </c:numCache>
            </c:numRef>
          </c:val>
        </c:ser>
        <c:dLbls>
          <c:showLegendKey val="0"/>
          <c:showVal val="0"/>
          <c:showCatName val="0"/>
          <c:showSerName val="0"/>
          <c:showPercent val="0"/>
          <c:showBubbleSize val="0"/>
          <c:showLeaderLines val="1"/>
        </c:dLbls>
        <c:firstSliceAng val="0"/>
      </c:pieChart>
      <c:spPr>
        <a:noFill/>
        <a:ln w="3175">
          <a:noFill/>
        </a:ln>
      </c:spPr>
    </c:plotArea>
    <c:legend>
      <c:legendPos val="r"/>
      <c:layout>
        <c:manualLayout>
          <c:xMode val="edge"/>
          <c:yMode val="edge"/>
          <c:x val="0.575"/>
          <c:y val="0.44025"/>
          <c:w val="0.41425"/>
          <c:h val="0.2435"/>
        </c:manualLayout>
      </c:layout>
      <c:overlay val="0"/>
      <c:spPr>
        <a:solidFill>
          <a:srgbClr val="FFFFFF">
            <a:alpha val="100000"/>
          </a:srgbClr>
        </a:solidFill>
        <a:ln w="3175">
          <a:noFill/>
        </a:ln>
      </c:spPr>
      <c:txPr>
        <a:bodyPr rot="0" spcFirstLastPara="0" vertOverflow="ellipsis" vert="horz" wrap="square" anchor="ctr" anchorCtr="1"/>
        <a:lstStyle/>
        <a:p>
          <a:pPr>
            <a:defRPr lang="zh-CN" sz="11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317783f7-28bf-4b2e-ac01-612b5331dcd1}"/>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8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w="3175">
          <a:noFill/>
        </a:ln>
      </c:spPr>
      <c:txPr>
        <a:bodyPr rot="0" spcFirstLastPara="0" vertOverflow="ellipsis" vert="horz" wrap="square" anchor="ctr" anchorCtr="1"/>
        <a:lstStyle/>
        <a:p>
          <a:pPr>
            <a:defRPr lang="zh-CN" sz="1200"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title>
    <c:autoTitleDeleted val="0"/>
    <c:plotArea>
      <c:layout>
        <c:manualLayout>
          <c:layoutTarget val="inner"/>
          <c:xMode val="edge"/>
          <c:yMode val="edge"/>
          <c:x val="0.2575"/>
          <c:y val="0.277"/>
          <c:w val="0.33325"/>
          <c:h val="0.56425"/>
        </c:manualLayout>
      </c:layout>
      <c:pieChart>
        <c:varyColors val="1"/>
        <c:ser>
          <c:idx val="0"/>
          <c:order val="0"/>
          <c:tx>
            <c:strRef>
              <c:f>'[附件2.5-作参考：饼状（直方）图绘制方法.xls]支出决算结构-图3'!$A$9</c:f>
              <c:strCache>
                <c:ptCount val="1"/>
                <c:pt idx="0">
                  <c:v>沐川县红十字会2024年支出决算结构图</c:v>
                </c:pt>
              </c:strCache>
            </c:strRef>
          </c:tx>
          <c:spPr>
            <a:solidFill>
              <a:srgbClr val="9999FF">
                <a:alpha val="100000"/>
              </a:srgbClr>
            </a:solidFill>
            <a:ln w="12700">
              <a:solidFill>
                <a:srgbClr val="000000">
                  <a:alpha val="100000"/>
                </a:srgbClr>
              </a:solidFill>
              <a:prstDash val="solid"/>
            </a:ln>
          </c:spPr>
          <c:explosion val="25"/>
          <c:dPt>
            <c:idx val="0"/>
            <c:bubble3D val="0"/>
            <c:spPr>
              <a:solidFill>
                <a:srgbClr val="9999FF">
                  <a:alpha val="100000"/>
                </a:srgbClr>
              </a:solidFill>
              <a:ln w="12700">
                <a:solidFill>
                  <a:srgbClr val="000000">
                    <a:alpha val="100000"/>
                  </a:srgbClr>
                </a:solidFill>
                <a:prstDash val="solid"/>
              </a:ln>
            </c:spPr>
          </c:dPt>
          <c:dPt>
            <c:idx val="1"/>
            <c:bubble3D val="0"/>
            <c:spPr>
              <a:solidFill>
                <a:srgbClr val="993366">
                  <a:alpha val="100000"/>
                </a:srgbClr>
              </a:solidFill>
              <a:ln w="12700">
                <a:solidFill>
                  <a:srgbClr val="000000">
                    <a:alpha val="100000"/>
                  </a:srgbClr>
                </a:solidFill>
                <a:prstDash val="solid"/>
              </a:ln>
            </c:spPr>
          </c:dPt>
          <c:dLbls>
            <c:numFmt formatCode="0.00%" sourceLinked="0"/>
            <c:spPr>
              <a:noFill/>
              <a:ln w="3175">
                <a:noFill/>
              </a:ln>
              <a:effectLst/>
            </c:spPr>
            <c:txPr>
              <a:bodyPr rot="0" spcFirstLastPara="0" vertOverflow="ellipsis" vert="horz" wrap="square" lIns="38100" tIns="19050" rIns="38100" bIns="19050" anchor="ctr" anchorCtr="1"/>
              <a:lstStyle/>
              <a:p>
                <a:pPr>
                  <a:defRPr lang="zh-CN" sz="11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'[附件2.5-作参考：饼状（直方）图绘制方法.xls]支出决算结构-图3'!$A$1:$B$1</c:f>
              <c:strCache>
                <c:ptCount val="2"/>
                <c:pt idx="0">
                  <c:v>基本支出</c:v>
                </c:pt>
                <c:pt idx="1">
                  <c:v>项目支出</c:v>
                </c:pt>
              </c:strCache>
            </c:strRef>
          </c:cat>
          <c:val>
            <c:numRef>
              <c:f>'[附件2.5-作参考：饼状（直方）图绘制方法.xls]支出决算结构-图3'!$A$4:$B$4</c:f>
              <c:numCache>
                <c:formatCode>0.00%</c:formatCode>
                <c:ptCount val="2"/>
                <c:pt idx="0">
                  <c:v>0.7857</c:v>
                </c:pt>
                <c:pt idx="1">
                  <c:v>0.2142</c:v>
                </c:pt>
              </c:numCache>
            </c:numRef>
          </c:val>
        </c:ser>
        <c:dLbls>
          <c:showLegendKey val="0"/>
          <c:showVal val="0"/>
          <c:showCatName val="0"/>
          <c:showSerName val="0"/>
          <c:showPercent val="0"/>
          <c:showBubbleSize val="0"/>
          <c:showLeaderLines val="1"/>
        </c:dLbls>
        <c:firstSliceAng val="0"/>
      </c:pieChart>
      <c:spPr>
        <a:noFill/>
        <a:ln w="3175">
          <a:noFill/>
        </a:ln>
      </c:spPr>
    </c:plotArea>
    <c:legend>
      <c:legendPos val="r"/>
      <c:layout>
        <c:manualLayout>
          <c:xMode val="edge"/>
          <c:yMode val="edge"/>
          <c:x val="0.7905"/>
          <c:y val="0.456"/>
          <c:w val="0.1655"/>
          <c:h val="0.13525"/>
        </c:manualLayout>
      </c:layout>
      <c:overlay val="0"/>
      <c:spPr>
        <a:solidFill>
          <a:srgbClr val="FFFFFF">
            <a:alpha val="100000"/>
          </a:srgbClr>
        </a:solidFill>
        <a:ln w="3175">
          <a:noFill/>
        </a:ln>
      </c:spPr>
      <c:txPr>
        <a:bodyPr rot="0" spcFirstLastPara="0" vertOverflow="ellipsis" vert="horz" wrap="square" anchor="ctr" anchorCtr="1"/>
        <a:lstStyle/>
        <a:p>
          <a:pPr>
            <a:defRPr lang="zh-CN" sz="11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9b67be87-a7d7-499d-b876-db4fc43a2126}"/>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8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w="3175">
          <a:noFill/>
        </a:ln>
      </c:spPr>
      <c:txPr>
        <a:bodyPr rot="0" spcFirstLastPara="0" vertOverflow="ellipsis" vert="horz" wrap="square" anchor="ctr" anchorCtr="1"/>
        <a:lstStyle/>
        <a:p>
          <a:pPr>
            <a:defRPr lang="zh-CN" sz="1100"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title>
    <c:autoTitleDeleted val="0"/>
    <c:plotArea>
      <c:layout/>
      <c:barChart>
        <c:barDir val="col"/>
        <c:grouping val="clustered"/>
        <c:varyColors val="0"/>
        <c:ser>
          <c:idx val="0"/>
          <c:order val="0"/>
          <c:tx>
            <c:strRef>
              <c:f>'[附件2.5-作参考：饼状（直方）图绘制方法.xls]收支决算总计变动情况-图1'!$A$4</c:f>
              <c:strCache>
                <c:ptCount val="1"/>
                <c:pt idx="0">
                  <c:v>沐川县红十字会财政拨款收、支决算总计变动情况</c:v>
                </c:pt>
              </c:strCache>
            </c:strRef>
          </c:tx>
          <c:spPr>
            <a:solidFill>
              <a:srgbClr val="9999FF">
                <a:alpha val="100000"/>
              </a:srgbClr>
            </a:solidFill>
            <a:ln w="12700">
              <a:solidFill>
                <a:srgbClr val="000000">
                  <a:alpha val="100000"/>
                </a:srgbClr>
              </a:solidFill>
              <a:prstDash val="solid"/>
            </a:ln>
          </c:spPr>
          <c:invertIfNegative val="0"/>
          <c:dLbls>
            <c:dLbl>
              <c:idx val="0"/>
              <c:layout>
                <c:manualLayout>
                  <c:x val="0.00176132013201321"/>
                  <c:y val="0.2230002424242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968726072607265"/>
                  <c:y val="0.3429687272727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'[附件2.5-作参考：饼状（直方）图绘制方法.xls]收支决算总计变动情况-图1'!$A$1:$B$1</c:f>
              <c:strCache>
                <c:ptCount val="2"/>
                <c:pt idx="0">
                  <c:v>2023年财政拨款收支</c:v>
                </c:pt>
                <c:pt idx="1">
                  <c:v>2024年财政拨款收支</c:v>
                </c:pt>
              </c:strCache>
            </c:strRef>
          </c:cat>
          <c:val>
            <c:numRef>
              <c:f>'[附件2.5-作参考：饼状（直方）图绘制方法.xls]收支决算总计变动情况-图1'!$A$2:$B$2</c:f>
              <c:numCache>
                <c:formatCode>General</c:formatCode>
                <c:ptCount val="2"/>
                <c:pt idx="0">
                  <c:v>90.36</c:v>
                </c:pt>
                <c:pt idx="1">
                  <c:v>103.99</c:v>
                </c:pt>
              </c:numCache>
            </c:numRef>
          </c:val>
        </c:ser>
        <c:dLbls>
          <c:showLegendKey val="0"/>
          <c:showVal val="0"/>
          <c:showCatName val="0"/>
          <c:showSerName val="0"/>
          <c:showPercent val="0"/>
          <c:showBubbleSize val="0"/>
        </c:dLbls>
        <c:gapWidth val="150"/>
        <c:axId val="446519168"/>
        <c:axId val="446520704"/>
      </c:barChart>
      <c:catAx>
        <c:axId val="446519168"/>
        <c:scaling>
          <c:orientation val="minMax"/>
        </c:scaling>
        <c:delete val="0"/>
        <c:axPos val="b"/>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446520704"/>
        <c:crosses val="autoZero"/>
        <c:auto val="1"/>
        <c:lblAlgn val="ctr"/>
        <c:lblOffset val="100"/>
        <c:noMultiLvlLbl val="0"/>
      </c:catAx>
      <c:valAx>
        <c:axId val="446520704"/>
        <c:scaling>
          <c:orientation val="minMax"/>
        </c:scaling>
        <c:delete val="0"/>
        <c:axPos val="l"/>
        <c:majorGridlines>
          <c:spPr>
            <a:ln w="3175" cap="flat" cmpd="sng" algn="ctr">
              <a:solidFill>
                <a:srgbClr val="000000">
                  <a:alpha val="100000"/>
                </a:srgbClr>
              </a:solidFill>
              <a:prstDash val="solid"/>
              <a:round/>
            </a:ln>
          </c:spPr>
        </c:majorGridlines>
        <c:numFmt formatCode="General" sourceLinked="1"/>
        <c:majorTickMark val="in"/>
        <c:minorTickMark val="none"/>
        <c:tickLblPos val="nextTo"/>
        <c:spPr>
          <a:ln w="3175" cap="flat" cmpd="sng" algn="ctr">
            <a:solidFill>
              <a:srgbClr val="000000"/>
            </a:solidFill>
            <a:prstDash val="solid"/>
            <a:round/>
          </a:ln>
        </c:spPr>
        <c:txPr>
          <a:bodyPr rot="-60000000" spcFirstLastPara="0" vertOverflow="ellipsis" vert="horz" wrap="square"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446519168"/>
        <c:crosses val="autoZero"/>
        <c:crossBetween val="between"/>
      </c:valAx>
      <c:spPr>
        <a:solidFill>
          <a:srgbClr val="C0C0C0">
            <a:alpha val="100000"/>
          </a:srgbClr>
        </a:solidFill>
        <a:ln w="12700">
          <a:solidFill>
            <a:srgbClr val="808080">
              <a:alpha val="100000"/>
            </a:srgbClr>
          </a:solidFill>
          <a:prstDash val="solid"/>
        </a:ln>
      </c:spPr>
    </c:plotArea>
    <c:plotVisOnly val="1"/>
    <c:dispBlanksAs val="gap"/>
    <c:showDLblsOverMax val="0"/>
    <c:extLst>
      <c:ext uri="{0b15fc19-7d7d-44ad-8c2d-2c3a37ce22c3}">
        <chartProps xmlns="https://web.wps.cn/et/2018/main" chartId="{feef13f3-8085-4f8e-bbc4-a797d2ac561b}"/>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8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100"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rPr lang="zh-CN" altLang="en-US"/>
              <a:t>沐川县财政局一般公共预算财政拨款支出决算变动情况</a:t>
            </a:r>
            <a:endParaRPr lang="zh-CN" altLang="en-US" sz="1100" b="1"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overlay val="0"/>
      <c:spPr>
        <a:noFill/>
        <a:ln w="3175">
          <a:noFill/>
        </a:ln>
      </c:spPr>
    </c:title>
    <c:autoTitleDeleted val="0"/>
    <c:plotArea>
      <c:layout>
        <c:manualLayout>
          <c:layoutTarget val="inner"/>
          <c:xMode val="edge"/>
          <c:yMode val="edge"/>
          <c:x val="0.084"/>
          <c:y val="0.2285"/>
          <c:w val="0.832"/>
          <c:h val="0.68175"/>
        </c:manualLayout>
      </c:layout>
      <c:barChart>
        <c:barDir val="col"/>
        <c:grouping val="clustered"/>
        <c:varyColors val="0"/>
        <c:ser>
          <c:idx val="0"/>
          <c:order val="0"/>
          <c:spPr>
            <a:solidFill>
              <a:srgbClr val="9999FF">
                <a:alpha val="100000"/>
              </a:srgbClr>
            </a:solidFill>
            <a:ln w="12700">
              <a:solidFill>
                <a:srgbClr val="000000">
                  <a:alpha val="100000"/>
                </a:srgbClr>
              </a:solidFill>
              <a:prstDash val="solid"/>
            </a:ln>
          </c:spPr>
          <c:invertIfNegative val="0"/>
          <c:dLbls>
            <c:dLbl>
              <c:idx val="0"/>
              <c:layout>
                <c:manualLayout>
                  <c:x val="0"/>
                  <c:y val="0.24406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748799999999998"/>
                  <c:y val="0.34769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'[附件2.5-作参考：饼状（直方）图绘制方法.xls]一般公共预算财政拨款支出决算变动情况-图5'!$A$1:$B$1</c:f>
              <c:strCache>
                <c:ptCount val="2"/>
                <c:pt idx="0">
                  <c:v>2023年一般公共预算财政拨款支出</c:v>
                </c:pt>
                <c:pt idx="1">
                  <c:v>2024年一般公共预算财政拨款支出</c:v>
                </c:pt>
              </c:strCache>
            </c:strRef>
          </c:cat>
          <c:val>
            <c:numRef>
              <c:f>'[附件2.5-作参考：饼状（直方）图绘制方法.xls]一般公共预算财政拨款支出决算变动情况-图5'!$A$2:$B$2</c:f>
              <c:numCache>
                <c:formatCode>General</c:formatCode>
                <c:ptCount val="2"/>
                <c:pt idx="0">
                  <c:v>90.36</c:v>
                </c:pt>
                <c:pt idx="1" c:formatCode="#,##0.00">
                  <c:v>103.99</c:v>
                </c:pt>
              </c:numCache>
            </c:numRef>
          </c:val>
        </c:ser>
        <c:dLbls>
          <c:showLegendKey val="0"/>
          <c:showVal val="0"/>
          <c:showCatName val="0"/>
          <c:showSerName val="0"/>
          <c:showPercent val="0"/>
          <c:showBubbleSize val="0"/>
        </c:dLbls>
        <c:gapWidth val="150"/>
        <c:axId val="441073024"/>
        <c:axId val="441087104"/>
      </c:barChart>
      <c:catAx>
        <c:axId val="441073024"/>
        <c:scaling>
          <c:orientation val="minMax"/>
        </c:scaling>
        <c:delete val="0"/>
        <c:axPos val="b"/>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441087104"/>
        <c:crosses val="autoZero"/>
        <c:auto val="1"/>
        <c:lblAlgn val="ctr"/>
        <c:lblOffset val="100"/>
        <c:noMultiLvlLbl val="0"/>
      </c:catAx>
      <c:valAx>
        <c:axId val="441087104"/>
        <c:scaling>
          <c:orientation val="minMax"/>
        </c:scaling>
        <c:delete val="0"/>
        <c:axPos val="l"/>
        <c:numFmt formatCode="General" sourceLinked="1"/>
        <c:majorTickMark val="in"/>
        <c:minorTickMark val="none"/>
        <c:tickLblPos val="nextTo"/>
        <c:spPr>
          <a:ln w="3175" cap="flat" cmpd="sng" algn="ctr">
            <a:solidFill>
              <a:srgbClr val="000000"/>
            </a:solidFill>
            <a:prstDash val="solid"/>
            <a:round/>
          </a:ln>
        </c:spPr>
        <c:txPr>
          <a:bodyPr rot="-60000000" spcFirstLastPara="0" vertOverflow="ellipsis" vert="horz" wrap="square"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441073024"/>
        <c:crosses val="autoZero"/>
        <c:crossBetween val="between"/>
      </c:valAx>
      <c:spPr>
        <a:noFill/>
        <a:ln w="3175">
          <a:noFill/>
        </a:ln>
      </c:spPr>
    </c:plotArea>
    <c:plotVisOnly val="1"/>
    <c:dispBlanksAs val="gap"/>
    <c:showDLblsOverMax val="0"/>
    <c:extLst>
      <c:ext uri="{0b15fc19-7d7d-44ad-8c2d-2c3a37ce22c3}">
        <chartProps xmlns="https://web.wps.cn/et/2018/main" chartId="{7c68fd73-4b70-4bab-af06-fca31a5f9339}"/>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8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200"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rPr lang="zh-CN" altLang="en-US"/>
              <a:t>沐川县红十字会一般公共预算财政拨款支出决算结构图</a:t>
            </a:r>
            <a:endParaRPr lang="zh-CN" altLang="en-US" sz="1200" b="1"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11123166023166"/>
          <c:y val="0.0131418128654971"/>
        </c:manualLayout>
      </c:layout>
      <c:overlay val="0"/>
      <c:spPr>
        <a:noFill/>
        <a:ln w="3175">
          <a:noFill/>
        </a:ln>
      </c:spPr>
    </c:title>
    <c:autoTitleDeleted val="0"/>
    <c:plotArea>
      <c:layout>
        <c:manualLayout>
          <c:layoutTarget val="inner"/>
          <c:xMode val="edge"/>
          <c:yMode val="edge"/>
          <c:x val="0.1005"/>
          <c:y val="0.24925"/>
          <c:w val="0.445"/>
          <c:h val="0.67875"/>
        </c:manualLayout>
      </c:layout>
      <c:pieChart>
        <c:varyColors val="1"/>
        <c:ser>
          <c:idx val="0"/>
          <c:order val="0"/>
          <c:tx>
            <c:strRef>
              <c:f>'[附件2.5-作参考：饼状（直方）图绘制方法.xls]一般公共预算财政拨款支出决算结构-图6'!$A$8</c:f>
              <c:strCache>
                <c:ptCount val="1"/>
                <c:pt idx="0">
                  <c:v>沐川县红十字会一般公共预算财政拨款支出决算结构图</c:v>
                </c:pt>
              </c:strCache>
            </c:strRef>
          </c:tx>
          <c:spPr>
            <a:solidFill>
              <a:srgbClr val="9999FF">
                <a:alpha val="100000"/>
              </a:srgbClr>
            </a:solidFill>
            <a:ln w="12700">
              <a:solidFill>
                <a:srgbClr val="000000">
                  <a:alpha val="100000"/>
                </a:srgbClr>
              </a:solidFill>
              <a:prstDash val="solid"/>
            </a:ln>
          </c:spPr>
          <c:explosion val="0"/>
          <c:dPt>
            <c:idx val="0"/>
            <c:bubble3D val="0"/>
            <c:spPr>
              <a:solidFill>
                <a:srgbClr val="9999FF">
                  <a:alpha val="100000"/>
                </a:srgbClr>
              </a:solidFill>
              <a:ln w="3175">
                <a:solidFill>
                  <a:srgbClr val="000000">
                    <a:alpha val="100000"/>
                  </a:srgbClr>
                </a:solidFill>
                <a:prstDash val="solid"/>
              </a:ln>
            </c:spPr>
          </c:dPt>
          <c:dPt>
            <c:idx val="1"/>
            <c:bubble3D val="0"/>
            <c:spPr>
              <a:solidFill>
                <a:srgbClr val="993366">
                  <a:alpha val="100000"/>
                </a:srgbClr>
              </a:solidFill>
              <a:ln w="12700">
                <a:solidFill>
                  <a:srgbClr val="000000">
                    <a:alpha val="100000"/>
                  </a:srgbClr>
                </a:solidFill>
                <a:prstDash val="solid"/>
              </a:ln>
            </c:spPr>
          </c:dPt>
          <c:dPt>
            <c:idx val="2"/>
            <c:bubble3D val="0"/>
            <c:spPr>
              <a:solidFill>
                <a:srgbClr val="FFFFCC">
                  <a:alpha val="100000"/>
                </a:srgbClr>
              </a:solidFill>
              <a:ln w="12700">
                <a:solidFill>
                  <a:srgbClr val="000000">
                    <a:alpha val="100000"/>
                  </a:srgbClr>
                </a:solidFill>
                <a:prstDash val="solid"/>
              </a:ln>
            </c:spPr>
          </c:dPt>
          <c:dPt>
            <c:idx val="3"/>
            <c:bubble3D val="0"/>
            <c:spPr>
              <a:solidFill>
                <a:srgbClr val="CCFFFF">
                  <a:alpha val="100000"/>
                </a:srgbClr>
              </a:solidFill>
              <a:ln w="12700">
                <a:solidFill>
                  <a:srgbClr val="000000">
                    <a:alpha val="100000"/>
                  </a:srgbClr>
                </a:solidFill>
                <a:prstDash val="solid"/>
              </a:ln>
            </c:spPr>
          </c:dPt>
          <c:dPt>
            <c:idx val="4"/>
            <c:bubble3D val="0"/>
            <c:spPr>
              <a:solidFill>
                <a:srgbClr val="660066">
                  <a:alpha val="100000"/>
                </a:srgbClr>
              </a:solidFill>
              <a:ln w="12700">
                <a:solidFill>
                  <a:srgbClr val="000000">
                    <a:alpha val="100000"/>
                  </a:srgbClr>
                </a:solidFill>
                <a:prstDash val="solid"/>
              </a:ln>
            </c:spPr>
          </c:dPt>
          <c:dLbls>
            <c:dLbl>
              <c:idx val="0"/>
              <c:layout>
                <c:manualLayout>
                  <c:x val="-0.122825912977659"/>
                  <c:y val="-0.361740626182898"/>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w="3175">
                <a:noFill/>
              </a:ln>
              <a:effectLst/>
            </c:spPr>
            <c:txPr>
              <a:bodyPr rot="0" spcFirstLastPara="0" vertOverflow="ellipsis" vert="horz" wrap="square" lIns="38100" tIns="19050" rIns="38100" bIns="19050" anchor="ctr" anchorCtr="1"/>
              <a:lstStyle/>
              <a:p>
                <a:pPr>
                  <a:defRPr lang="zh-CN" sz="925"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'[附件2.5-作参考：饼状（直方）图绘制方法.xls]一般公共预算财政拨款支出决算结构-图6'!$A$1:$E$1</c:f>
              <c:strCache>
                <c:ptCount val="5"/>
                <c:pt idx="0">
                  <c:v>2024年社会保障和就业支出</c:v>
                </c:pt>
                <c:pt idx="1">
                  <c:v>2024年医疗卫生支出</c:v>
                </c:pt>
                <c:pt idx="2">
                  <c:v>2024年住房保障支出</c:v>
                </c:pt>
              </c:strCache>
            </c:strRef>
          </c:cat>
          <c:val>
            <c:numRef>
              <c:f>'[附件2.5-作参考：饼状（直方）图绘制方法.xls]一般公共预算财政拨款支出决算结构-图6'!$A$2:$E$2</c:f>
              <c:numCache>
                <c:formatCode>General</c:formatCode>
                <c:ptCount val="5"/>
                <c:pt idx="0">
                  <c:v>93.34</c:v>
                </c:pt>
                <c:pt idx="1">
                  <c:v>3.54</c:v>
                </c:pt>
                <c:pt idx="2">
                  <c:v>7.1</c:v>
                </c:pt>
              </c:numCache>
            </c:numRef>
          </c:val>
        </c:ser>
        <c:dLbls>
          <c:showLegendKey val="0"/>
          <c:showVal val="0"/>
          <c:showCatName val="0"/>
          <c:showSerName val="0"/>
          <c:showPercent val="0"/>
          <c:showBubbleSize val="0"/>
          <c:showLeaderLines val="1"/>
        </c:dLbls>
        <c:firstSliceAng val="0"/>
      </c:pieChart>
      <c:spPr>
        <a:noFill/>
        <a:ln w="3175">
          <a:noFill/>
        </a:ln>
      </c:spPr>
    </c:plotArea>
    <c:legend>
      <c:legendPos val="r"/>
      <c:layout>
        <c:manualLayout>
          <c:xMode val="edge"/>
          <c:yMode val="edge"/>
          <c:x val="0.649698040226921"/>
          <c:y val="0.28825"/>
          <c:w val="0.34425"/>
          <c:h val="0.5555"/>
        </c:manualLayout>
      </c:layout>
      <c:overlay val="0"/>
      <c:spPr>
        <a:solidFill>
          <a:srgbClr val="FFFFFF">
            <a:alpha val="100000"/>
          </a:srgbClr>
        </a:solidFill>
        <a:ln w="3175">
          <a:noFill/>
        </a:ln>
      </c:spPr>
      <c:txPr>
        <a:bodyPr rot="0" spcFirstLastPara="0" vertOverflow="ellipsis" vert="horz" wrap="square" anchor="ctr" anchorCtr="1"/>
        <a:lstStyle/>
        <a:p>
          <a:pPr>
            <a:defRPr lang="zh-CN" sz="1125"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c0fd0017-f1f6-439f-ad8f-3631b2a4dea3}"/>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8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w="3175">
          <a:noFill/>
        </a:ln>
      </c:spPr>
      <c:txPr>
        <a:bodyPr rot="0" spcFirstLastPara="0" vertOverflow="ellipsis" vert="horz" wrap="square" anchor="ctr" anchorCtr="1"/>
        <a:lstStyle/>
        <a:p>
          <a:pPr>
            <a:defRPr lang="zh-CN" sz="1200"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title>
    <c:autoTitleDeleted val="0"/>
    <c:plotArea>
      <c:layout>
        <c:manualLayout>
          <c:layoutTarget val="inner"/>
          <c:xMode val="edge"/>
          <c:yMode val="edge"/>
          <c:x val="0.19625"/>
          <c:y val="0.3"/>
          <c:w val="0.2635"/>
          <c:h val="0.527"/>
        </c:manualLayout>
      </c:layout>
      <c:pieChart>
        <c:varyColors val="1"/>
        <c:ser>
          <c:idx val="0"/>
          <c:order val="0"/>
          <c:tx>
            <c:strRef>
              <c:f>'[附件2.5-作参考：饼状（直方）图绘制方法.xls]三公经费财政拨款支出结构-图7'!$B$8</c:f>
              <c:strCache>
                <c:ptCount val="1"/>
                <c:pt idx="0">
                  <c:v>沐川县红十字会2024年“三公”经费财政拨款支出结构图</c:v>
                </c:pt>
              </c:strCache>
            </c:strRef>
          </c:tx>
          <c:spPr>
            <a:solidFill>
              <a:srgbClr val="9999FF">
                <a:alpha val="100000"/>
              </a:srgbClr>
            </a:solidFill>
            <a:ln w="12700">
              <a:solidFill>
                <a:srgbClr val="000000">
                  <a:alpha val="100000"/>
                </a:srgbClr>
              </a:solidFill>
              <a:prstDash val="solid"/>
            </a:ln>
          </c:spPr>
          <c:explosion val="25"/>
          <c:dPt>
            <c:idx val="0"/>
            <c:bubble3D val="0"/>
            <c:spPr>
              <a:solidFill>
                <a:srgbClr val="9999FF">
                  <a:alpha val="100000"/>
                </a:srgbClr>
              </a:solidFill>
              <a:ln w="12700">
                <a:solidFill>
                  <a:srgbClr val="000000">
                    <a:alpha val="100000"/>
                  </a:srgbClr>
                </a:solidFill>
                <a:prstDash val="solid"/>
              </a:ln>
            </c:spPr>
          </c:dPt>
          <c:dPt>
            <c:idx val="1"/>
            <c:bubble3D val="0"/>
            <c:spPr>
              <a:solidFill>
                <a:srgbClr val="993366">
                  <a:alpha val="100000"/>
                </a:srgbClr>
              </a:solidFill>
              <a:ln w="12700">
                <a:solidFill>
                  <a:srgbClr val="000000">
                    <a:alpha val="100000"/>
                  </a:srgbClr>
                </a:solidFill>
                <a:prstDash val="solid"/>
              </a:ln>
            </c:spPr>
          </c:dPt>
          <c:dPt>
            <c:idx val="2"/>
            <c:bubble3D val="0"/>
            <c:spPr>
              <a:solidFill>
                <a:srgbClr val="FFFFCC">
                  <a:alpha val="100000"/>
                </a:srgbClr>
              </a:solidFill>
              <a:ln w="12700">
                <a:solidFill>
                  <a:srgbClr val="000000">
                    <a:alpha val="100000"/>
                  </a:srgbClr>
                </a:solidFill>
                <a:prstDash val="solid"/>
              </a:ln>
            </c:spPr>
          </c:dPt>
          <c:dLbls>
            <c:numFmt formatCode="0.00%" sourceLinked="0"/>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'[附件2.5-作参考：饼状（直方）图绘制方法.xls]三公经费财政拨款支出结构-图7'!$A$1:$C$1</c:f>
              <c:strCache>
                <c:ptCount val="3"/>
                <c:pt idx="0">
                  <c:v>因公出国（境）费支出</c:v>
                </c:pt>
                <c:pt idx="1">
                  <c:v>公务用车购置及运行维护费支出</c:v>
                </c:pt>
                <c:pt idx="2">
                  <c:v>公务接待费支出</c:v>
                </c:pt>
              </c:strCache>
            </c:strRef>
          </c:cat>
          <c:val>
            <c:numRef>
              <c:f>'[附件2.5-作参考：饼状（直方）图绘制方法.xls]三公经费财政拨款支出结构-图7'!$A$2:$C$2</c:f>
              <c:numCache>
                <c:formatCode>General</c:formatCode>
                <c:ptCount val="3"/>
                <c:pt idx="0">
                  <c:v>0</c:v>
                </c:pt>
                <c:pt idx="1">
                  <c:v>0</c:v>
                </c:pt>
                <c:pt idx="2">
                  <c:v>2.86</c:v>
                </c:pt>
              </c:numCache>
            </c:numRef>
          </c:val>
        </c:ser>
        <c:dLbls>
          <c:showLegendKey val="0"/>
          <c:showVal val="0"/>
          <c:showCatName val="0"/>
          <c:showSerName val="0"/>
          <c:showPercent val="0"/>
          <c:showBubbleSize val="0"/>
          <c:showLeaderLines val="1"/>
        </c:dLbls>
        <c:firstSliceAng val="0"/>
      </c:pieChart>
      <c:spPr>
        <a:noFill/>
        <a:ln w="3175">
          <a:noFill/>
        </a:ln>
      </c:spPr>
    </c:plotArea>
    <c:legend>
      <c:legendPos val="r"/>
      <c:layout>
        <c:manualLayout>
          <c:xMode val="edge"/>
          <c:yMode val="edge"/>
          <c:x val="0.573"/>
          <c:y val="0.3845"/>
          <c:w val="0.3385"/>
          <c:h val="0.38075"/>
        </c:manualLayout>
      </c:layout>
      <c:overlay val="0"/>
      <c:spPr>
        <a:solidFill>
          <a:srgbClr val="FFFFFF">
            <a:alpha val="100000"/>
          </a:srgbClr>
        </a:solidFill>
        <a:ln w="3175">
          <a:noFill/>
        </a:ln>
      </c:spPr>
      <c:txPr>
        <a:bodyPr rot="0" spcFirstLastPara="0" vertOverflow="ellipsis" vert="horz" wrap="square"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3064b73f-db3e-45b0-99af-16e58cf8fb24}"/>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825"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四川省财政厅</Company>
  <Pages>25</Pages>
  <Words>1749</Words>
  <Characters>1960</Characters>
  <Lines>60</Lines>
  <Paragraphs>17</Paragraphs>
  <TotalTime>10</TotalTime>
  <ScaleCrop>false</ScaleCrop>
  <LinksUpToDate>false</LinksUpToDate>
  <CharactersWithSpaces>2007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About.</cp:lastModifiedBy>
  <cp:lastPrinted>2025-08-06T17:34:00Z</cp:lastPrinted>
  <dcterms:modified xsi:type="dcterms:W3CDTF">2026-08-24T09:53:14Z</dcterms:modified>
  <dc:title>四川省***</dc:title>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04787F2533EB45DC91BCDE4AB213247F</vt:lpwstr>
  </property>
  <property fmtid="{D5CDD505-2E9C-101B-9397-08002B2CF9AE}" pid="4" name="KSOTemplateDocerSaveRecord">
    <vt:lpwstr>eyJoZGlkIjoiMmI4YWM2MGJhMzZlZTZlYjUxMDBkNzFiMDdlNzdjMDYiLCJ1c2VySWQiOiI2MzM0ODY5NjcifQ==</vt:lpwstr>
  </property>
</Properties>
</file>