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620C2">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8441"/>
      <w:bookmarkStart w:id="2" w:name="_Toc15396597"/>
      <w:bookmarkStart w:id="3" w:name="_Toc15377425"/>
      <w:bookmarkStart w:id="4" w:name="_Toc15377193"/>
      <w:bookmarkStart w:id="5" w:name="_Toc15306267"/>
    </w:p>
    <w:p w14:paraId="1E2C85EA">
      <w:pPr>
        <w:pStyle w:val="6"/>
        <w:rPr>
          <w:rFonts w:hint="eastAsia" w:ascii="Times New Roman" w:hAnsi="Times New Roman" w:eastAsia="方正小标宋简体" w:cs="Times New Roman"/>
          <w:color w:val="auto"/>
          <w:kern w:val="2"/>
          <w:sz w:val="72"/>
          <w:szCs w:val="72"/>
          <w:highlight w:val="none"/>
          <w:lang w:val="en-US" w:eastAsia="zh-CN" w:bidi="ar-SA"/>
        </w:rPr>
      </w:pPr>
    </w:p>
    <w:p w14:paraId="72633B31">
      <w:pPr>
        <w:pStyle w:val="6"/>
        <w:jc w:val="center"/>
        <w:rPr>
          <w:rFonts w:hint="eastAsia" w:ascii="方正小标宋简体" w:hAnsi="方正小标宋简体" w:eastAsia="方正小标宋简体" w:cs="方正小标宋简体"/>
          <w:b/>
          <w:bCs/>
          <w:color w:val="auto"/>
          <w:kern w:val="2"/>
          <w:sz w:val="72"/>
          <w:szCs w:val="72"/>
          <w:highlight w:val="none"/>
          <w:lang w:val="en-US" w:eastAsia="zh-CN" w:bidi="ar-SA"/>
        </w:rPr>
      </w:pPr>
      <w:r>
        <w:rPr>
          <w:rFonts w:hint="eastAsia" w:ascii="方正小标宋简体" w:hAnsi="方正小标宋简体" w:eastAsia="方正小标宋简体" w:cs="方正小标宋简体"/>
          <w:b/>
          <w:bCs/>
          <w:color w:val="auto"/>
          <w:kern w:val="2"/>
          <w:sz w:val="72"/>
          <w:szCs w:val="72"/>
          <w:highlight w:val="none"/>
          <w:lang w:val="en-US" w:eastAsia="zh-CN" w:bidi="ar-SA"/>
        </w:rPr>
        <w:t>2024年度</w:t>
      </w:r>
    </w:p>
    <w:p w14:paraId="383A9442">
      <w:pPr>
        <w:pStyle w:val="6"/>
        <w:jc w:val="center"/>
        <w:rPr>
          <w:rFonts w:hint="eastAsia" w:ascii="方正小标宋简体" w:hAnsi="方正小标宋简体" w:eastAsia="方正小标宋简体" w:cs="方正小标宋简体"/>
          <w:b/>
          <w:bCs/>
          <w:color w:val="auto"/>
          <w:kern w:val="2"/>
          <w:sz w:val="72"/>
          <w:szCs w:val="72"/>
          <w:highlight w:val="none"/>
          <w:lang w:val="en-US" w:eastAsia="zh-CN" w:bidi="ar-SA"/>
        </w:rPr>
      </w:pPr>
      <w:r>
        <w:rPr>
          <w:rFonts w:hint="eastAsia" w:ascii="方正小标宋简体" w:hAnsi="方正小标宋简体" w:eastAsia="方正小标宋简体" w:cs="方正小标宋简体"/>
          <w:b/>
          <w:bCs/>
          <w:color w:val="auto"/>
          <w:kern w:val="2"/>
          <w:sz w:val="72"/>
          <w:szCs w:val="72"/>
          <w:highlight w:val="none"/>
          <w:lang w:val="en-US" w:eastAsia="zh-CN" w:bidi="ar-SA"/>
        </w:rPr>
        <w:t>沐川县行政审批局决算</w:t>
      </w:r>
    </w:p>
    <w:p w14:paraId="5A78C706">
      <w:pPr>
        <w:pStyle w:val="6"/>
        <w:jc w:val="center"/>
        <w:rPr>
          <w:rFonts w:hint="eastAsia" w:ascii="方正小标宋简体" w:hAnsi="方正小标宋简体" w:eastAsia="方正小标宋简体" w:cs="方正小标宋简体"/>
          <w:b/>
          <w:bCs/>
          <w:color w:val="auto"/>
          <w:kern w:val="2"/>
          <w:sz w:val="72"/>
          <w:szCs w:val="72"/>
          <w:highlight w:val="none"/>
          <w:lang w:val="en-US" w:eastAsia="zh-CN" w:bidi="ar-SA"/>
        </w:rPr>
      </w:pPr>
      <w:r>
        <w:rPr>
          <w:rFonts w:hint="eastAsia" w:ascii="方正小标宋简体" w:hAnsi="方正小标宋简体" w:eastAsia="方正小标宋简体" w:cs="方正小标宋简体"/>
          <w:b/>
          <w:bCs/>
          <w:color w:val="auto"/>
          <w:kern w:val="2"/>
          <w:sz w:val="72"/>
          <w:szCs w:val="72"/>
          <w:highlight w:val="none"/>
          <w:lang w:val="en-US" w:eastAsia="zh-CN" w:bidi="ar-SA"/>
        </w:rPr>
        <w:t>公开</w:t>
      </w:r>
    </w:p>
    <w:p w14:paraId="75BE10DD">
      <w:pPr>
        <w:spacing w:line="600" w:lineRule="exact"/>
        <w:jc w:val="center"/>
        <w:outlineLvl w:val="0"/>
        <w:rPr>
          <w:rFonts w:ascii="Times New Roman" w:hAnsi="Times New Roman" w:eastAsia="方正小标宋简体"/>
          <w:color w:val="auto"/>
          <w:sz w:val="72"/>
          <w:szCs w:val="72"/>
          <w:highlight w:val="none"/>
        </w:rPr>
      </w:pPr>
    </w:p>
    <w:p w14:paraId="16A2507B">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29BC89F5">
      <w:pPr>
        <w:rPr>
          <w:rFonts w:ascii="Times New Roman" w:hAnsi="Times New Roman"/>
        </w:rPr>
      </w:pPr>
    </w:p>
    <w:p w14:paraId="1553F001">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6929EA47">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392946EE">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2BCCA922">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0B9251C7">
      <w:pPr>
        <w:pStyle w:val="6"/>
        <w:jc w:val="center"/>
        <w:rPr>
          <w:rFonts w:hint="eastAsia" w:ascii="Times New Roman" w:hAnsi="Times New Roman" w:eastAsia="方正小标宋简体" w:cs="Times New Roman"/>
          <w:color w:val="auto"/>
          <w:kern w:val="2"/>
          <w:sz w:val="72"/>
          <w:szCs w:val="72"/>
          <w:highlight w:val="none"/>
          <w:lang w:val="en-US" w:eastAsia="zh-CN" w:bidi="ar-SA"/>
        </w:rPr>
      </w:pPr>
      <w:bookmarkStart w:id="6" w:name="_Toc15377194"/>
      <w:bookmarkStart w:id="7" w:name="_Toc15396598"/>
      <w:bookmarkStart w:id="8" w:name="_Toc15396476"/>
      <w:bookmarkStart w:id="9" w:name="_Toc15378442"/>
      <w:bookmarkStart w:id="10" w:name="_Toc15377426"/>
      <w:r>
        <w:rPr>
          <w:rFonts w:hint="eastAsia" w:ascii="Times New Roman" w:hAnsi="Times New Roman" w:eastAsia="方正小标宋简体" w:cs="Times New Roman"/>
          <w:color w:val="auto"/>
          <w:kern w:val="2"/>
          <w:sz w:val="72"/>
          <w:szCs w:val="72"/>
          <w:highlight w:val="none"/>
          <w:lang w:val="en-US" w:eastAsia="zh-CN" w:bidi="ar-SA"/>
        </w:rPr>
        <w:t>2024年度</w:t>
      </w:r>
    </w:p>
    <w:p w14:paraId="524F12B3">
      <w:pPr>
        <w:pStyle w:val="6"/>
        <w:jc w:val="center"/>
        <w:rPr>
          <w:rFonts w:hint="eastAsia" w:ascii="Times New Roman" w:eastAsia="方正小标宋简体" w:cs="Times New Roman"/>
          <w:color w:val="auto"/>
          <w:kern w:val="2"/>
          <w:sz w:val="72"/>
          <w:szCs w:val="72"/>
          <w:highlight w:val="none"/>
          <w:lang w:val="en-US" w:eastAsia="zh-CN" w:bidi="ar-SA"/>
        </w:rPr>
      </w:pPr>
      <w:r>
        <w:rPr>
          <w:rFonts w:hint="eastAsia" w:ascii="Times New Roman" w:hAnsi="Times New Roman" w:eastAsia="方正小标宋简体" w:cs="Times New Roman"/>
          <w:color w:val="auto"/>
          <w:kern w:val="2"/>
          <w:sz w:val="72"/>
          <w:szCs w:val="72"/>
          <w:highlight w:val="none"/>
          <w:lang w:val="en-US" w:eastAsia="zh-CN" w:bidi="ar-SA"/>
        </w:rPr>
        <w:t>四川省</w:t>
      </w:r>
      <w:bookmarkEnd w:id="5"/>
      <w:bookmarkStart w:id="11" w:name="_Toc15306268"/>
      <w:r>
        <w:rPr>
          <w:rFonts w:hint="eastAsia" w:ascii="Times New Roman" w:eastAsia="方正小标宋简体" w:cs="Times New Roman"/>
          <w:color w:val="auto"/>
          <w:kern w:val="2"/>
          <w:sz w:val="72"/>
          <w:szCs w:val="72"/>
          <w:highlight w:val="none"/>
          <w:lang w:val="en-US" w:eastAsia="zh-CN" w:bidi="ar-SA"/>
        </w:rPr>
        <w:t>沐川县行政审批局</w:t>
      </w:r>
    </w:p>
    <w:p w14:paraId="59069877">
      <w:pPr>
        <w:pStyle w:val="6"/>
        <w:jc w:val="center"/>
        <w:rPr>
          <w:rFonts w:hint="eastAsia" w:ascii="Times New Roman" w:hAnsi="Times New Roman" w:eastAsia="方正小标宋简体" w:cs="Times New Roman"/>
          <w:color w:val="auto"/>
          <w:kern w:val="2"/>
          <w:sz w:val="72"/>
          <w:szCs w:val="72"/>
          <w:highlight w:val="none"/>
          <w:lang w:val="en-US" w:eastAsia="zh-CN" w:bidi="ar-SA"/>
        </w:rPr>
      </w:pPr>
      <w:r>
        <w:rPr>
          <w:rFonts w:hint="eastAsia" w:ascii="Times New Roman" w:hAnsi="Times New Roman" w:eastAsia="方正小标宋简体" w:cs="Times New Roman"/>
          <w:color w:val="auto"/>
          <w:kern w:val="2"/>
          <w:sz w:val="72"/>
          <w:szCs w:val="72"/>
          <w:highlight w:val="none"/>
          <w:lang w:val="en-US" w:eastAsia="zh-CN" w:bidi="ar-SA"/>
        </w:rPr>
        <w:t>部门决算</w:t>
      </w:r>
      <w:bookmarkEnd w:id="6"/>
      <w:bookmarkEnd w:id="7"/>
      <w:bookmarkEnd w:id="8"/>
      <w:bookmarkEnd w:id="9"/>
      <w:bookmarkEnd w:id="10"/>
      <w:bookmarkEnd w:id="11"/>
    </w:p>
    <w:p w14:paraId="6B9E3CD1">
      <w:pPr>
        <w:widowControl/>
        <w:jc w:val="center"/>
        <w:rPr>
          <w:rFonts w:hint="eastAsia" w:ascii="Times New Roman" w:hAnsi="Times New Roman" w:eastAsia="黑体"/>
          <w:color w:val="auto"/>
          <w:sz w:val="72"/>
          <w:szCs w:val="72"/>
          <w:highlight w:val="none"/>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7E65730D">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3F33C0A3">
      <w:pPr>
        <w:widowControl/>
        <w:jc w:val="center"/>
        <w:rPr>
          <w:rFonts w:ascii="Times New Roman" w:hAnsi="Times New Roman" w:eastAsia="黑体" w:cstheme="minorBidi"/>
          <w:color w:val="auto"/>
          <w:sz w:val="28"/>
          <w:szCs w:val="28"/>
          <w:highlight w:val="none"/>
        </w:rPr>
      </w:pPr>
    </w:p>
    <w:p w14:paraId="533F85B0">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25</w:t>
      </w:r>
      <w:bookmarkStart w:id="68" w:name="_GoBack"/>
      <w:bookmarkEnd w:id="68"/>
      <w:r>
        <w:rPr>
          <w:rFonts w:hint="eastAsia" w:ascii="Times New Roman" w:hAnsi="Times New Roman" w:eastAsia="仿宋_GB2312" w:cs="仿宋_GB2312"/>
          <w:color w:val="auto"/>
          <w:sz w:val="32"/>
          <w:szCs w:val="32"/>
          <w:highlight w:val="none"/>
        </w:rPr>
        <w:t>日</w:t>
      </w:r>
    </w:p>
    <w:p w14:paraId="1EE02D00">
      <w:pPr>
        <w:rPr>
          <w:rFonts w:ascii="Times New Roman" w:hAnsi="Times New Roman"/>
          <w:color w:val="auto"/>
          <w:highlight w:val="none"/>
        </w:rPr>
      </w:pPr>
    </w:p>
    <w:p w14:paraId="2326BD3C">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4BB19A1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color w:val="auto"/>
          <w:sz w:val="24"/>
          <w:highlight w:val="none"/>
          <w:lang w:val="en-US" w:eastAsia="zh-CN"/>
        </w:rPr>
        <w:t>..............................................................................................1</w:t>
      </w:r>
    </w:p>
    <w:p w14:paraId="6EB5EDF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color w:val="auto"/>
          <w:sz w:val="24"/>
          <w:highlight w:val="none"/>
          <w:lang w:val="en-US" w:eastAsia="zh-CN"/>
        </w:rPr>
        <w:t>..............................................................................................2</w:t>
      </w:r>
    </w:p>
    <w:p w14:paraId="099FD508">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70B44D9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color w:val="auto"/>
          <w:sz w:val="24"/>
          <w:highlight w:val="none"/>
          <w:lang w:val="en-US" w:eastAsia="zh-CN"/>
        </w:rPr>
        <w:t>....................................................3</w:t>
      </w:r>
    </w:p>
    <w:p w14:paraId="4771DD0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color w:val="auto"/>
          <w:sz w:val="24"/>
          <w:highlight w:val="none"/>
          <w:lang w:val="en-US" w:eastAsia="zh-CN"/>
        </w:rPr>
        <w:t>........................................................................3</w:t>
      </w:r>
    </w:p>
    <w:p w14:paraId="39DE807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hint="eastAsia"/>
          <w:color w:val="auto"/>
          <w:sz w:val="24"/>
          <w:highlight w:val="none"/>
          <w:lang w:val="en-US" w:eastAsia="zh-CN"/>
        </w:rPr>
        <w:t>........................................................................4</w:t>
      </w:r>
    </w:p>
    <w:p w14:paraId="7E96C54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color w:val="auto"/>
          <w:sz w:val="24"/>
          <w:highlight w:val="none"/>
          <w:lang w:val="en-US" w:eastAsia="zh-CN"/>
        </w:rPr>
        <w:t>...............................5</w:t>
      </w:r>
    </w:p>
    <w:p w14:paraId="11409E0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color w:val="auto"/>
          <w:sz w:val="24"/>
          <w:highlight w:val="none"/>
          <w:lang w:val="en-US" w:eastAsia="zh-CN"/>
        </w:rPr>
        <w:t>.....................5</w:t>
      </w:r>
    </w:p>
    <w:p w14:paraId="64B9255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color w:val="auto"/>
          <w:sz w:val="24"/>
          <w:highlight w:val="none"/>
          <w:lang w:val="en-US" w:eastAsia="zh-CN"/>
        </w:rPr>
        <w:t>...........8</w:t>
      </w:r>
    </w:p>
    <w:p w14:paraId="6AE00B3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color w:val="auto"/>
          <w:sz w:val="24"/>
          <w:highlight w:val="none"/>
          <w:lang w:val="en-US" w:eastAsia="zh-CN"/>
        </w:rPr>
        <w:t>...................</w:t>
      </w:r>
      <w:r>
        <w:rPr>
          <w:rFonts w:hint="eastAsia" w:ascii="Times New Roman" w:hAnsi="Times New Roman" w:eastAsia="宋体" w:cs="Times New Roman"/>
          <w:b w:val="0"/>
          <w:bCs w:val="0"/>
          <w:color w:val="auto"/>
          <w:kern w:val="2"/>
          <w:sz w:val="24"/>
          <w:szCs w:val="24"/>
          <w:highlight w:val="none"/>
          <w:lang w:val="en-US" w:eastAsia="zh-CN" w:bidi="ar-SA"/>
        </w:rPr>
        <w:t>.</w:t>
      </w:r>
      <w:r>
        <w:rPr>
          <w:rFonts w:hint="eastAsia" w:cs="Times New Roman"/>
          <w:b w:val="0"/>
          <w:bCs w:val="0"/>
          <w:color w:val="auto"/>
          <w:kern w:val="2"/>
          <w:sz w:val="24"/>
          <w:szCs w:val="24"/>
          <w:highlight w:val="none"/>
          <w:lang w:val="en-US" w:eastAsia="zh-CN" w:bidi="ar-SA"/>
        </w:rPr>
        <w:t>9</w:t>
      </w:r>
    </w:p>
    <w:p w14:paraId="01EAA6F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hint="eastAsia"/>
          <w:color w:val="auto"/>
          <w:sz w:val="24"/>
          <w:highlight w:val="none"/>
          <w:lang w:val="en-US" w:eastAsia="zh-CN"/>
        </w:rPr>
        <w:t>...................................10</w:t>
      </w:r>
    </w:p>
    <w:p w14:paraId="2FC8520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color w:val="auto"/>
          <w:sz w:val="24"/>
          <w:highlight w:val="none"/>
          <w:lang w:val="en-US" w:eastAsia="zh-CN"/>
        </w:rPr>
        <w:t>.............................10</w:t>
      </w:r>
    </w:p>
    <w:p w14:paraId="4F7CC18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color w:val="auto"/>
          <w:sz w:val="24"/>
          <w:highlight w:val="none"/>
          <w:lang w:val="en-US" w:eastAsia="zh-CN"/>
        </w:rPr>
        <w:t>.......................................................11</w:t>
      </w:r>
    </w:p>
    <w:p w14:paraId="7EE12DE9">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宋体" w:cs="Times New Roman"/>
          <w:color w:val="auto"/>
          <w:kern w:val="2"/>
          <w:sz w:val="24"/>
          <w:szCs w:val="24"/>
          <w:highlight w:val="none"/>
          <w:lang w:val="en-US" w:eastAsia="zh-CN" w:bidi="ar-SA"/>
        </w:rPr>
        <w:t>.........................................................................................</w:t>
      </w:r>
      <w:r>
        <w:rPr>
          <w:rFonts w:hint="eastAsia"/>
          <w:color w:val="auto"/>
          <w:sz w:val="24"/>
          <w:highlight w:val="none"/>
          <w:lang w:val="en-US" w:eastAsia="zh-CN"/>
        </w:rPr>
        <w:t>13</w:t>
      </w:r>
    </w:p>
    <w:p w14:paraId="459FD348">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宋体" w:cs="Times New Roman"/>
          <w:color w:val="auto"/>
          <w:kern w:val="2"/>
          <w:sz w:val="24"/>
          <w:szCs w:val="24"/>
          <w:highlight w:val="none"/>
          <w:lang w:val="en-US" w:eastAsia="zh-CN" w:bidi="ar-SA"/>
        </w:rPr>
        <w:t>.................................................................................................</w:t>
      </w:r>
      <w:r>
        <w:rPr>
          <w:rFonts w:hint="eastAsia"/>
          <w:color w:val="auto"/>
          <w:sz w:val="24"/>
          <w:highlight w:val="none"/>
          <w:lang w:val="en-US" w:eastAsia="zh-CN"/>
        </w:rPr>
        <w:t>.16</w:t>
      </w:r>
    </w:p>
    <w:p w14:paraId="1D2C499A">
      <w:pPr>
        <w:pStyle w:val="2"/>
        <w:bidi w:val="0"/>
        <w:rPr>
          <w:rFonts w:hint="default" w:ascii="仿宋" w:hAnsi="仿宋" w:eastAsia="仿宋" w:cs="Times New Roman"/>
          <w:color w:val="auto"/>
          <w:kern w:val="2"/>
          <w:sz w:val="24"/>
          <w:szCs w:val="28"/>
          <w:highlight w:val="none"/>
          <w:lang w:val="en-US" w:eastAsia="zh-CN" w:bidi="ar-SA"/>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w:t>
      </w:r>
      <w:r>
        <w:rPr>
          <w:rFonts w:hint="eastAsia" w:ascii="仿宋" w:hAnsi="仿宋" w:eastAsia="仿宋" w:cs="Times New Roman"/>
          <w:color w:val="auto"/>
          <w:kern w:val="2"/>
          <w:sz w:val="24"/>
          <w:szCs w:val="28"/>
          <w:highlight w:val="none"/>
          <w:lang w:val="en-US" w:eastAsia="zh-CN" w:bidi="ar-SA"/>
        </w:rPr>
        <w:t>41</w:t>
      </w:r>
    </w:p>
    <w:p w14:paraId="48D5A0A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0CFF669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43CAD85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6341FC2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472A120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pPr>
    </w:p>
    <w:p w14:paraId="0EFEECC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43EE3B1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5E8FC37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2461090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7AF5B84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2D1E3B0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1D6A100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112A517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7C9E6C4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593B012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7A86EE71">
      <w:pPr>
        <w:pStyle w:val="3"/>
        <w:jc w:val="center"/>
        <w:rPr>
          <w:rFonts w:hint="eastAsia" w:ascii="Times New Roman" w:hAnsi="Times New Roman" w:eastAsia="方正小标宋简体" w:cs="方正小标宋简体"/>
          <w:b w:val="0"/>
          <w:color w:val="auto"/>
          <w:highlight w:val="none"/>
        </w:rPr>
        <w:sectPr>
          <w:footerReference r:id="rId10" w:type="first"/>
          <w:footerReference r:id="rId9" w:type="default"/>
          <w:pgSz w:w="11906" w:h="16838"/>
          <w:pgMar w:top="1440" w:right="1800" w:bottom="1440" w:left="1800" w:header="851" w:footer="992" w:gutter="0"/>
          <w:pgNumType w:fmt="decimal" w:start="1"/>
          <w:cols w:space="425" w:num="1"/>
          <w:titlePg/>
          <w:docGrid w:type="lines" w:linePitch="312" w:charSpace="0"/>
        </w:sectPr>
      </w:pPr>
      <w:bookmarkStart w:id="12" w:name="_Toc15377196"/>
      <w:bookmarkStart w:id="13" w:name="_Toc15396599"/>
    </w:p>
    <w:p w14:paraId="4E72AA62">
      <w:pPr>
        <w:pStyle w:val="3"/>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2"/>
      <w:bookmarkEnd w:id="13"/>
    </w:p>
    <w:p w14:paraId="159B35A7">
      <w:pPr>
        <w:widowControl/>
        <w:jc w:val="left"/>
        <w:rPr>
          <w:rFonts w:ascii="Times New Roman" w:hAnsi="Times New Roman" w:eastAsia="黑体"/>
          <w:color w:val="auto"/>
          <w:sz w:val="32"/>
          <w:szCs w:val="32"/>
          <w:highlight w:val="none"/>
        </w:rPr>
      </w:pPr>
    </w:p>
    <w:p w14:paraId="477E4888">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66F8451B">
      <w:pPr>
        <w:snapToGrid w:val="0"/>
        <w:spacing w:line="360" w:lineRule="auto"/>
        <w:ind w:firstLine="640" w:firstLineChars="200"/>
        <w:rPr>
          <w:rFonts w:hint="eastAsia" w:hAnsi="仿宋_GB2312"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w:t>
      </w:r>
      <w:r>
        <w:rPr>
          <w:rFonts w:hint="eastAsia" w:hAnsi="仿宋_GB2312" w:eastAsia="仿宋_GB2312"/>
          <w:sz w:val="32"/>
          <w:szCs w:val="32"/>
        </w:rPr>
        <w:t>贯彻落实国家、省、市有关行政审批制度改革的决定，牵头推进简政放权、放管结合、优化政务服务改革和行政审批制度改革，健全和完善相关</w:t>
      </w:r>
      <w:r>
        <w:rPr>
          <w:rFonts w:hint="eastAsia" w:eastAsia="仿宋_GB2312"/>
          <w:color w:val="000000"/>
          <w:sz w:val="32"/>
          <w:szCs w:val="32"/>
        </w:rPr>
        <w:t>工作</w:t>
      </w:r>
      <w:r>
        <w:rPr>
          <w:rFonts w:hint="eastAsia" w:hAnsi="仿宋_GB2312" w:eastAsia="仿宋_GB2312"/>
          <w:sz w:val="32"/>
          <w:szCs w:val="32"/>
        </w:rPr>
        <w:t>体制机制。</w:t>
      </w:r>
    </w:p>
    <w:p w14:paraId="21A47207">
      <w:pPr>
        <w:snapToGrid w:val="0"/>
        <w:spacing w:line="360" w:lineRule="auto"/>
        <w:ind w:firstLine="640" w:firstLineChars="200"/>
        <w:rPr>
          <w:rFonts w:eastAsia="仿宋_GB2312"/>
          <w:sz w:val="32"/>
          <w:szCs w:val="32"/>
        </w:rPr>
      </w:pPr>
      <w:r>
        <w:rPr>
          <w:rFonts w:hint="eastAsia" w:hAnsi="仿宋_GB2312" w:eastAsia="仿宋_GB2312"/>
          <w:sz w:val="32"/>
          <w:szCs w:val="32"/>
        </w:rPr>
        <w:t>（2）行使相对集中行政许可权，负责县级相关部门划转和上级部门下放的行政许可</w:t>
      </w:r>
      <w:r>
        <w:rPr>
          <w:rFonts w:hint="eastAsia" w:eastAsia="仿宋_GB2312"/>
          <w:color w:val="000000"/>
          <w:sz w:val="32"/>
          <w:szCs w:val="32"/>
        </w:rPr>
        <w:t>事项</w:t>
      </w:r>
      <w:r>
        <w:rPr>
          <w:rFonts w:hint="eastAsia" w:hAnsi="仿宋_GB2312" w:eastAsia="仿宋_GB2312"/>
          <w:sz w:val="32"/>
          <w:szCs w:val="32"/>
        </w:rPr>
        <w:t>的审批以及相关政务服务事项的办理</w:t>
      </w:r>
      <w:r>
        <w:rPr>
          <w:rFonts w:hAnsi="仿宋_GB2312" w:eastAsia="仿宋_GB2312"/>
          <w:sz w:val="32"/>
          <w:szCs w:val="32"/>
        </w:rPr>
        <w:t>。</w:t>
      </w:r>
    </w:p>
    <w:p w14:paraId="4F2D183A">
      <w:pPr>
        <w:snapToGrid w:val="0"/>
        <w:spacing w:line="360" w:lineRule="auto"/>
        <w:ind w:firstLine="640" w:firstLineChars="200"/>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w:t>
      </w:r>
      <w:r>
        <w:rPr>
          <w:rFonts w:hint="eastAsia" w:hAnsi="仿宋_GB2312" w:eastAsia="仿宋_GB2312"/>
          <w:sz w:val="32"/>
          <w:szCs w:val="32"/>
        </w:rPr>
        <w:t>负责统一组织实施</w:t>
      </w:r>
      <w:r>
        <w:rPr>
          <w:rFonts w:hint="eastAsia" w:eastAsia="仿宋_GB2312"/>
          <w:color w:val="000000"/>
          <w:sz w:val="32"/>
          <w:szCs w:val="32"/>
        </w:rPr>
        <w:t>行政</w:t>
      </w:r>
      <w:r>
        <w:rPr>
          <w:rFonts w:hint="eastAsia" w:hAnsi="仿宋_GB2312" w:eastAsia="仿宋_GB2312"/>
          <w:sz w:val="32"/>
          <w:szCs w:val="32"/>
        </w:rPr>
        <w:t>审批涉及的现场勘查、技术论证和社会听证等工作</w:t>
      </w:r>
      <w:r>
        <w:rPr>
          <w:rFonts w:hAnsi="仿宋_GB2312" w:eastAsia="仿宋_GB2312"/>
          <w:sz w:val="32"/>
          <w:szCs w:val="32"/>
        </w:rPr>
        <w:t>。</w:t>
      </w:r>
    </w:p>
    <w:p w14:paraId="3D650063">
      <w:pPr>
        <w:snapToGrid w:val="0"/>
        <w:spacing w:line="360" w:lineRule="auto"/>
        <w:ind w:firstLine="640" w:firstLineChars="200"/>
        <w:rPr>
          <w:rFonts w:eastAsia="仿宋_GB2312"/>
          <w:sz w:val="32"/>
          <w:szCs w:val="32"/>
        </w:rPr>
      </w:pPr>
      <w:r>
        <w:rPr>
          <w:rFonts w:hint="eastAsia" w:eastAsia="仿宋_GB2312"/>
          <w:sz w:val="32"/>
          <w:szCs w:val="32"/>
        </w:rPr>
        <w:t>（</w:t>
      </w:r>
      <w:r>
        <w:rPr>
          <w:rFonts w:eastAsia="仿宋_GB2312"/>
          <w:sz w:val="32"/>
          <w:szCs w:val="32"/>
        </w:rPr>
        <w:t>4</w:t>
      </w:r>
      <w:r>
        <w:rPr>
          <w:rFonts w:hint="eastAsia" w:eastAsia="仿宋_GB2312"/>
          <w:sz w:val="32"/>
          <w:szCs w:val="32"/>
        </w:rPr>
        <w:t>）负责组织相关部门清理、规范、动态调整行政许可事项和公共服务事项。负责对行政审批前置条件和流程进行规范化和优化，推进行政审批标准化建设</w:t>
      </w:r>
      <w:r>
        <w:rPr>
          <w:rFonts w:hAnsi="仿宋_GB2312" w:eastAsia="仿宋_GB2312"/>
          <w:sz w:val="32"/>
          <w:szCs w:val="32"/>
        </w:rPr>
        <w:t>。</w:t>
      </w:r>
    </w:p>
    <w:p w14:paraId="612A81AB">
      <w:pPr>
        <w:snapToGrid w:val="0"/>
        <w:spacing w:line="360" w:lineRule="auto"/>
        <w:ind w:firstLine="640" w:firstLineChars="200"/>
        <w:rPr>
          <w:rFonts w:eastAsia="仿宋_GB2312"/>
          <w:sz w:val="32"/>
          <w:szCs w:val="32"/>
        </w:rPr>
      </w:pPr>
      <w:r>
        <w:rPr>
          <w:rFonts w:hint="eastAsia" w:eastAsia="仿宋_GB2312"/>
          <w:sz w:val="32"/>
          <w:szCs w:val="32"/>
        </w:rPr>
        <w:t>（</w:t>
      </w:r>
      <w:r>
        <w:rPr>
          <w:rFonts w:eastAsia="仿宋_GB2312"/>
          <w:sz w:val="32"/>
          <w:szCs w:val="32"/>
        </w:rPr>
        <w:t>5</w:t>
      </w:r>
      <w:r>
        <w:rPr>
          <w:rFonts w:hint="eastAsia" w:eastAsia="仿宋_GB2312"/>
          <w:sz w:val="32"/>
          <w:szCs w:val="32"/>
        </w:rPr>
        <w:t>）负责拟定加强政务服务工作的政策、制度、办法和标准并指导实施，指导推进政务服务标准化建设工作。</w:t>
      </w:r>
    </w:p>
    <w:p w14:paraId="2DB32922">
      <w:pPr>
        <w:snapToGrid w:val="0"/>
        <w:spacing w:line="360" w:lineRule="auto"/>
        <w:ind w:firstLine="640" w:firstLineChars="200"/>
        <w:rPr>
          <w:rFonts w:eastAsia="仿宋_GB2312"/>
          <w:sz w:val="32"/>
          <w:szCs w:val="32"/>
        </w:rPr>
      </w:pPr>
      <w:r>
        <w:rPr>
          <w:rFonts w:hint="eastAsia" w:eastAsia="仿宋_GB2312"/>
          <w:sz w:val="32"/>
          <w:szCs w:val="32"/>
        </w:rPr>
        <w:t>（</w:t>
      </w:r>
      <w:r>
        <w:rPr>
          <w:rFonts w:eastAsia="仿宋_GB2312"/>
          <w:sz w:val="32"/>
          <w:szCs w:val="32"/>
        </w:rPr>
        <w:t>6</w:t>
      </w:r>
      <w:r>
        <w:rPr>
          <w:rFonts w:hint="eastAsia" w:eastAsia="仿宋_GB2312"/>
          <w:sz w:val="32"/>
          <w:szCs w:val="32"/>
        </w:rPr>
        <w:t>）</w:t>
      </w:r>
      <w:r>
        <w:rPr>
          <w:rFonts w:hint="eastAsia" w:hAnsi="仿宋_GB2312" w:eastAsia="仿宋_GB2312"/>
          <w:sz w:val="32"/>
          <w:szCs w:val="32"/>
        </w:rPr>
        <w:t>负责会同有关部门开展“互联网+政务服务”信息化建设和维护</w:t>
      </w:r>
      <w:r>
        <w:rPr>
          <w:rFonts w:hAnsi="仿宋_GB2312" w:eastAsia="仿宋_GB2312"/>
          <w:sz w:val="32"/>
          <w:szCs w:val="32"/>
        </w:rPr>
        <w:t>。</w:t>
      </w:r>
      <w:r>
        <w:rPr>
          <w:rFonts w:hint="eastAsia" w:hAnsi="仿宋_GB2312" w:eastAsia="仿宋_GB2312"/>
          <w:sz w:val="32"/>
          <w:szCs w:val="32"/>
        </w:rPr>
        <w:t>负责一体化政务服务平台管理、维护、指导工作和功能拓展，对一体化政务服务</w:t>
      </w:r>
      <w:r>
        <w:rPr>
          <w:rFonts w:hint="eastAsia" w:eastAsia="仿宋_GB2312"/>
          <w:color w:val="000000"/>
          <w:sz w:val="32"/>
          <w:szCs w:val="32"/>
        </w:rPr>
        <w:t>平台</w:t>
      </w:r>
      <w:r>
        <w:rPr>
          <w:rFonts w:hint="eastAsia" w:hAnsi="仿宋_GB2312" w:eastAsia="仿宋_GB2312"/>
          <w:sz w:val="32"/>
          <w:szCs w:val="32"/>
        </w:rPr>
        <w:t>办理情况进行公开并提供查询。负责对政务服务事项受理办理情况进行统计、预警和监督。</w:t>
      </w:r>
    </w:p>
    <w:p w14:paraId="11A512FE">
      <w:pPr>
        <w:snapToGrid w:val="0"/>
        <w:spacing w:line="360" w:lineRule="auto"/>
        <w:ind w:firstLine="640" w:firstLineChars="200"/>
        <w:rPr>
          <w:rFonts w:eastAsia="仿宋_GB2312"/>
          <w:sz w:val="32"/>
          <w:szCs w:val="32"/>
        </w:rPr>
      </w:pPr>
      <w:r>
        <w:rPr>
          <w:rFonts w:hint="eastAsia" w:eastAsia="仿宋_GB2312"/>
          <w:sz w:val="32"/>
          <w:szCs w:val="32"/>
        </w:rPr>
        <w:t>（</w:t>
      </w:r>
      <w:r>
        <w:rPr>
          <w:rFonts w:eastAsia="仿宋_GB2312"/>
          <w:sz w:val="32"/>
          <w:szCs w:val="32"/>
        </w:rPr>
        <w:t>7</w:t>
      </w:r>
      <w:r>
        <w:rPr>
          <w:rFonts w:hint="eastAsia" w:eastAsia="仿宋_GB2312"/>
          <w:sz w:val="32"/>
          <w:szCs w:val="32"/>
        </w:rPr>
        <w:t>）负责指导乡镇便民服务中心标准化建设和对其进行效能考核，推进县、乡（镇）村三级行政审批服务体系建设</w:t>
      </w:r>
      <w:r>
        <w:rPr>
          <w:rFonts w:hAnsi="仿宋_GB2312" w:eastAsia="仿宋_GB2312"/>
          <w:sz w:val="32"/>
          <w:szCs w:val="32"/>
        </w:rPr>
        <w:t>。</w:t>
      </w:r>
    </w:p>
    <w:p w14:paraId="35639F50">
      <w:pPr>
        <w:snapToGrid w:val="0"/>
        <w:spacing w:line="360" w:lineRule="auto"/>
        <w:ind w:firstLine="640" w:firstLineChars="200"/>
        <w:rPr>
          <w:rFonts w:hint="eastAsia" w:eastAsia="仿宋_GB2312"/>
          <w:sz w:val="32"/>
          <w:szCs w:val="32"/>
        </w:rPr>
      </w:pPr>
      <w:r>
        <w:rPr>
          <w:rFonts w:hint="eastAsia" w:eastAsia="仿宋_GB2312"/>
          <w:sz w:val="32"/>
          <w:szCs w:val="32"/>
        </w:rPr>
        <w:t>（</w:t>
      </w:r>
      <w:r>
        <w:rPr>
          <w:rFonts w:eastAsia="仿宋_GB2312"/>
          <w:sz w:val="32"/>
          <w:szCs w:val="32"/>
        </w:rPr>
        <w:t>8</w:t>
      </w:r>
      <w:r>
        <w:rPr>
          <w:rFonts w:hint="eastAsia" w:eastAsia="仿宋_GB2312"/>
          <w:sz w:val="32"/>
          <w:szCs w:val="32"/>
        </w:rPr>
        <w:t>）负责全县机关</w:t>
      </w:r>
      <w:r>
        <w:rPr>
          <w:rFonts w:hint="eastAsia" w:eastAsia="仿宋_GB2312"/>
          <w:color w:val="000000"/>
          <w:sz w:val="32"/>
          <w:szCs w:val="32"/>
        </w:rPr>
        <w:t>行政</w:t>
      </w:r>
      <w:r>
        <w:rPr>
          <w:rFonts w:hint="eastAsia" w:eastAsia="仿宋_GB2312"/>
          <w:sz w:val="32"/>
          <w:szCs w:val="32"/>
        </w:rPr>
        <w:t>效能建设监督检查工作和受理相关投诉，并根据职能分工交办相关部门跟踪督促落实。</w:t>
      </w:r>
    </w:p>
    <w:p w14:paraId="0EF94CBB">
      <w:pPr>
        <w:snapToGrid w:val="0"/>
        <w:spacing w:line="360" w:lineRule="auto"/>
        <w:ind w:firstLine="640" w:firstLineChars="200"/>
        <w:rPr>
          <w:rFonts w:hint="eastAsia" w:eastAsia="仿宋_GB2312"/>
          <w:sz w:val="32"/>
          <w:szCs w:val="32"/>
        </w:rPr>
      </w:pPr>
      <w:r>
        <w:rPr>
          <w:rFonts w:hint="eastAsia" w:eastAsia="仿宋_GB2312"/>
          <w:sz w:val="32"/>
          <w:szCs w:val="32"/>
        </w:rPr>
        <w:t>（9）负责职责范围内的安全生产，职业健康和生态环境保护等工作。</w:t>
      </w:r>
    </w:p>
    <w:p w14:paraId="749BAC7C">
      <w:pPr>
        <w:snapToGrid w:val="0"/>
        <w:spacing w:line="360" w:lineRule="auto"/>
        <w:ind w:firstLine="640" w:firstLineChars="200"/>
        <w:rPr>
          <w:rFonts w:hint="eastAsia"/>
          <w:lang w:eastAsia="zh-CN"/>
        </w:rPr>
      </w:pPr>
      <w:r>
        <w:rPr>
          <w:rFonts w:hint="eastAsia" w:eastAsia="仿宋_GB2312"/>
          <w:sz w:val="32"/>
          <w:szCs w:val="32"/>
        </w:rPr>
        <w:t>（</w:t>
      </w:r>
      <w:r>
        <w:rPr>
          <w:rFonts w:eastAsia="仿宋_GB2312"/>
          <w:sz w:val="32"/>
          <w:szCs w:val="32"/>
        </w:rPr>
        <w:t>10</w:t>
      </w:r>
      <w:r>
        <w:rPr>
          <w:rFonts w:hint="eastAsia" w:eastAsia="仿宋_GB2312"/>
          <w:sz w:val="32"/>
          <w:szCs w:val="32"/>
        </w:rPr>
        <w:t>）职能转变</w:t>
      </w:r>
      <w:r>
        <w:rPr>
          <w:rFonts w:hAnsi="仿宋_GB2312" w:eastAsia="仿宋_GB2312"/>
          <w:sz w:val="32"/>
          <w:szCs w:val="32"/>
        </w:rPr>
        <w:t>。</w:t>
      </w:r>
      <w:r>
        <w:rPr>
          <w:rFonts w:hint="eastAsia" w:hAnsi="仿宋_GB2312" w:eastAsia="仿宋_GB2312"/>
          <w:sz w:val="32"/>
          <w:szCs w:val="32"/>
        </w:rPr>
        <w:t>推进行政审批制度改革，不断优化审批事项。继续深化“放管服”改革，深入推进行政审批提质增效、降低实体经济制度性交易成本、提升便利化水平。推动实现行政审批更简、收费项目更少、透明化程度更高、服务质量更优，进一步激发市场活力和社会创造力。</w:t>
      </w:r>
    </w:p>
    <w:p w14:paraId="49217E7A">
      <w:pPr>
        <w:pStyle w:val="4"/>
        <w:rPr>
          <w:rStyle w:val="30"/>
          <w:rFonts w:ascii="Times New Roman" w:hAnsi="Times New Roman"/>
          <w:b w:val="0"/>
          <w:bCs w:val="0"/>
          <w:color w:val="auto"/>
          <w:highlight w:val="none"/>
        </w:rPr>
      </w:pPr>
      <w:bookmarkStart w:id="14" w:name="_Toc15377200"/>
      <w:bookmarkStart w:id="15" w:name="_Toc1539660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4"/>
      <w:bookmarkEnd w:id="15"/>
    </w:p>
    <w:p w14:paraId="4EA47195">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沐川县行政审批局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6033723B">
      <w:pPr>
        <w:snapToGrid w:val="0"/>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沐川县行政审批局</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w:t>
      </w:r>
      <w:r>
        <w:rPr>
          <w:rFonts w:ascii="Times New Roman" w:hAnsi="Times New Roman" w:eastAsia="仿宋_GB2312" w:cs="Times New Roman"/>
          <w:color w:val="000000"/>
          <w:sz w:val="32"/>
          <w:szCs w:val="32"/>
          <w:highlight w:val="none"/>
        </w:rPr>
        <w:t>包括：行政审批局机关、下属事业单位沐川县政务服务中心。</w:t>
      </w:r>
    </w:p>
    <w:p w14:paraId="46C92F9A">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lang w:val="en-US" w:eastAsia="zh-CN"/>
        </w:rPr>
      </w:pPr>
    </w:p>
    <w:p w14:paraId="3095D540">
      <w:pPr>
        <w:pStyle w:val="3"/>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01DE282D">
      <w:pPr>
        <w:rPr>
          <w:rFonts w:ascii="Times New Roman" w:hAnsi="Times New Roman"/>
          <w:color w:val="auto"/>
          <w:highlight w:val="none"/>
        </w:rPr>
      </w:pPr>
    </w:p>
    <w:p w14:paraId="2793A57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p>
    <w:p w14:paraId="486FDED3">
      <w:pPr>
        <w:widowControl/>
        <w:spacing w:line="600" w:lineRule="exact"/>
        <w:ind w:firstLine="640" w:firstLineChars="200"/>
        <w:jc w:val="left"/>
        <w:rPr>
          <w:rFonts w:hint="eastAsia" w:ascii="仿宋" w:hAnsi="仿宋" w:eastAsia="仿宋"/>
          <w:color w:val="000000"/>
          <w:sz w:val="32"/>
          <w:szCs w:val="32"/>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658.75</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仿宋" w:hAnsi="仿宋" w:eastAsia="仿宋"/>
          <w:color w:val="000000"/>
          <w:sz w:val="32"/>
          <w:szCs w:val="32"/>
          <w:lang w:val="en-US" w:eastAsia="zh-CN"/>
        </w:rPr>
        <w:t>629.22</w:t>
      </w:r>
      <w:r>
        <w:rPr>
          <w:rFonts w:ascii="仿宋" w:hAnsi="仿宋" w:eastAsia="仿宋"/>
          <w:color w:val="000000"/>
          <w:sz w:val="32"/>
          <w:szCs w:val="32"/>
        </w:rPr>
        <w:t>万元相比，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eastAsia="仿宋_GB2312" w:cs="仿宋_GB2312"/>
          <w:color w:val="auto"/>
          <w:sz w:val="32"/>
          <w:szCs w:val="32"/>
          <w:highlight w:val="none"/>
          <w:lang w:val="en-US" w:eastAsia="zh-CN"/>
        </w:rPr>
        <w:t>各</w:t>
      </w:r>
      <w:r>
        <w:rPr>
          <w:rFonts w:hint="eastAsia" w:ascii="仿宋" w:hAnsi="仿宋" w:eastAsia="仿宋"/>
          <w:color w:val="000000"/>
          <w:sz w:val="32"/>
          <w:szCs w:val="32"/>
        </w:rPr>
        <w:t>增加了</w:t>
      </w:r>
      <w:r>
        <w:rPr>
          <w:rFonts w:hint="eastAsia" w:ascii="仿宋" w:hAnsi="仿宋" w:eastAsia="仿宋"/>
          <w:color w:val="000000"/>
          <w:sz w:val="32"/>
          <w:szCs w:val="32"/>
          <w:lang w:val="en-US" w:eastAsia="zh-CN"/>
        </w:rPr>
        <w:t>29.53</w:t>
      </w:r>
      <w:r>
        <w:rPr>
          <w:rFonts w:ascii="仿宋" w:hAnsi="仿宋" w:eastAsia="仿宋"/>
          <w:color w:val="000000"/>
          <w:sz w:val="32"/>
          <w:szCs w:val="32"/>
        </w:rPr>
        <w:t>万元，</w:t>
      </w:r>
      <w:r>
        <w:rPr>
          <w:rFonts w:hint="eastAsia" w:ascii="仿宋" w:hAnsi="仿宋" w:eastAsia="仿宋"/>
          <w:color w:val="000000"/>
          <w:sz w:val="32"/>
          <w:szCs w:val="32"/>
        </w:rPr>
        <w:t>增长了</w:t>
      </w:r>
      <w:r>
        <w:rPr>
          <w:rFonts w:hint="eastAsia" w:ascii="仿宋" w:hAnsi="仿宋" w:eastAsia="仿宋"/>
          <w:color w:val="000000"/>
          <w:sz w:val="32"/>
          <w:szCs w:val="32"/>
          <w:lang w:val="en-US" w:eastAsia="zh-CN"/>
        </w:rPr>
        <w:t>4.69</w:t>
      </w:r>
      <w:r>
        <w:rPr>
          <w:rFonts w:ascii="仿宋" w:hAnsi="仿宋" w:eastAsia="仿宋"/>
          <w:color w:val="000000"/>
          <w:sz w:val="32"/>
          <w:szCs w:val="32"/>
        </w:rPr>
        <w:t>%</w:t>
      </w:r>
      <w:r>
        <w:rPr>
          <w:rFonts w:hint="eastAsia" w:ascii="仿宋" w:hAnsi="仿宋" w:eastAsia="仿宋"/>
          <w:color w:val="000000"/>
          <w:sz w:val="32"/>
          <w:szCs w:val="32"/>
        </w:rPr>
        <w:t>。主要变动原因是一般公共服务支出</w:t>
      </w:r>
      <w:r>
        <w:rPr>
          <w:rFonts w:ascii="仿宋" w:hAnsi="仿宋" w:eastAsia="仿宋"/>
          <w:color w:val="000000"/>
          <w:sz w:val="32"/>
          <w:szCs w:val="32"/>
        </w:rPr>
        <w:t>-政府办公厅（室）及相关机构事务类</w:t>
      </w:r>
      <w:r>
        <w:rPr>
          <w:rFonts w:hint="eastAsia" w:ascii="仿宋" w:hAnsi="仿宋" w:eastAsia="仿宋"/>
          <w:color w:val="000000"/>
          <w:sz w:val="32"/>
          <w:szCs w:val="32"/>
        </w:rPr>
        <w:t>增加了</w:t>
      </w:r>
      <w:r>
        <w:rPr>
          <w:rFonts w:hint="eastAsia" w:ascii="仿宋" w:hAnsi="仿宋" w:eastAsia="仿宋"/>
          <w:color w:val="000000"/>
          <w:sz w:val="32"/>
          <w:szCs w:val="32"/>
          <w:lang w:val="en-US" w:eastAsia="zh-CN"/>
        </w:rPr>
        <w:t>17.97</w:t>
      </w:r>
      <w:r>
        <w:rPr>
          <w:rFonts w:ascii="仿宋" w:hAnsi="仿宋" w:eastAsia="仿宋"/>
          <w:color w:val="000000"/>
          <w:sz w:val="32"/>
          <w:szCs w:val="32"/>
        </w:rPr>
        <w:t>万元，</w:t>
      </w:r>
      <w:r>
        <w:rPr>
          <w:rFonts w:hint="eastAsia" w:ascii="仿宋" w:hAnsi="仿宋" w:eastAsia="仿宋"/>
          <w:color w:val="000000"/>
          <w:sz w:val="32"/>
          <w:szCs w:val="32"/>
          <w:lang w:val="en-US" w:eastAsia="zh-CN"/>
        </w:rPr>
        <w:t>办公房屋楼顶维修-城乡社区支出2.81万元，</w:t>
      </w:r>
      <w:r>
        <w:rPr>
          <w:rFonts w:ascii="仿宋" w:hAnsi="仿宋" w:eastAsia="仿宋"/>
          <w:color w:val="000000"/>
          <w:sz w:val="32"/>
          <w:szCs w:val="32"/>
        </w:rPr>
        <w:t>社会保障和就业支出</w:t>
      </w:r>
      <w:r>
        <w:rPr>
          <w:rFonts w:hint="eastAsia" w:ascii="仿宋" w:hAnsi="仿宋" w:eastAsia="仿宋"/>
          <w:color w:val="000000"/>
          <w:sz w:val="32"/>
          <w:szCs w:val="32"/>
          <w:lang w:val="en-US" w:eastAsia="zh-CN"/>
        </w:rPr>
        <w:t>-</w:t>
      </w:r>
      <w:r>
        <w:rPr>
          <w:rFonts w:ascii="仿宋" w:hAnsi="仿宋" w:eastAsia="仿宋"/>
          <w:color w:val="000000"/>
          <w:sz w:val="32"/>
          <w:szCs w:val="32"/>
        </w:rPr>
        <w:t>行政事业单位养老支出类</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0.51</w:t>
      </w:r>
      <w:r>
        <w:rPr>
          <w:rFonts w:ascii="仿宋" w:hAnsi="仿宋" w:eastAsia="仿宋"/>
          <w:color w:val="000000"/>
          <w:sz w:val="32"/>
          <w:szCs w:val="32"/>
        </w:rPr>
        <w:t>万元,住房保障支出-住房公积金</w:t>
      </w:r>
      <w:r>
        <w:rPr>
          <w:rFonts w:hint="eastAsia" w:ascii="仿宋" w:hAnsi="仿宋" w:eastAsia="仿宋"/>
          <w:color w:val="000000"/>
          <w:sz w:val="32"/>
          <w:szCs w:val="32"/>
        </w:rPr>
        <w:t>增加了</w:t>
      </w:r>
      <w:r>
        <w:rPr>
          <w:rFonts w:hint="eastAsia" w:ascii="仿宋" w:hAnsi="仿宋" w:eastAsia="仿宋"/>
          <w:color w:val="000000"/>
          <w:sz w:val="32"/>
          <w:szCs w:val="32"/>
          <w:lang w:val="en-US" w:eastAsia="zh-CN"/>
        </w:rPr>
        <w:t>5.08</w:t>
      </w:r>
      <w:r>
        <w:rPr>
          <w:rFonts w:ascii="仿宋" w:hAnsi="仿宋" w:eastAsia="仿宋"/>
          <w:color w:val="000000"/>
          <w:sz w:val="32"/>
          <w:szCs w:val="32"/>
        </w:rPr>
        <w:t>万元，卫生健康支出-公共卫生类增加</w:t>
      </w:r>
      <w:r>
        <w:rPr>
          <w:rFonts w:hint="eastAsia" w:ascii="仿宋" w:hAnsi="仿宋" w:eastAsia="仿宋"/>
          <w:color w:val="000000"/>
          <w:sz w:val="32"/>
          <w:szCs w:val="32"/>
          <w:lang w:val="en-US" w:eastAsia="zh-CN"/>
        </w:rPr>
        <w:t>4.18</w:t>
      </w:r>
      <w:r>
        <w:rPr>
          <w:rFonts w:ascii="仿宋" w:hAnsi="仿宋" w:eastAsia="仿宋"/>
          <w:color w:val="000000"/>
          <w:sz w:val="32"/>
          <w:szCs w:val="32"/>
        </w:rPr>
        <w:t>万元</w:t>
      </w:r>
      <w:r>
        <w:rPr>
          <w:rFonts w:hint="eastAsia" w:ascii="仿宋" w:hAnsi="仿宋" w:eastAsia="仿宋"/>
          <w:color w:val="000000"/>
          <w:sz w:val="32"/>
          <w:szCs w:val="32"/>
        </w:rPr>
        <w:t>。</w:t>
      </w:r>
    </w:p>
    <w:p w14:paraId="036DA1AE">
      <w:pPr>
        <w:pStyle w:val="36"/>
        <w:rPr>
          <w:rFonts w:hint="eastAsia" w:ascii="Times New Roman" w:hAnsi="Times New Roman" w:eastAsia="仿宋_GB2312" w:cs="仿宋_GB2312"/>
          <w:color w:val="auto"/>
          <w:sz w:val="32"/>
          <w:szCs w:val="32"/>
          <w:highlight w:val="none"/>
          <w:lang w:eastAsia="zh-CN"/>
        </w:rPr>
      </w:pPr>
      <w:r>
        <w:drawing>
          <wp:inline distT="0" distB="0" distL="114300" distR="114300">
            <wp:extent cx="5269230" cy="2713990"/>
            <wp:effectExtent l="4445" t="4445" r="14605" b="9525"/>
            <wp:docPr id="3278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1BAA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69CA7C8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6"/>
      <w:bookmarkStart w:id="21" w:name="_Toc15396604"/>
      <w:r>
        <w:rPr>
          <w:rFonts w:hint="eastAsia" w:ascii="Times New Roman" w:hAnsi="Times New Roman" w:eastAsia="黑体"/>
          <w:color w:val="auto"/>
          <w:sz w:val="32"/>
          <w:szCs w:val="32"/>
          <w:highlight w:val="none"/>
          <w:lang w:eastAsia="zh-CN"/>
        </w:rPr>
        <w:t>二、收入决算情况说明</w:t>
      </w:r>
      <w:bookmarkEnd w:id="20"/>
      <w:bookmarkEnd w:id="21"/>
    </w:p>
    <w:p w14:paraId="5D6C741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658.75万元，其中：一般公共预算财政拨款收入655.9</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99.57</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2.81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sz w:val="32"/>
          <w:szCs w:val="32"/>
          <w:highlight w:val="none"/>
          <w:lang w:eastAsia="zh-CN"/>
        </w:rPr>
        <w:t>%。</w:t>
      </w:r>
    </w:p>
    <w:p w14:paraId="17ABA9F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rPr>
          <w:rFonts w:hint="eastAsia" w:ascii="仿宋_GB2312" w:hAnsi="仿宋_GB2312" w:eastAsia="仿宋_GB2312" w:cs="仿宋_GB2312"/>
          <w:color w:val="auto"/>
          <w:sz w:val="32"/>
          <w:szCs w:val="32"/>
          <w:highlight w:val="none"/>
          <w:lang w:eastAsia="zh-CN"/>
        </w:rPr>
      </w:pPr>
      <w:r>
        <w:drawing>
          <wp:anchor distT="0" distB="0" distL="114300" distR="114300" simplePos="0" relativeHeight="251659264" behindDoc="1" locked="0" layoutInCell="1" allowOverlap="1">
            <wp:simplePos x="0" y="0"/>
            <wp:positionH relativeFrom="column">
              <wp:posOffset>264160</wp:posOffset>
            </wp:positionH>
            <wp:positionV relativeFrom="paragraph">
              <wp:posOffset>233045</wp:posOffset>
            </wp:positionV>
            <wp:extent cx="4772025" cy="3179445"/>
            <wp:effectExtent l="4445" t="4445" r="8890" b="16510"/>
            <wp:wrapNone/>
            <wp:docPr id="2970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4BCE43F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7A768DE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37A6F3E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4D42E4E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42DFA52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46E929F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631872D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7F382A4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216503C4">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7074A38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77207"/>
      <w:bookmarkStart w:id="2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p>
    <w:p w14:paraId="4465016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658.75</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594.12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64.64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9.81</w:t>
      </w:r>
      <w:r>
        <w:rPr>
          <w:rFonts w:hint="eastAsia" w:ascii="仿宋_GB2312" w:hAnsi="仿宋_GB2312" w:eastAsia="仿宋_GB2312" w:cs="仿宋_GB2312"/>
          <w:color w:val="auto"/>
          <w:sz w:val="32"/>
          <w:szCs w:val="32"/>
          <w:highlight w:val="none"/>
          <w:lang w:eastAsia="zh-CN"/>
        </w:rPr>
        <w:t>%。</w:t>
      </w:r>
    </w:p>
    <w:p w14:paraId="2E6DF258">
      <w:pPr>
        <w:rPr>
          <w:rFonts w:hint="eastAsia"/>
          <w:lang w:eastAsia="zh-CN"/>
        </w:rPr>
      </w:pPr>
    </w:p>
    <w:p w14:paraId="0736977E">
      <w:pPr>
        <w:ind w:firstLine="525" w:firstLineChars="250"/>
        <w:rPr>
          <w:rFonts w:hint="default" w:ascii="Times New Roman" w:hAnsi="Times New Roman" w:eastAsia="宋体" w:cs="仿宋_GB2312"/>
          <w:color w:val="auto"/>
          <w:sz w:val="32"/>
          <w:szCs w:val="32"/>
          <w:highlight w:val="none"/>
          <w:lang w:val="en-US" w:eastAsia="zh-CN"/>
        </w:rPr>
      </w:pPr>
      <w:r>
        <w:drawing>
          <wp:inline distT="0" distB="0" distL="114300" distR="114300">
            <wp:extent cx="4695825" cy="2704465"/>
            <wp:effectExtent l="4445" t="4445" r="8890" b="190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4FB3C7">
      <w:pPr>
        <w:rPr>
          <w:rFonts w:hint="eastAsia" w:ascii="Times New Roman" w:hAnsi="Times New Roman" w:eastAsia="仿宋_GB2312" w:cs="仿宋_GB2312"/>
          <w:color w:val="auto"/>
          <w:sz w:val="32"/>
          <w:szCs w:val="32"/>
          <w:highlight w:val="none"/>
          <w:lang w:eastAsia="zh-CN"/>
        </w:rPr>
      </w:pPr>
    </w:p>
    <w:p w14:paraId="54206DED">
      <w:pPr>
        <w:ind w:firstLine="1440" w:firstLineChars="4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41822CD6">
      <w:pPr>
        <w:spacing w:line="600" w:lineRule="exact"/>
        <w:ind w:firstLine="640" w:firstLineChars="200"/>
        <w:outlineLvl w:val="1"/>
        <w:rPr>
          <w:rStyle w:val="30"/>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4"/>
      <w:bookmarkEnd w:id="25"/>
    </w:p>
    <w:p w14:paraId="390F1406">
      <w:pPr>
        <w:spacing w:line="600" w:lineRule="exact"/>
        <w:ind w:firstLine="640"/>
        <w:rPr>
          <w:rFonts w:hint="eastAsia"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658.75</w:t>
      </w:r>
      <w:r>
        <w:rPr>
          <w:rFonts w:hint="eastAsia" w:ascii="Times New Roman" w:hAnsi="Times New Roman" w:eastAsia="仿宋_GB2312" w:cs="仿宋_GB2312"/>
          <w:color w:val="auto"/>
          <w:kern w:val="2"/>
          <w:sz w:val="32"/>
          <w:szCs w:val="32"/>
          <w:highlight w:val="none"/>
          <w:lang w:val="en-US" w:eastAsia="zh-CN" w:bidi="ar-SA"/>
        </w:rPr>
        <w:t>万元。与2023年度</w:t>
      </w:r>
      <w:r>
        <w:rPr>
          <w:rFonts w:hint="eastAsia" w:eastAsia="仿宋_GB2312" w:cs="仿宋_GB2312"/>
          <w:color w:val="auto"/>
          <w:kern w:val="2"/>
          <w:sz w:val="32"/>
          <w:szCs w:val="32"/>
          <w:highlight w:val="none"/>
          <w:lang w:val="en-US" w:eastAsia="zh-CN" w:bidi="ar-SA"/>
        </w:rPr>
        <w:t>629.22万元</w:t>
      </w:r>
      <w:r>
        <w:rPr>
          <w:rFonts w:hint="eastAsia" w:ascii="Times New Roman" w:hAnsi="Times New Roman" w:eastAsia="仿宋_GB2312" w:cs="仿宋_GB2312"/>
          <w:color w:val="auto"/>
          <w:kern w:val="2"/>
          <w:sz w:val="32"/>
          <w:szCs w:val="32"/>
          <w:highlight w:val="none"/>
          <w:lang w:val="en-US" w:eastAsia="zh-CN" w:bidi="ar-SA"/>
        </w:rPr>
        <w:t>相比，财政拨款收入总计、支出总计各增加</w:t>
      </w:r>
      <w:r>
        <w:rPr>
          <w:rFonts w:hint="eastAsia" w:eastAsia="仿宋_GB2312" w:cs="仿宋_GB2312"/>
          <w:color w:val="auto"/>
          <w:kern w:val="2"/>
          <w:sz w:val="32"/>
          <w:szCs w:val="32"/>
          <w:highlight w:val="none"/>
          <w:lang w:val="en-US" w:eastAsia="zh-CN" w:bidi="ar-SA"/>
        </w:rPr>
        <w:t>29.53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4.69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eastAsia="仿宋_GB2312"/>
          <w:sz w:val="32"/>
          <w:szCs w:val="32"/>
        </w:rPr>
        <w:t>人员</w:t>
      </w:r>
      <w:r>
        <w:rPr>
          <w:rFonts w:eastAsia="仿宋_GB2312"/>
          <w:sz w:val="32"/>
          <w:szCs w:val="32"/>
        </w:rPr>
        <w:t>增加</w:t>
      </w:r>
      <w:r>
        <w:rPr>
          <w:rFonts w:hint="eastAsia" w:ascii="仿宋_GB2312" w:eastAsia="仿宋_GB2312"/>
          <w:sz w:val="32"/>
          <w:szCs w:val="32"/>
        </w:rPr>
        <w:t>，职工的工资上调，各项保险增加等。</w:t>
      </w:r>
    </w:p>
    <w:p w14:paraId="768AC44C">
      <w:pPr>
        <w:pStyle w:val="36"/>
        <w:ind w:left="0" w:leftChars="0" w:firstLine="0" w:firstLineChars="0"/>
        <w:rPr>
          <w:rFonts w:hint="eastAsia" w:ascii="仿宋_GB2312" w:eastAsia="仿宋_GB2312"/>
          <w:sz w:val="32"/>
          <w:szCs w:val="32"/>
        </w:rPr>
      </w:pPr>
    </w:p>
    <w:p w14:paraId="5BADC993">
      <w:pPr>
        <w:rPr>
          <w:rFonts w:hint="eastAsia" w:ascii="仿宋_GB2312" w:eastAsia="仿宋_GB2312"/>
          <w:sz w:val="32"/>
          <w:szCs w:val="32"/>
        </w:rPr>
      </w:pPr>
      <w:r>
        <w:rPr>
          <w:rFonts w:hint="eastAsia"/>
          <w:lang w:val="en-US" w:eastAsia="zh-CN"/>
        </w:rPr>
        <w:t xml:space="preserve">   </w:t>
      </w:r>
      <w:r>
        <w:drawing>
          <wp:inline distT="0" distB="0" distL="114300" distR="114300">
            <wp:extent cx="4815840" cy="2849880"/>
            <wp:effectExtent l="4445" t="5080" r="10795" b="10160"/>
            <wp:docPr id="7"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FFBFE5">
      <w:pPr>
        <w:pStyle w:val="36"/>
        <w:ind w:left="0" w:leftChars="0" w:firstLine="0" w:firstLineChars="0"/>
        <w:rPr>
          <w:rFonts w:hint="eastAsia"/>
          <w:lang w:val="en-US" w:eastAsia="zh-CN"/>
        </w:rPr>
      </w:pPr>
    </w:p>
    <w:p w14:paraId="5451235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47B65F86">
      <w:pPr>
        <w:spacing w:line="600" w:lineRule="exact"/>
        <w:ind w:firstLine="640" w:firstLineChars="200"/>
        <w:outlineLvl w:val="1"/>
        <w:rPr>
          <w:rStyle w:val="30"/>
          <w:rFonts w:ascii="Times New Roman" w:hAnsi="Times New Roman" w:eastAsia="黑体"/>
          <w:b w:val="0"/>
          <w:color w:val="auto"/>
          <w:highlight w:val="none"/>
        </w:rPr>
      </w:pPr>
      <w:bookmarkStart w:id="26" w:name="_Toc15396607"/>
      <w:bookmarkStart w:id="27"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p>
    <w:p w14:paraId="2244D80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634DE73C">
      <w:pPr>
        <w:spacing w:line="600" w:lineRule="exact"/>
        <w:ind w:firstLine="640"/>
        <w:rPr>
          <w:rFonts w:hint="eastAsia" w:ascii="仿宋_GB2312" w:eastAsia="仿宋_GB2312"/>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655.95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99.57</w:t>
      </w:r>
      <w:r>
        <w:rPr>
          <w:rFonts w:hint="eastAsia" w:ascii="仿宋_GB2312" w:hAnsi="仿宋_GB2312" w:eastAsia="仿宋_GB2312" w:cs="仿宋_GB2312"/>
          <w:color w:val="auto"/>
          <w:kern w:val="2"/>
          <w:sz w:val="32"/>
          <w:szCs w:val="32"/>
          <w:highlight w:val="none"/>
          <w:lang w:val="en-US" w:eastAsia="zh-CN" w:bidi="ar-SA"/>
        </w:rPr>
        <w:t>%。与2023年度629.22万元相比，一般公共预算财政拨款支出增加26.73万元，增长4.25%。主要变动原因是</w:t>
      </w:r>
      <w:r>
        <w:rPr>
          <w:rFonts w:hint="eastAsia" w:ascii="仿宋_GB2312" w:eastAsia="仿宋_GB2312"/>
          <w:sz w:val="32"/>
          <w:szCs w:val="32"/>
        </w:rPr>
        <w:t>人员</w:t>
      </w:r>
      <w:r>
        <w:rPr>
          <w:rFonts w:eastAsia="仿宋_GB2312"/>
          <w:sz w:val="32"/>
          <w:szCs w:val="32"/>
        </w:rPr>
        <w:t>增加</w:t>
      </w:r>
      <w:r>
        <w:rPr>
          <w:rFonts w:hint="eastAsia" w:ascii="仿宋_GB2312" w:eastAsia="仿宋_GB2312"/>
          <w:sz w:val="32"/>
          <w:szCs w:val="32"/>
        </w:rPr>
        <w:t>，职工的工资上调，各项保险增加等。</w:t>
      </w:r>
    </w:p>
    <w:p w14:paraId="074B20C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26EB8C9">
      <w:pPr>
        <w:pStyle w:val="36"/>
        <w:rPr>
          <w:rFonts w:hint="eastAsia" w:ascii="Times New Roman" w:hAnsi="Times New Roman" w:eastAsia="仿宋_GB2312" w:cs="仿宋_GB2312"/>
          <w:color w:val="auto"/>
          <w:kern w:val="2"/>
          <w:sz w:val="32"/>
          <w:szCs w:val="32"/>
          <w:highlight w:val="none"/>
          <w:lang w:val="en-US" w:eastAsia="zh-CN" w:bidi="ar-SA"/>
        </w:rPr>
      </w:pPr>
    </w:p>
    <w:p w14:paraId="59B0E45B">
      <w:pPr>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5238750" cy="2903855"/>
            <wp:effectExtent l="4445" t="4445" r="14605" b="17780"/>
            <wp:docPr id="3380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4B4F88">
      <w:pPr>
        <w:pStyle w:val="36"/>
        <w:rPr>
          <w:rFonts w:hint="eastAsia"/>
          <w:lang w:val="en-US" w:eastAsia="zh-CN"/>
        </w:rPr>
      </w:pPr>
    </w:p>
    <w:p w14:paraId="2C907C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65CA275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7CD453EF">
      <w:pPr>
        <w:pStyle w:val="36"/>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655.95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一般公共服务支出521.08万元，占79.44%；社会保障和就业支出67.22万元，占10.25%；卫生健康支出22.83万元，占3.48%；住房保障支出44.81万元，占6.83%。</w:t>
      </w:r>
    </w:p>
    <w:p w14:paraId="1F2191FA">
      <w:pPr>
        <w:rPr>
          <w:rFonts w:hint="eastAsia" w:ascii="Times New Roman" w:hAnsi="Times New Roman" w:eastAsia="仿宋_GB2312" w:cs="仿宋_GB2312"/>
          <w:color w:val="auto"/>
          <w:kern w:val="2"/>
          <w:sz w:val="32"/>
          <w:szCs w:val="32"/>
          <w:highlight w:val="none"/>
          <w:lang w:val="en-US" w:eastAsia="zh-CN" w:bidi="ar-SA"/>
        </w:rPr>
      </w:pPr>
    </w:p>
    <w:p w14:paraId="28E2D449">
      <w:pPr>
        <w:pStyle w:val="36"/>
        <w:rPr>
          <w:rFonts w:hint="eastAsia" w:ascii="Times New Roman" w:hAnsi="Times New Roman" w:eastAsia="仿宋_GB2312" w:cs="仿宋_GB2312"/>
          <w:color w:val="auto"/>
          <w:kern w:val="2"/>
          <w:sz w:val="32"/>
          <w:szCs w:val="32"/>
          <w:highlight w:val="none"/>
          <w:lang w:val="en-US" w:eastAsia="zh-CN" w:bidi="ar-SA"/>
        </w:rPr>
      </w:pPr>
    </w:p>
    <w:p w14:paraId="023E9B83">
      <w:pPr>
        <w:jc w:val="center"/>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730750" cy="3483610"/>
            <wp:effectExtent l="4445" t="5080" r="19685" b="16510"/>
            <wp:docPr id="348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B24B25"/>
    <w:p w14:paraId="1FF23E6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54428E48">
      <w:pPr>
        <w:pStyle w:val="2"/>
        <w:rPr>
          <w:rFonts w:hint="eastAsia"/>
          <w:lang w:val="en-US" w:eastAsia="zh-CN"/>
        </w:rPr>
      </w:pPr>
    </w:p>
    <w:p w14:paraId="13E5D0D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75D0C54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213"/>
      <w:bookmarkStart w:id="32" w:name="_Toc15378460"/>
      <w:bookmarkStart w:id="33"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655.95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14:paraId="729F3BEB">
      <w:pPr>
        <w:numPr>
          <w:ilvl w:val="0"/>
          <w:numId w:val="0"/>
        </w:numPr>
        <w:spacing w:line="600" w:lineRule="exact"/>
        <w:ind w:firstLine="643" w:firstLineChars="200"/>
        <w:rPr>
          <w:rFonts w:hint="eastAsia" w:ascii="仿宋" w:hAnsi="仿宋" w:eastAsia="仿宋"/>
          <w:color w:val="auto"/>
          <w:sz w:val="32"/>
          <w:szCs w:val="32"/>
          <w:highlight w:val="none"/>
        </w:rPr>
      </w:pPr>
      <w:r>
        <w:rPr>
          <w:rStyle w:val="18"/>
          <w:rFonts w:hint="eastAsia" w:ascii="仿宋" w:hAnsi="仿宋" w:eastAsia="仿宋"/>
          <w:bCs/>
          <w:color w:val="auto"/>
          <w:sz w:val="32"/>
          <w:szCs w:val="32"/>
          <w:highlight w:val="none"/>
          <w:lang w:val="en-US" w:eastAsia="zh-CN"/>
        </w:rPr>
        <w:t>1.</w:t>
      </w:r>
      <w:r>
        <w:rPr>
          <w:rStyle w:val="18"/>
          <w:rFonts w:hint="eastAsia" w:ascii="仿宋" w:hAnsi="仿宋" w:eastAsia="仿宋"/>
          <w:bCs/>
          <w:color w:val="auto"/>
          <w:sz w:val="32"/>
          <w:szCs w:val="32"/>
          <w:highlight w:val="none"/>
        </w:rPr>
        <w:t>一般公共服务</w:t>
      </w:r>
      <w:r>
        <w:rPr>
          <w:rStyle w:val="18"/>
          <w:rFonts w:hint="eastAsia" w:ascii="仿宋" w:hAnsi="仿宋" w:eastAsia="仿宋"/>
          <w:bCs/>
          <w:color w:val="auto"/>
          <w:sz w:val="32"/>
          <w:szCs w:val="32"/>
          <w:highlight w:val="none"/>
          <w:lang w:val="en-US" w:eastAsia="zh-CN"/>
        </w:rPr>
        <w:t>支出</w:t>
      </w:r>
      <w:r>
        <w:rPr>
          <w:rStyle w:val="18"/>
          <w:rFonts w:hint="eastAsia" w:ascii="仿宋" w:hAnsi="仿宋" w:eastAsia="仿宋"/>
          <w:bCs/>
          <w:color w:val="auto"/>
          <w:sz w:val="32"/>
          <w:szCs w:val="32"/>
          <w:highlight w:val="none"/>
        </w:rPr>
        <w:t>（类）</w:t>
      </w:r>
      <w:r>
        <w:rPr>
          <w:rStyle w:val="18"/>
          <w:rFonts w:hint="eastAsia" w:ascii="仿宋" w:hAnsi="仿宋" w:eastAsia="仿宋"/>
          <w:bCs/>
          <w:sz w:val="32"/>
          <w:szCs w:val="32"/>
        </w:rPr>
        <w:t>政府办公厅（室）及相关机构事务（款）：</w:t>
      </w:r>
      <w:r>
        <w:rPr>
          <w:rFonts w:hint="eastAsia" w:ascii="仿宋" w:hAnsi="仿宋" w:eastAsia="仿宋"/>
          <w:color w:val="auto"/>
          <w:sz w:val="32"/>
          <w:szCs w:val="32"/>
          <w:highlight w:val="none"/>
        </w:rPr>
        <w:t>行政运行（项）支出决算为</w:t>
      </w:r>
      <w:r>
        <w:rPr>
          <w:rFonts w:hint="eastAsia" w:ascii="仿宋" w:hAnsi="仿宋" w:eastAsia="仿宋"/>
          <w:color w:val="auto"/>
          <w:sz w:val="32"/>
          <w:szCs w:val="32"/>
          <w:highlight w:val="none"/>
          <w:lang w:val="en-US" w:eastAsia="zh-CN"/>
        </w:rPr>
        <w:t>186.34</w:t>
      </w:r>
      <w:r>
        <w:rPr>
          <w:rFonts w:hint="eastAsia" w:ascii="仿宋" w:hAnsi="仿宋" w:eastAsia="仿宋"/>
          <w:color w:val="auto"/>
          <w:sz w:val="32"/>
          <w:szCs w:val="32"/>
          <w:highlight w:val="none"/>
        </w:rPr>
        <w:t>万元，完成预算100%；  一般行政管理事务（项）支出决算为</w:t>
      </w:r>
      <w:r>
        <w:rPr>
          <w:rFonts w:hint="eastAsia" w:ascii="仿宋" w:hAnsi="仿宋" w:eastAsia="仿宋"/>
          <w:color w:val="auto"/>
          <w:sz w:val="32"/>
          <w:szCs w:val="32"/>
          <w:highlight w:val="none"/>
          <w:lang w:val="en-US" w:eastAsia="zh-CN"/>
        </w:rPr>
        <w:t>14.5</w:t>
      </w:r>
      <w:r>
        <w:rPr>
          <w:rFonts w:hint="eastAsia" w:ascii="仿宋" w:hAnsi="仿宋" w:eastAsia="仿宋"/>
          <w:color w:val="auto"/>
          <w:sz w:val="32"/>
          <w:szCs w:val="32"/>
          <w:highlight w:val="none"/>
        </w:rPr>
        <w:t>万元，完成预算100%；事业运行（项）支出决算为</w:t>
      </w:r>
      <w:r>
        <w:rPr>
          <w:rFonts w:hint="eastAsia" w:ascii="仿宋" w:hAnsi="仿宋" w:eastAsia="仿宋"/>
          <w:color w:val="auto"/>
          <w:sz w:val="32"/>
          <w:szCs w:val="32"/>
          <w:highlight w:val="none"/>
          <w:lang w:val="en-US" w:eastAsia="zh-CN"/>
        </w:rPr>
        <w:t>272.91</w:t>
      </w:r>
      <w:r>
        <w:rPr>
          <w:rFonts w:hint="eastAsia" w:ascii="仿宋" w:hAnsi="仿宋" w:eastAsia="仿宋"/>
          <w:color w:val="auto"/>
          <w:sz w:val="32"/>
          <w:szCs w:val="32"/>
          <w:highlight w:val="none"/>
        </w:rPr>
        <w:t>万元，完成预算100%；  其他政府办公厅（室）及相关机构事务支出（项）支出决算为</w:t>
      </w:r>
      <w:r>
        <w:rPr>
          <w:rFonts w:hint="eastAsia" w:ascii="仿宋" w:hAnsi="仿宋" w:eastAsia="仿宋"/>
          <w:color w:val="auto"/>
          <w:sz w:val="32"/>
          <w:szCs w:val="32"/>
          <w:highlight w:val="none"/>
          <w:lang w:val="en-US" w:eastAsia="zh-CN"/>
        </w:rPr>
        <w:t>39.33</w:t>
      </w:r>
      <w:r>
        <w:rPr>
          <w:rFonts w:hint="eastAsia" w:ascii="仿宋" w:hAnsi="仿宋" w:eastAsia="仿宋"/>
          <w:color w:val="auto"/>
          <w:sz w:val="32"/>
          <w:szCs w:val="32"/>
          <w:highlight w:val="none"/>
        </w:rPr>
        <w:t>万元，完成预算100%</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网性事务</w:t>
      </w:r>
      <w:r>
        <w:rPr>
          <w:rStyle w:val="18"/>
          <w:rFonts w:hint="eastAsia" w:ascii="仿宋" w:hAnsi="仿宋" w:eastAsia="仿宋"/>
          <w:bCs/>
          <w:sz w:val="32"/>
          <w:szCs w:val="32"/>
        </w:rPr>
        <w:t>（款）</w:t>
      </w:r>
      <w:r>
        <w:rPr>
          <w:rFonts w:hint="eastAsia" w:ascii="仿宋" w:hAnsi="仿宋" w:eastAsia="仿宋"/>
          <w:color w:val="auto"/>
          <w:sz w:val="32"/>
          <w:szCs w:val="32"/>
          <w:highlight w:val="none"/>
        </w:rPr>
        <w:t xml:space="preserve"> 一般行政管理事务（项）支出决算为</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万元，完成预算100%；决算数等于预算数。</w:t>
      </w:r>
    </w:p>
    <w:p w14:paraId="7FCA6491">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2.</w:t>
      </w:r>
      <w:r>
        <w:rPr>
          <w:rStyle w:val="18"/>
          <w:rFonts w:hint="eastAsia" w:ascii="仿宋" w:hAnsi="仿宋" w:eastAsia="仿宋"/>
          <w:bCs/>
          <w:sz w:val="32"/>
          <w:szCs w:val="32"/>
        </w:rPr>
        <w:t>社会保障和就业（类）</w:t>
      </w:r>
      <w:r>
        <w:rPr>
          <w:rFonts w:hint="eastAsia" w:ascii="仿宋" w:hAnsi="仿宋" w:eastAsia="仿宋"/>
          <w:b/>
          <w:bCs/>
          <w:color w:val="auto"/>
          <w:sz w:val="32"/>
          <w:szCs w:val="32"/>
          <w:highlight w:val="none"/>
        </w:rPr>
        <w:t>行政事业单位养老</w:t>
      </w:r>
      <w:r>
        <w:rPr>
          <w:rFonts w:hint="eastAsia" w:ascii="仿宋" w:hAnsi="仿宋" w:eastAsia="仿宋"/>
          <w:b/>
          <w:bCs/>
          <w:color w:val="auto"/>
          <w:sz w:val="32"/>
          <w:szCs w:val="32"/>
          <w:highlight w:val="none"/>
          <w:lang w:val="en-US" w:eastAsia="zh-CN"/>
        </w:rPr>
        <w:t>支出</w:t>
      </w:r>
      <w:r>
        <w:rPr>
          <w:rFonts w:hint="eastAsia" w:ascii="仿宋" w:hAnsi="仿宋" w:eastAsia="仿宋"/>
          <w:b/>
          <w:bCs/>
          <w:color w:val="auto"/>
          <w:sz w:val="32"/>
          <w:szCs w:val="32"/>
          <w:highlight w:val="none"/>
        </w:rPr>
        <w:t>（款）</w:t>
      </w:r>
      <w:r>
        <w:rPr>
          <w:rFonts w:hint="eastAsia" w:ascii="仿宋" w:hAnsi="仿宋" w:eastAsia="仿宋"/>
          <w:b w:val="0"/>
          <w:bCs w:val="0"/>
          <w:color w:val="auto"/>
          <w:sz w:val="32"/>
          <w:szCs w:val="32"/>
          <w:highlight w:val="none"/>
        </w:rPr>
        <w:t>机关事业单位基本养老保险缴费支出（项）</w:t>
      </w:r>
      <w:r>
        <w:rPr>
          <w:rFonts w:hint="eastAsia" w:ascii="仿宋" w:hAnsi="仿宋" w:eastAsia="仿宋"/>
          <w:color w:val="auto"/>
          <w:sz w:val="32"/>
          <w:szCs w:val="32"/>
          <w:highlight w:val="none"/>
        </w:rPr>
        <w:t>: 支出决算为</w:t>
      </w:r>
      <w:r>
        <w:rPr>
          <w:rFonts w:hint="eastAsia" w:ascii="仿宋" w:hAnsi="仿宋" w:eastAsia="仿宋"/>
          <w:color w:val="auto"/>
          <w:sz w:val="32"/>
          <w:szCs w:val="32"/>
          <w:highlight w:val="none"/>
          <w:lang w:val="en-US" w:eastAsia="zh-CN"/>
        </w:rPr>
        <w:t>53.66</w:t>
      </w:r>
      <w:r>
        <w:rPr>
          <w:rFonts w:hint="eastAsia" w:ascii="仿宋" w:hAnsi="仿宋" w:eastAsia="仿宋"/>
          <w:color w:val="auto"/>
          <w:sz w:val="32"/>
          <w:szCs w:val="32"/>
          <w:highlight w:val="none"/>
        </w:rPr>
        <w:t>万元，完成预算100%。机关事业单位职业年金缴费支出（项）: 支出决算为</w:t>
      </w:r>
      <w:r>
        <w:rPr>
          <w:rFonts w:hint="eastAsia" w:ascii="仿宋" w:hAnsi="仿宋" w:eastAsia="仿宋"/>
          <w:color w:val="auto"/>
          <w:sz w:val="32"/>
          <w:szCs w:val="32"/>
          <w:highlight w:val="none"/>
          <w:lang w:val="en-US" w:eastAsia="zh-CN"/>
        </w:rPr>
        <w:t>8.15</w:t>
      </w:r>
      <w:r>
        <w:rPr>
          <w:rFonts w:hint="eastAsia" w:ascii="仿宋" w:hAnsi="仿宋" w:eastAsia="仿宋"/>
          <w:color w:val="auto"/>
          <w:sz w:val="32"/>
          <w:szCs w:val="32"/>
          <w:highlight w:val="none"/>
        </w:rPr>
        <w:t>万元，完成预算100%。</w:t>
      </w:r>
      <w:r>
        <w:rPr>
          <w:rFonts w:hint="eastAsia" w:ascii="仿宋" w:hAnsi="仿宋" w:eastAsia="仿宋"/>
          <w:b/>
          <w:bCs/>
          <w:color w:val="auto"/>
          <w:sz w:val="32"/>
          <w:szCs w:val="32"/>
          <w:highlight w:val="none"/>
          <w:lang w:val="en-US" w:eastAsia="zh-CN"/>
        </w:rPr>
        <w:t>其他社会保障和就业支出</w:t>
      </w:r>
      <w:r>
        <w:rPr>
          <w:rFonts w:hint="eastAsia" w:ascii="仿宋" w:hAnsi="仿宋" w:eastAsia="仿宋"/>
          <w:b/>
          <w:bCs/>
          <w:color w:val="auto"/>
          <w:sz w:val="32"/>
          <w:szCs w:val="32"/>
          <w:highlight w:val="none"/>
        </w:rPr>
        <w:t>（款）</w:t>
      </w:r>
      <w:r>
        <w:rPr>
          <w:rFonts w:hint="eastAsia" w:ascii="仿宋" w:hAnsi="仿宋" w:eastAsia="仿宋"/>
          <w:color w:val="auto"/>
          <w:sz w:val="32"/>
          <w:szCs w:val="32"/>
          <w:highlight w:val="none"/>
          <w:lang w:val="en-US" w:eastAsia="zh-CN"/>
        </w:rPr>
        <w:t>其他社会保障和就业支出</w:t>
      </w:r>
      <w:r>
        <w:rPr>
          <w:rFonts w:hint="eastAsia" w:ascii="仿宋" w:hAnsi="仿宋" w:eastAsia="仿宋"/>
          <w:color w:val="auto"/>
          <w:sz w:val="32"/>
          <w:szCs w:val="32"/>
          <w:highlight w:val="none"/>
        </w:rPr>
        <w:t>（项）: 支出决算为</w:t>
      </w:r>
      <w:r>
        <w:rPr>
          <w:rFonts w:hint="eastAsia" w:ascii="仿宋" w:hAnsi="仿宋" w:eastAsia="仿宋"/>
          <w:color w:val="auto"/>
          <w:sz w:val="32"/>
          <w:szCs w:val="32"/>
          <w:highlight w:val="none"/>
          <w:lang w:val="en-US" w:eastAsia="zh-CN"/>
        </w:rPr>
        <w:t>5.41</w:t>
      </w:r>
      <w:r>
        <w:rPr>
          <w:rFonts w:hint="eastAsia" w:ascii="仿宋" w:hAnsi="仿宋" w:eastAsia="仿宋"/>
          <w:color w:val="auto"/>
          <w:sz w:val="32"/>
          <w:szCs w:val="32"/>
          <w:highlight w:val="none"/>
        </w:rPr>
        <w:t>万元，完成预算100%。决算数等于预算数。</w:t>
      </w:r>
    </w:p>
    <w:p w14:paraId="0389888B">
      <w:pPr>
        <w:spacing w:line="560" w:lineRule="exact"/>
        <w:ind w:firstLine="643" w:firstLineChars="200"/>
        <w:rPr>
          <w:rStyle w:val="18"/>
          <w:rFonts w:hint="eastAsia" w:ascii="仿宋" w:hAnsi="仿宋" w:eastAsia="仿宋"/>
          <w:b w:val="0"/>
          <w:bCs/>
          <w:color w:val="auto"/>
          <w:sz w:val="32"/>
          <w:szCs w:val="32"/>
          <w:highlight w:val="none"/>
        </w:rPr>
      </w:pPr>
      <w:r>
        <w:rPr>
          <w:rFonts w:hint="eastAsia" w:ascii="仿宋" w:hAnsi="仿宋" w:eastAsia="仿宋"/>
          <w:b/>
          <w:bCs/>
          <w:sz w:val="32"/>
          <w:szCs w:val="32"/>
          <w:lang w:val="en-US" w:eastAsia="zh-CN"/>
        </w:rPr>
        <w:t>3.</w:t>
      </w:r>
      <w:r>
        <w:rPr>
          <w:rFonts w:hint="eastAsia" w:ascii="仿宋" w:hAnsi="仿宋" w:eastAsia="仿宋"/>
          <w:b/>
          <w:bCs/>
          <w:sz w:val="32"/>
          <w:szCs w:val="32"/>
        </w:rPr>
        <w:t>卫生健康</w:t>
      </w:r>
      <w:r>
        <w:rPr>
          <w:rStyle w:val="18"/>
          <w:rFonts w:hint="eastAsia" w:ascii="仿宋" w:hAnsi="仿宋" w:eastAsia="仿宋"/>
          <w:bCs/>
          <w:sz w:val="32"/>
          <w:szCs w:val="32"/>
        </w:rPr>
        <w:t>（类）</w:t>
      </w:r>
      <w:r>
        <w:rPr>
          <w:rFonts w:hint="eastAsia" w:ascii="仿宋" w:hAnsi="仿宋" w:eastAsia="仿宋"/>
          <w:b/>
          <w:bCs/>
          <w:color w:val="auto"/>
          <w:sz w:val="32"/>
          <w:szCs w:val="32"/>
          <w:highlight w:val="none"/>
        </w:rPr>
        <w:t>行政事业单位医疗（款）</w:t>
      </w:r>
      <w:r>
        <w:rPr>
          <w:rFonts w:hint="eastAsia" w:ascii="仿宋" w:hAnsi="仿宋" w:eastAsia="仿宋"/>
          <w:color w:val="auto"/>
          <w:sz w:val="32"/>
          <w:szCs w:val="32"/>
          <w:highlight w:val="none"/>
        </w:rPr>
        <w:t>行政单位医疗（项）：支出决算为</w:t>
      </w:r>
      <w:r>
        <w:rPr>
          <w:rFonts w:hint="eastAsia" w:ascii="仿宋" w:hAnsi="仿宋" w:eastAsia="仿宋"/>
          <w:color w:val="auto"/>
          <w:sz w:val="32"/>
          <w:szCs w:val="32"/>
          <w:highlight w:val="none"/>
          <w:lang w:val="en-US" w:eastAsia="zh-CN"/>
        </w:rPr>
        <w:t>7.63</w:t>
      </w:r>
      <w:r>
        <w:rPr>
          <w:rFonts w:hint="eastAsia" w:ascii="仿宋" w:hAnsi="仿宋" w:eastAsia="仿宋"/>
          <w:color w:val="auto"/>
          <w:sz w:val="32"/>
          <w:szCs w:val="32"/>
          <w:highlight w:val="none"/>
        </w:rPr>
        <w:t>万元，完成预算100%。事业单位医疗（项）：支出决算为</w:t>
      </w:r>
      <w:r>
        <w:rPr>
          <w:rFonts w:hint="eastAsia" w:ascii="仿宋" w:hAnsi="仿宋" w:eastAsia="仿宋"/>
          <w:color w:val="auto"/>
          <w:sz w:val="32"/>
          <w:szCs w:val="32"/>
          <w:highlight w:val="none"/>
          <w:lang w:val="en-US" w:eastAsia="zh-CN"/>
        </w:rPr>
        <w:t>12.83</w:t>
      </w:r>
      <w:r>
        <w:rPr>
          <w:rFonts w:hint="eastAsia" w:ascii="仿宋" w:hAnsi="仿宋" w:eastAsia="仿宋"/>
          <w:color w:val="auto"/>
          <w:sz w:val="32"/>
          <w:szCs w:val="32"/>
          <w:highlight w:val="none"/>
        </w:rPr>
        <w:t>万元，完成预算100%。</w:t>
      </w:r>
      <w:r>
        <w:rPr>
          <w:rFonts w:hint="eastAsia" w:ascii="仿宋" w:hAnsi="仿宋" w:eastAsia="仿宋"/>
          <w:color w:val="auto"/>
          <w:sz w:val="32"/>
          <w:szCs w:val="32"/>
          <w:highlight w:val="none"/>
          <w:lang w:val="en-US" w:eastAsia="zh-CN"/>
        </w:rPr>
        <w:t>公务员医疗补助（项）：</w:t>
      </w:r>
      <w:r>
        <w:rPr>
          <w:rFonts w:hint="eastAsia" w:ascii="仿宋" w:hAnsi="仿宋" w:eastAsia="仿宋"/>
          <w:color w:val="auto"/>
          <w:sz w:val="32"/>
          <w:szCs w:val="32"/>
          <w:highlight w:val="none"/>
        </w:rPr>
        <w:t>支出决算为</w:t>
      </w:r>
      <w:r>
        <w:rPr>
          <w:rFonts w:hint="eastAsia" w:ascii="仿宋" w:hAnsi="仿宋" w:eastAsia="仿宋"/>
          <w:color w:val="auto"/>
          <w:sz w:val="32"/>
          <w:szCs w:val="32"/>
          <w:highlight w:val="none"/>
          <w:lang w:val="en-US" w:eastAsia="zh-CN"/>
        </w:rPr>
        <w:t>2.38</w:t>
      </w:r>
      <w:r>
        <w:rPr>
          <w:rFonts w:hint="eastAsia" w:ascii="仿宋" w:hAnsi="仿宋" w:eastAsia="仿宋"/>
          <w:color w:val="auto"/>
          <w:sz w:val="32"/>
          <w:szCs w:val="32"/>
          <w:highlight w:val="none"/>
        </w:rPr>
        <w:t>万元，完成预算100%。</w:t>
      </w:r>
      <w:r>
        <w:rPr>
          <w:rStyle w:val="18"/>
          <w:rFonts w:hint="eastAsia" w:ascii="仿宋" w:hAnsi="仿宋" w:eastAsia="仿宋"/>
          <w:b w:val="0"/>
          <w:bCs/>
          <w:color w:val="auto"/>
          <w:sz w:val="32"/>
          <w:szCs w:val="32"/>
          <w:highlight w:val="none"/>
        </w:rPr>
        <w:t>决算数等于预算数。</w:t>
      </w:r>
    </w:p>
    <w:p w14:paraId="52F73B3C">
      <w:pPr>
        <w:spacing w:line="57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b/>
          <w:bCs w:val="0"/>
          <w:color w:val="000000"/>
          <w:sz w:val="32"/>
          <w:szCs w:val="32"/>
          <w:lang w:val="en-US" w:eastAsia="zh-CN"/>
        </w:rPr>
        <w:t>4.</w:t>
      </w:r>
      <w:r>
        <w:rPr>
          <w:rFonts w:eastAsia="仿宋_GB2312"/>
          <w:b/>
          <w:bCs w:val="0"/>
          <w:color w:val="000000"/>
          <w:sz w:val="32"/>
          <w:szCs w:val="32"/>
        </w:rPr>
        <w:t>住房保障支出（类）</w:t>
      </w:r>
      <w:r>
        <w:rPr>
          <w:rFonts w:hint="eastAsia" w:ascii="仿宋" w:hAnsi="仿宋" w:eastAsia="仿宋"/>
          <w:b/>
          <w:bCs w:val="0"/>
          <w:color w:val="auto"/>
          <w:sz w:val="32"/>
          <w:szCs w:val="32"/>
          <w:highlight w:val="none"/>
        </w:rPr>
        <w:t>住房改革支出（款</w:t>
      </w:r>
      <w:r>
        <w:rPr>
          <w:rFonts w:hint="eastAsia" w:ascii="仿宋" w:hAnsi="仿宋" w:eastAsia="仿宋"/>
          <w:b/>
          <w:bCs/>
          <w:color w:val="auto"/>
          <w:sz w:val="32"/>
          <w:szCs w:val="32"/>
          <w:highlight w:val="none"/>
        </w:rPr>
        <w:t>）</w:t>
      </w:r>
      <w:r>
        <w:rPr>
          <w:rFonts w:hint="eastAsia" w:ascii="仿宋" w:hAnsi="仿宋" w:eastAsia="仿宋"/>
          <w:color w:val="auto"/>
          <w:sz w:val="32"/>
          <w:szCs w:val="32"/>
          <w:highlight w:val="none"/>
        </w:rPr>
        <w:t>住房公积金（项）:支出决算为</w:t>
      </w:r>
      <w:r>
        <w:rPr>
          <w:rFonts w:hint="eastAsia" w:ascii="仿宋" w:hAnsi="仿宋" w:eastAsia="仿宋"/>
          <w:color w:val="auto"/>
          <w:sz w:val="32"/>
          <w:szCs w:val="32"/>
          <w:highlight w:val="none"/>
          <w:lang w:val="en-US" w:eastAsia="zh-CN"/>
        </w:rPr>
        <w:t>44.81</w:t>
      </w:r>
      <w:r>
        <w:rPr>
          <w:rFonts w:hint="eastAsia" w:ascii="仿宋" w:hAnsi="仿宋" w:eastAsia="仿宋"/>
          <w:color w:val="auto"/>
          <w:sz w:val="32"/>
          <w:szCs w:val="32"/>
          <w:highlight w:val="none"/>
        </w:rPr>
        <w:t>万元，完成预算100%。</w:t>
      </w:r>
    </w:p>
    <w:p w14:paraId="483E0E55">
      <w:pPr>
        <w:tabs>
          <w:tab w:val="right" w:pos="8306"/>
        </w:tabs>
        <w:spacing w:line="600" w:lineRule="exact"/>
        <w:ind w:firstLine="640"/>
        <w:outlineLvl w:val="1"/>
        <w:rPr>
          <w:rStyle w:val="30"/>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4"/>
      <w:bookmarkEnd w:id="35"/>
      <w:r>
        <w:rPr>
          <w:rStyle w:val="30"/>
          <w:rFonts w:ascii="Times New Roman" w:hAnsi="Times New Roman" w:eastAsia="黑体"/>
          <w:b w:val="0"/>
          <w:color w:val="auto"/>
          <w:highlight w:val="none"/>
        </w:rPr>
        <w:tab/>
      </w:r>
    </w:p>
    <w:p w14:paraId="6312314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594.12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0E0BC8C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542.24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元，主要包括：基本工资、津贴补贴、奖金、绩效工资、机关事业单位基本养老保险缴费、职业年金缴费、</w:t>
      </w:r>
      <w:r>
        <w:rPr>
          <w:rFonts w:hint="eastAsia" w:eastAsia="仿宋_GB2312" w:cs="仿宋_GB2312"/>
          <w:color w:val="auto"/>
          <w:kern w:val="2"/>
          <w:sz w:val="32"/>
          <w:szCs w:val="32"/>
          <w:highlight w:val="none"/>
          <w:lang w:val="en-US" w:eastAsia="zh-CN" w:bidi="ar-SA"/>
        </w:rPr>
        <w:t>职工</w:t>
      </w:r>
      <w:r>
        <w:rPr>
          <w:rFonts w:hint="eastAsia" w:ascii="Times New Roman" w:hAnsi="Times New Roman" w:eastAsia="仿宋_GB2312" w:cs="仿宋_GB2312"/>
          <w:color w:val="auto"/>
          <w:kern w:val="2"/>
          <w:sz w:val="32"/>
          <w:szCs w:val="32"/>
          <w:highlight w:val="none"/>
          <w:lang w:val="en-US" w:eastAsia="zh-CN" w:bidi="ar-SA"/>
        </w:rPr>
        <w:t>基本医疗保险缴费、公务员医疗补助缴费其他社会保障缴费、其他工资福利支出、住房公积金等。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51.88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元，主要包括：办公费、印刷费、水费、电费、邮电费、差旅费、维修（护）费、租赁费、公务接待费、</w:t>
      </w:r>
      <w:r>
        <w:rPr>
          <w:rFonts w:hint="eastAsia" w:eastAsia="仿宋_GB2312" w:cs="仿宋_GB2312"/>
          <w:color w:val="auto"/>
          <w:kern w:val="2"/>
          <w:sz w:val="32"/>
          <w:szCs w:val="32"/>
          <w:highlight w:val="none"/>
          <w:lang w:val="en-US" w:eastAsia="zh-CN" w:bidi="ar-SA"/>
        </w:rPr>
        <w:t>专用材料</w:t>
      </w:r>
      <w:r>
        <w:rPr>
          <w:rFonts w:hint="eastAsia" w:ascii="Times New Roman" w:hAnsi="Times New Roman" w:eastAsia="仿宋_GB2312" w:cs="仿宋_GB2312"/>
          <w:color w:val="auto"/>
          <w:kern w:val="2"/>
          <w:sz w:val="32"/>
          <w:szCs w:val="32"/>
          <w:highlight w:val="none"/>
          <w:lang w:val="en-US" w:eastAsia="zh-CN" w:bidi="ar-SA"/>
        </w:rPr>
        <w:t>费、</w:t>
      </w:r>
      <w:r>
        <w:rPr>
          <w:rFonts w:hint="eastAsia" w:eastAsia="仿宋_GB2312" w:cs="仿宋_GB2312"/>
          <w:color w:val="auto"/>
          <w:kern w:val="2"/>
          <w:sz w:val="32"/>
          <w:szCs w:val="32"/>
          <w:highlight w:val="none"/>
          <w:lang w:val="en-US" w:eastAsia="zh-CN" w:bidi="ar-SA"/>
        </w:rPr>
        <w:t>劳务费、</w:t>
      </w:r>
      <w:r>
        <w:rPr>
          <w:rFonts w:hint="eastAsia" w:ascii="Times New Roman" w:hAnsi="Times New Roman" w:eastAsia="仿宋_GB2312" w:cs="仿宋_GB2312"/>
          <w:color w:val="auto"/>
          <w:kern w:val="2"/>
          <w:sz w:val="32"/>
          <w:szCs w:val="32"/>
          <w:highlight w:val="none"/>
          <w:lang w:val="en-US" w:eastAsia="zh-CN" w:bidi="ar-SA"/>
        </w:rPr>
        <w:t>委托业务费、工会经费、福利费、</w:t>
      </w:r>
      <w:r>
        <w:rPr>
          <w:rFonts w:hint="eastAsia" w:eastAsia="仿宋_GB2312" w:cs="仿宋_GB2312"/>
          <w:color w:val="auto"/>
          <w:kern w:val="2"/>
          <w:sz w:val="32"/>
          <w:szCs w:val="32"/>
          <w:highlight w:val="none"/>
          <w:lang w:val="en-US" w:eastAsia="zh-CN" w:bidi="ar-SA"/>
        </w:rPr>
        <w:t>对个人和家庭的补助、生活补助、其他个人和家庭的补助支出</w:t>
      </w:r>
      <w:r>
        <w:rPr>
          <w:rFonts w:hint="eastAsia" w:ascii="Times New Roman" w:hAnsi="Times New Roman" w:eastAsia="仿宋_GB2312" w:cs="仿宋_GB2312"/>
          <w:color w:val="auto"/>
          <w:kern w:val="2"/>
          <w:sz w:val="32"/>
          <w:szCs w:val="32"/>
          <w:highlight w:val="none"/>
          <w:lang w:val="en-US" w:eastAsia="zh-CN" w:bidi="ar-SA"/>
        </w:rPr>
        <w:t>、办公设备购置等。</w:t>
      </w:r>
    </w:p>
    <w:p w14:paraId="19924F8D">
      <w:pPr>
        <w:pStyle w:val="2"/>
        <w:rPr>
          <w:rFonts w:hint="eastAsia"/>
          <w:lang w:val="en-US" w:eastAsia="zh-CN"/>
        </w:rPr>
      </w:pPr>
    </w:p>
    <w:p w14:paraId="41A730CD">
      <w:pPr>
        <w:spacing w:line="600" w:lineRule="exact"/>
        <w:ind w:firstLine="640"/>
        <w:outlineLvl w:val="1"/>
        <w:rPr>
          <w:rStyle w:val="30"/>
          <w:rFonts w:ascii="Times New Roman" w:hAnsi="Times New Roman" w:eastAsia="黑体"/>
          <w:b w:val="0"/>
          <w:color w:val="auto"/>
          <w:highlight w:val="none"/>
        </w:rPr>
      </w:pPr>
      <w:bookmarkStart w:id="36" w:name="_Toc15396609"/>
      <w:bookmarkStart w:id="37" w:name="_Toc15377215"/>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6"/>
      <w:bookmarkEnd w:id="37"/>
    </w:p>
    <w:p w14:paraId="31C0314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7FC3C461">
      <w:pPr>
        <w:pStyle w:val="2"/>
        <w:rPr>
          <w:rFonts w:hint="eastAsia"/>
          <w:lang w:val="en-US" w:eastAsia="zh-CN"/>
        </w:rPr>
      </w:pPr>
    </w:p>
    <w:p w14:paraId="2C1FF51F">
      <w:pPr>
        <w:snapToGrid w:val="0"/>
        <w:spacing w:line="520" w:lineRule="exact"/>
        <w:ind w:firstLine="640" w:firstLineChars="200"/>
        <w:rPr>
          <w:rFonts w:hint="default" w:ascii="仿宋_GB2312" w:hAnsi="仿宋" w:eastAsia="仿宋_GB2312"/>
          <w:sz w:val="32"/>
          <w:szCs w:val="32"/>
          <w:lang w:val="en-US" w:eastAsia="zh-CN"/>
        </w:rPr>
      </w:pPr>
      <w:r>
        <w:rPr>
          <w:rFonts w:ascii="仿宋_GB2312" w:hAnsi="仿宋" w:eastAsia="仿宋_GB2312"/>
          <w:sz w:val="32"/>
          <w:szCs w:val="32"/>
        </w:rPr>
        <w:t>20</w:t>
      </w:r>
      <w:r>
        <w:rPr>
          <w:rFonts w:hint="eastAsia" w:ascii="仿宋_GB2312" w:hAnsi="仿宋" w:eastAsia="仿宋_GB2312"/>
          <w:sz w:val="32"/>
          <w:szCs w:val="32"/>
        </w:rPr>
        <w:t>2</w:t>
      </w:r>
      <w:r>
        <w:rPr>
          <w:rFonts w:hint="eastAsia" w:ascii="仿宋_GB2312" w:hAnsi="仿宋" w:eastAsia="仿宋_GB2312"/>
          <w:sz w:val="32"/>
          <w:szCs w:val="32"/>
          <w:lang w:val="en-US" w:eastAsia="zh-CN"/>
        </w:rPr>
        <w:t>4</w:t>
      </w:r>
      <w:r>
        <w:rPr>
          <w:rFonts w:ascii="仿宋_GB2312" w:hAnsi="仿宋" w:eastAsia="仿宋_GB2312"/>
          <w:sz w:val="32"/>
          <w:szCs w:val="32"/>
        </w:rPr>
        <w:t>年</w:t>
      </w:r>
      <w:r>
        <w:rPr>
          <w:rFonts w:hint="eastAsia" w:ascii="仿宋_GB2312" w:hAnsi="仿宋" w:eastAsia="仿宋_GB2312"/>
          <w:sz w:val="32"/>
          <w:szCs w:val="32"/>
        </w:rPr>
        <w:t>度“三公”经费</w:t>
      </w:r>
      <w:r>
        <w:rPr>
          <w:rFonts w:ascii="仿宋_GB2312" w:hAnsi="仿宋" w:eastAsia="仿宋_GB2312"/>
          <w:sz w:val="32"/>
          <w:szCs w:val="32"/>
        </w:rPr>
        <w:t>财政拨款支出决算为</w:t>
      </w:r>
      <w:r>
        <w:rPr>
          <w:rFonts w:hint="eastAsia" w:ascii="仿宋_GB2312" w:hAnsi="仿宋" w:eastAsia="仿宋_GB2312"/>
          <w:sz w:val="32"/>
          <w:szCs w:val="32"/>
        </w:rPr>
        <w:t>0.</w:t>
      </w:r>
      <w:r>
        <w:rPr>
          <w:rFonts w:hint="eastAsia" w:ascii="仿宋_GB2312" w:hAnsi="仿宋" w:eastAsia="仿宋_GB2312"/>
          <w:sz w:val="32"/>
          <w:szCs w:val="32"/>
          <w:lang w:val="en-US" w:eastAsia="zh-CN"/>
        </w:rPr>
        <w:t>095</w:t>
      </w:r>
      <w:r>
        <w:rPr>
          <w:rFonts w:hint="eastAsia" w:ascii="仿宋_GB2312" w:hAnsi="仿宋" w:eastAsia="仿宋_GB2312"/>
          <w:sz w:val="32"/>
          <w:szCs w:val="32"/>
        </w:rPr>
        <w:t>万</w:t>
      </w:r>
      <w:r>
        <w:rPr>
          <w:rFonts w:ascii="仿宋_GB2312" w:hAnsi="仿宋" w:eastAsia="仿宋_GB2312"/>
          <w:sz w:val="32"/>
          <w:szCs w:val="32"/>
        </w:rPr>
        <w:t>元，</w:t>
      </w:r>
      <w:r>
        <w:rPr>
          <w:rFonts w:hint="eastAsia" w:ascii="仿宋_GB2312" w:hAnsi="仿宋" w:eastAsia="仿宋_GB2312"/>
          <w:sz w:val="32"/>
          <w:szCs w:val="32"/>
          <w:lang w:val="en-US" w:eastAsia="zh-CN"/>
        </w:rPr>
        <w:t>年初预算0.4万元，</w:t>
      </w:r>
      <w:r>
        <w:rPr>
          <w:rFonts w:ascii="仿宋_GB2312" w:hAnsi="仿宋" w:eastAsia="仿宋_GB2312"/>
          <w:sz w:val="32"/>
          <w:szCs w:val="32"/>
        </w:rPr>
        <w:t>完成预算</w:t>
      </w:r>
      <w:r>
        <w:rPr>
          <w:rFonts w:hint="eastAsia" w:ascii="仿宋_GB2312" w:hAnsi="仿宋" w:eastAsia="仿宋_GB2312"/>
          <w:sz w:val="32"/>
          <w:szCs w:val="32"/>
          <w:lang w:val="en-US" w:eastAsia="zh-CN"/>
        </w:rPr>
        <w:t>23.75</w:t>
      </w:r>
      <w:r>
        <w:rPr>
          <w:rFonts w:ascii="仿宋_GB2312" w:hAnsi="仿宋" w:eastAsia="仿宋_GB2312"/>
          <w:sz w:val="32"/>
          <w:szCs w:val="32"/>
        </w:rPr>
        <w:t>%，</w:t>
      </w:r>
      <w:r>
        <w:rPr>
          <w:rFonts w:hint="eastAsia" w:ascii="仿宋_GB2312" w:hAnsi="仿宋" w:eastAsia="仿宋_GB2312"/>
          <w:sz w:val="32"/>
          <w:szCs w:val="32"/>
        </w:rPr>
        <w:t>“三公”经</w:t>
      </w:r>
      <w:r>
        <w:rPr>
          <w:rFonts w:ascii="仿宋_GB2312" w:hAnsi="仿宋" w:eastAsia="仿宋_GB2312"/>
          <w:sz w:val="32"/>
          <w:szCs w:val="32"/>
        </w:rPr>
        <w:t>费支出决算数</w:t>
      </w:r>
      <w:r>
        <w:rPr>
          <w:rFonts w:hint="eastAsia" w:ascii="仿宋_GB2312" w:hAnsi="仿宋" w:eastAsia="仿宋_GB2312"/>
          <w:sz w:val="32"/>
          <w:szCs w:val="32"/>
          <w:lang w:val="en-US" w:eastAsia="zh-CN"/>
        </w:rPr>
        <w:t>小</w:t>
      </w:r>
      <w:r>
        <w:rPr>
          <w:rFonts w:ascii="仿宋_GB2312" w:hAnsi="仿宋" w:eastAsia="仿宋_GB2312"/>
          <w:sz w:val="32"/>
          <w:szCs w:val="32"/>
        </w:rPr>
        <w:t>于预算数主要原因是进一步落实厉行节约相关规定，公务接待</w:t>
      </w:r>
      <w:r>
        <w:rPr>
          <w:rFonts w:hint="eastAsia" w:ascii="仿宋_GB2312" w:hAnsi="仿宋" w:eastAsia="仿宋_GB2312"/>
          <w:sz w:val="32"/>
          <w:szCs w:val="32"/>
          <w:lang w:val="en-US" w:eastAsia="zh-CN"/>
        </w:rPr>
        <w:t>减少。与上年</w:t>
      </w:r>
      <w:r>
        <w:rPr>
          <w:rFonts w:hint="eastAsia" w:ascii="仿宋_GB2312" w:hAnsi="仿宋" w:eastAsia="仿宋_GB2312"/>
          <w:sz w:val="32"/>
          <w:szCs w:val="32"/>
        </w:rPr>
        <w:t>“三公”经费</w:t>
      </w:r>
      <w:r>
        <w:rPr>
          <w:rFonts w:ascii="仿宋_GB2312" w:hAnsi="仿宋" w:eastAsia="仿宋_GB2312"/>
          <w:sz w:val="32"/>
          <w:szCs w:val="32"/>
        </w:rPr>
        <w:t>财政拨款支出决算为</w:t>
      </w:r>
      <w:r>
        <w:rPr>
          <w:rFonts w:hint="eastAsia" w:ascii="仿宋_GB2312" w:hAnsi="仿宋" w:eastAsia="仿宋_GB2312"/>
          <w:sz w:val="32"/>
          <w:szCs w:val="32"/>
          <w:lang w:val="en-US" w:eastAsia="zh-CN"/>
        </w:rPr>
        <w:t>0.2</w:t>
      </w:r>
      <w:r>
        <w:rPr>
          <w:rFonts w:hint="eastAsia" w:ascii="仿宋_GB2312" w:hAnsi="仿宋" w:eastAsia="仿宋_GB2312"/>
          <w:sz w:val="32"/>
          <w:szCs w:val="32"/>
        </w:rPr>
        <w:t>万</w:t>
      </w:r>
      <w:r>
        <w:rPr>
          <w:rFonts w:ascii="仿宋_GB2312" w:hAnsi="仿宋" w:eastAsia="仿宋_GB2312"/>
          <w:sz w:val="32"/>
          <w:szCs w:val="32"/>
        </w:rPr>
        <w:t>元，</w:t>
      </w:r>
      <w:r>
        <w:rPr>
          <w:rFonts w:hint="eastAsia" w:ascii="仿宋_GB2312" w:hAnsi="仿宋" w:eastAsia="仿宋_GB2312"/>
          <w:sz w:val="32"/>
          <w:szCs w:val="32"/>
          <w:lang w:val="en-US" w:eastAsia="zh-CN"/>
        </w:rPr>
        <w:t>年初预算0.2万元，</w:t>
      </w:r>
      <w:r>
        <w:rPr>
          <w:rFonts w:ascii="仿宋_GB2312" w:hAnsi="仿宋" w:eastAsia="仿宋_GB2312"/>
          <w:sz w:val="32"/>
          <w:szCs w:val="32"/>
        </w:rPr>
        <w:t>完成预算</w:t>
      </w:r>
      <w:r>
        <w:rPr>
          <w:rFonts w:hint="eastAsia" w:ascii="仿宋_GB2312" w:hAnsi="仿宋" w:eastAsia="仿宋_GB2312"/>
          <w:sz w:val="32"/>
          <w:szCs w:val="32"/>
          <w:lang w:val="en-US" w:eastAsia="zh-CN"/>
        </w:rPr>
        <w:t>100</w:t>
      </w:r>
      <w:r>
        <w:rPr>
          <w:rFonts w:ascii="仿宋_GB2312" w:hAnsi="仿宋" w:eastAsia="仿宋_GB2312"/>
          <w:sz w:val="32"/>
          <w:szCs w:val="32"/>
        </w:rPr>
        <w:t>%，</w:t>
      </w:r>
      <w:r>
        <w:rPr>
          <w:rFonts w:hint="eastAsia" w:ascii="仿宋_GB2312" w:hAnsi="仿宋" w:eastAsia="仿宋_GB2312"/>
          <w:sz w:val="32"/>
          <w:szCs w:val="32"/>
          <w:lang w:val="en-US" w:eastAsia="zh-CN"/>
        </w:rPr>
        <w:t>2024年比2023年接待费减少0.105万元，减少52.5%。</w:t>
      </w:r>
    </w:p>
    <w:p w14:paraId="3B2E8A4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7A8755B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095</w:t>
      </w:r>
      <w:r>
        <w:rPr>
          <w:rFonts w:hint="eastAsia" w:ascii="仿宋_GB2312" w:hAnsi="仿宋_GB2312" w:eastAsia="仿宋_GB2312" w:cs="仿宋_GB2312"/>
          <w:color w:val="auto"/>
          <w:kern w:val="2"/>
          <w:sz w:val="32"/>
          <w:szCs w:val="32"/>
          <w:highlight w:val="none"/>
          <w:lang w:val="en-US" w:eastAsia="zh-CN" w:bidi="ar-SA"/>
        </w:rPr>
        <w:t>万元，占100%。具体情况如下：</w:t>
      </w:r>
    </w:p>
    <w:p w14:paraId="463DEB8E">
      <w:pPr>
        <w:jc w:val="center"/>
        <w:rPr>
          <w:rFonts w:hint="eastAsia" w:ascii="仿宋_GB2312" w:hAnsi="仿宋_GB2312" w:eastAsia="仿宋_GB2312" w:cs="仿宋_GB2312"/>
          <w:color w:val="auto"/>
          <w:kern w:val="2"/>
          <w:sz w:val="32"/>
          <w:szCs w:val="32"/>
          <w:highlight w:val="none"/>
          <w:lang w:val="en-US" w:eastAsia="zh-CN" w:bidi="ar-SA"/>
        </w:rPr>
      </w:pPr>
      <w:r>
        <w:drawing>
          <wp:inline distT="0" distB="0" distL="114300" distR="114300">
            <wp:extent cx="5183505" cy="2505710"/>
            <wp:effectExtent l="4445" t="4445" r="8890" b="19685"/>
            <wp:docPr id="358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BEBA45">
      <w:pPr>
        <w:pStyle w:val="36"/>
        <w:rPr>
          <w:rFonts w:hint="eastAsia"/>
          <w:lang w:val="en-US" w:eastAsia="zh-CN"/>
        </w:rPr>
      </w:pPr>
    </w:p>
    <w:p w14:paraId="3F70168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3550F698">
      <w:pPr>
        <w:pStyle w:val="2"/>
        <w:rPr>
          <w:rFonts w:hint="eastAsia"/>
          <w:lang w:val="en-US" w:eastAsia="zh-CN"/>
        </w:rPr>
      </w:pPr>
    </w:p>
    <w:p w14:paraId="4A429E9E">
      <w:pPr>
        <w:numPr>
          <w:ilvl w:val="0"/>
          <w:numId w:val="2"/>
        </w:numPr>
        <w:spacing w:line="600" w:lineRule="exact"/>
        <w:ind w:left="0" w:leftChars="0" w:firstLine="64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因公出国（境）经费支出0万元。全年安排因公出国（境）团组0次，出国（境）0人。</w:t>
      </w:r>
    </w:p>
    <w:p w14:paraId="78B0AF96">
      <w:pPr>
        <w:numPr>
          <w:ilvl w:val="0"/>
          <w:numId w:val="2"/>
        </w:numPr>
        <w:spacing w:line="600" w:lineRule="exact"/>
        <w:ind w:left="0" w:leftChars="0" w:firstLine="64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公务用车购置及运行维护费支出0万元，行政审批局无公务用车购置及运行维护费支出预算和决算。</w:t>
      </w:r>
    </w:p>
    <w:p w14:paraId="4DE128C1">
      <w:pPr>
        <w:numPr>
          <w:ilvl w:val="0"/>
          <w:numId w:val="2"/>
        </w:numPr>
        <w:spacing w:line="600" w:lineRule="exact"/>
        <w:ind w:left="0" w:leftChars="0" w:firstLine="64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公务接待费支出0.095万元，完成预算23.75%。公务接待费支出决算比2023年度减少</w:t>
      </w:r>
      <w:r>
        <w:rPr>
          <w:rFonts w:hint="eastAsia" w:eastAsia="仿宋_GB2312" w:cs="仿宋_GB2312"/>
          <w:color w:val="auto"/>
          <w:kern w:val="2"/>
          <w:sz w:val="32"/>
          <w:szCs w:val="32"/>
          <w:highlight w:val="none"/>
          <w:lang w:val="en-US" w:eastAsia="zh-CN" w:bidi="ar-SA"/>
        </w:rPr>
        <w:t>0.105</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52.5</w:t>
      </w:r>
      <w:r>
        <w:rPr>
          <w:rFonts w:hint="eastAsia" w:ascii="Times New Roman" w:hAnsi="Times New Roman" w:eastAsia="仿宋_GB2312" w:cs="仿宋_GB2312"/>
          <w:color w:val="auto"/>
          <w:kern w:val="2"/>
          <w:sz w:val="32"/>
          <w:szCs w:val="32"/>
          <w:highlight w:val="none"/>
          <w:lang w:val="en-US" w:eastAsia="zh-CN" w:bidi="ar-SA"/>
        </w:rPr>
        <w:t>%。主要原因是</w:t>
      </w:r>
      <w:r>
        <w:rPr>
          <w:rFonts w:ascii="仿宋_GB2312" w:hAnsi="仿宋" w:eastAsia="仿宋_GB2312"/>
          <w:sz w:val="32"/>
          <w:szCs w:val="32"/>
        </w:rPr>
        <w:t>进一步落实厉行节约相关规定，公务接待</w:t>
      </w:r>
      <w:r>
        <w:rPr>
          <w:rFonts w:hint="eastAsia" w:ascii="仿宋_GB2312" w:hAnsi="仿宋" w:eastAsia="仿宋_GB2312"/>
          <w:sz w:val="32"/>
          <w:szCs w:val="32"/>
          <w:lang w:val="en-US" w:eastAsia="zh-CN"/>
        </w:rPr>
        <w:t>减少</w:t>
      </w:r>
      <w:r>
        <w:rPr>
          <w:rFonts w:hint="eastAsia" w:ascii="Times New Roman" w:hAnsi="Times New Roman" w:eastAsia="仿宋_GB2312" w:cs="仿宋_GB2312"/>
          <w:color w:val="auto"/>
          <w:kern w:val="2"/>
          <w:sz w:val="32"/>
          <w:szCs w:val="32"/>
          <w:highlight w:val="none"/>
          <w:lang w:val="en-US" w:eastAsia="zh-CN" w:bidi="ar-SA"/>
        </w:rPr>
        <w:t>。其中：</w:t>
      </w:r>
    </w:p>
    <w:p w14:paraId="0DAB12D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095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元，主要用于开展业务活动开支的用餐费。国内公务接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8</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0.095</w:t>
      </w:r>
      <w:r>
        <w:rPr>
          <w:rFonts w:hint="eastAsia" w:ascii="Times New Roman" w:hAnsi="Times New Roman" w:eastAsia="仿宋_GB2312" w:cs="仿宋_GB2312"/>
          <w:color w:val="auto"/>
          <w:kern w:val="2"/>
          <w:sz w:val="32"/>
          <w:szCs w:val="32"/>
          <w:highlight w:val="none"/>
          <w:lang w:val="en-US" w:eastAsia="zh-CN" w:bidi="ar-SA"/>
        </w:rPr>
        <w:t>万元，具体内容包括：2024年1月5日乐山市营商环境服务管理局4人来沐川调研政务服务工作在金泰大酒店午餐共5人。</w:t>
      </w:r>
      <w:bookmarkStart w:id="40" w:name="_Toc15377218"/>
      <w:bookmarkStart w:id="41" w:name="_Toc15396610"/>
      <w:r>
        <w:rPr>
          <w:rFonts w:hint="eastAsia" w:ascii="Times New Roman" w:hAnsi="Times New Roman" w:eastAsia="仿宋_GB2312" w:cs="仿宋_GB2312"/>
          <w:color w:val="auto"/>
          <w:kern w:val="2"/>
          <w:sz w:val="32"/>
          <w:szCs w:val="32"/>
          <w:highlight w:val="none"/>
          <w:lang w:val="en-US" w:eastAsia="zh-CN" w:bidi="ar-SA"/>
        </w:rPr>
        <w:t>7月23日乐山市政务服务管理局来我县开展数字政务建设“一网通办”能力巩固提升，落实</w:t>
      </w:r>
    </w:p>
    <w:p w14:paraId="13A667F7">
      <w:pPr>
        <w:spacing w:line="600" w:lineRule="exact"/>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“高效办成一件事”接待4人陪同1人在三才大酒店午餐。</w:t>
      </w:r>
    </w:p>
    <w:p w14:paraId="0C4D8F7E">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0"/>
      <w:bookmarkEnd w:id="41"/>
    </w:p>
    <w:p w14:paraId="6A632B1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2.81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0.42</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eastAsia="仿宋_GB2312" w:cs="仿宋_GB2312"/>
          <w:color w:val="auto"/>
          <w:kern w:val="2"/>
          <w:sz w:val="32"/>
          <w:szCs w:val="32"/>
          <w:highlight w:val="none"/>
          <w:lang w:val="en-US" w:eastAsia="zh-CN" w:bidi="ar-SA"/>
        </w:rPr>
        <w:t>2.81</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当年办公楼顶漏水增加维修基金用于办公用房维修。</w:t>
      </w:r>
    </w:p>
    <w:p w14:paraId="62182196">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2" w:name="_Toc15396611"/>
      <w:bookmarkStart w:id="43"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2"/>
      <w:bookmarkEnd w:id="43"/>
    </w:p>
    <w:p w14:paraId="41490A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eastAsia="仿宋_GB2312" w:cs="仿宋_GB2312"/>
          <w:color w:val="auto"/>
          <w:kern w:val="2"/>
          <w:sz w:val="32"/>
          <w:szCs w:val="32"/>
          <w:highlight w:val="none"/>
          <w:lang w:val="en-US" w:eastAsia="zh-CN" w:bidi="ar-SA"/>
        </w:rPr>
        <w:t>沐川县行政审批局</w:t>
      </w:r>
      <w:r>
        <w:rPr>
          <w:rFonts w:hint="eastAsia" w:ascii="Times New Roman" w:hAnsi="Times New Roman" w:eastAsia="仿宋_GB2312" w:cs="仿宋_GB2312"/>
          <w:color w:val="auto"/>
          <w:kern w:val="2"/>
          <w:sz w:val="32"/>
          <w:szCs w:val="32"/>
          <w:highlight w:val="none"/>
          <w:lang w:val="en-US" w:eastAsia="zh-CN" w:bidi="ar-SA"/>
        </w:rPr>
        <w:t>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70B29041">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4" w:name="_Toc15396612"/>
      <w:bookmarkStart w:id="45"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4"/>
      <w:bookmarkEnd w:id="45"/>
    </w:p>
    <w:p w14:paraId="5FA9531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564C36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沐川县行政审批局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51.88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w:t>
      </w:r>
      <w:r>
        <w:rPr>
          <w:rFonts w:hint="eastAsia" w:eastAsia="仿宋_GB2312" w:cs="仿宋_GB2312"/>
          <w:color w:val="auto"/>
          <w:kern w:val="2"/>
          <w:sz w:val="32"/>
          <w:szCs w:val="32"/>
          <w:highlight w:val="none"/>
          <w:lang w:val="en-US" w:eastAsia="zh-CN" w:bidi="ar-SA"/>
        </w:rPr>
        <w:t>54.94万元</w:t>
      </w:r>
      <w:r>
        <w:rPr>
          <w:rFonts w:hint="eastAsia" w:ascii="Times New Roman" w:hAnsi="Times New Roman" w:eastAsia="仿宋_GB2312" w:cs="仿宋_GB2312"/>
          <w:color w:val="auto"/>
          <w:kern w:val="2"/>
          <w:sz w:val="32"/>
          <w:szCs w:val="32"/>
          <w:highlight w:val="none"/>
          <w:lang w:val="en-US" w:eastAsia="zh-CN" w:bidi="ar-SA"/>
        </w:rPr>
        <w:t>减少</w:t>
      </w:r>
      <w:r>
        <w:rPr>
          <w:rFonts w:hint="eastAsia" w:eastAsia="仿宋_GB2312" w:cs="仿宋_GB2312"/>
          <w:color w:val="auto"/>
          <w:kern w:val="2"/>
          <w:sz w:val="32"/>
          <w:szCs w:val="32"/>
          <w:highlight w:val="none"/>
          <w:lang w:val="en-US" w:eastAsia="zh-CN" w:bidi="ar-SA"/>
        </w:rPr>
        <w:t>3.07</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5.92</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hAnsi="仿宋" w:eastAsia="仿宋_GB2312" w:cs="Times New Roman"/>
          <w:sz w:val="32"/>
          <w:szCs w:val="32"/>
          <w:highlight w:val="none"/>
          <w:lang w:val="en-US" w:eastAsia="zh-CN"/>
        </w:rPr>
        <w:t>单位落实厉行节约相关规定，支出减少。</w:t>
      </w:r>
    </w:p>
    <w:p w14:paraId="308B587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1CBA817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沐川县行政审批局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2A24734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73D8B0E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沐川县行政审批局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辆。沐川县行政审批局没有单价100万元（含）以上设备（不含车辆）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19F356D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6726F8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行政审批局</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税务办税服务厅房屋租赁费用、行政审批技术评审费、政务服务中心楼顶维修、四川政务服务网沐川分站点、一网通办区县移动端分站点</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3FA975F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行政审批局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政务服务中心楼顶维修</w:t>
      </w:r>
      <w:r>
        <w:rPr>
          <w:rFonts w:hint="eastAsia" w:ascii="Times New Roman" w:hAnsi="Times New Roman" w:eastAsia="仿宋_GB2312" w:cs="仿宋_GB2312"/>
          <w:color w:val="auto"/>
          <w:kern w:val="2"/>
          <w:sz w:val="32"/>
          <w:szCs w:val="32"/>
          <w:highlight w:val="none"/>
          <w:lang w:val="en-US" w:eastAsia="zh-CN" w:bidi="ar-SA"/>
        </w:rPr>
        <w:t>等专项预算项目绩效自评报告，其中，</w:t>
      </w:r>
      <w:r>
        <w:rPr>
          <w:rFonts w:hint="eastAsia" w:eastAsia="仿宋_GB2312" w:cs="仿宋_GB2312"/>
          <w:color w:val="auto"/>
          <w:kern w:val="2"/>
          <w:sz w:val="32"/>
          <w:szCs w:val="32"/>
          <w:highlight w:val="none"/>
          <w:lang w:val="en-US" w:eastAsia="zh-CN" w:bidi="ar-SA"/>
        </w:rPr>
        <w:t>行政审批局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97</w:t>
      </w:r>
      <w:r>
        <w:rPr>
          <w:rFonts w:hint="eastAsia" w:ascii="Times New Roman" w:hAnsi="Times New Roman" w:eastAsia="仿宋_GB2312" w:cs="仿宋_GB2312"/>
          <w:color w:val="auto"/>
          <w:kern w:val="2"/>
          <w:sz w:val="32"/>
          <w:szCs w:val="32"/>
          <w:highlight w:val="none"/>
          <w:lang w:val="en-US" w:eastAsia="zh-CN" w:bidi="ar-SA"/>
        </w:rPr>
        <w:t>分，绩效自评综述单位整体支出绩效目标与法律法规、部门职责、中长期规划相符，目标任务合理可行。预算测算依据充分，支出预决算偏差度较小，绩效监控管理较严格。执收非税收入符合相关规定并上缴及时，资产管理规范，内控制度健全并执行有效，相关信息公开及时。任务指标完成情况较好，可持续发展能力提升明显，协作部门、管理对象和社会公众基本满意。绩效自评报告详见附件。</w:t>
      </w:r>
    </w:p>
    <w:p w14:paraId="5AE88688">
      <w:pPr>
        <w:pStyle w:val="36"/>
        <w:rPr>
          <w:rFonts w:hint="eastAsia" w:ascii="Times New Roman" w:hAnsi="Times New Roman" w:eastAsia="仿宋_GB2312" w:cs="仿宋_GB2312"/>
          <w:color w:val="auto"/>
          <w:kern w:val="2"/>
          <w:sz w:val="32"/>
          <w:szCs w:val="32"/>
          <w:highlight w:val="none"/>
          <w:lang w:val="en-US" w:eastAsia="zh-CN" w:bidi="ar-SA"/>
        </w:rPr>
      </w:pPr>
    </w:p>
    <w:p w14:paraId="59B3F629">
      <w:pPr>
        <w:rPr>
          <w:rFonts w:hint="eastAsia" w:ascii="Times New Roman" w:hAnsi="Times New Roman" w:eastAsia="仿宋_GB2312" w:cs="仿宋_GB2312"/>
          <w:color w:val="auto"/>
          <w:kern w:val="2"/>
          <w:sz w:val="32"/>
          <w:szCs w:val="32"/>
          <w:highlight w:val="none"/>
          <w:lang w:val="en-US" w:eastAsia="zh-CN" w:bidi="ar-SA"/>
        </w:rPr>
      </w:pPr>
    </w:p>
    <w:p w14:paraId="598192D3">
      <w:pPr>
        <w:pStyle w:val="36"/>
        <w:rPr>
          <w:rFonts w:hint="eastAsia" w:ascii="Times New Roman" w:hAnsi="Times New Roman" w:eastAsia="仿宋_GB2312" w:cs="仿宋_GB2312"/>
          <w:color w:val="auto"/>
          <w:kern w:val="2"/>
          <w:sz w:val="32"/>
          <w:szCs w:val="32"/>
          <w:highlight w:val="none"/>
          <w:lang w:val="en-US" w:eastAsia="zh-CN" w:bidi="ar-SA"/>
        </w:rPr>
      </w:pPr>
    </w:p>
    <w:p w14:paraId="6AF4F227">
      <w:pPr>
        <w:rPr>
          <w:rFonts w:hint="eastAsia" w:ascii="Times New Roman" w:hAnsi="Times New Roman" w:eastAsia="仿宋_GB2312" w:cs="仿宋_GB2312"/>
          <w:color w:val="auto"/>
          <w:kern w:val="2"/>
          <w:sz w:val="32"/>
          <w:szCs w:val="32"/>
          <w:highlight w:val="none"/>
          <w:lang w:val="en-US" w:eastAsia="zh-CN" w:bidi="ar-SA"/>
        </w:rPr>
      </w:pPr>
    </w:p>
    <w:p w14:paraId="221A3A9A">
      <w:pPr>
        <w:pStyle w:val="36"/>
        <w:rPr>
          <w:rFonts w:hint="eastAsia" w:ascii="Times New Roman" w:hAnsi="Times New Roman" w:eastAsia="仿宋_GB2312" w:cs="仿宋_GB2312"/>
          <w:color w:val="auto"/>
          <w:kern w:val="2"/>
          <w:sz w:val="32"/>
          <w:szCs w:val="32"/>
          <w:highlight w:val="none"/>
          <w:lang w:val="en-US" w:eastAsia="zh-CN" w:bidi="ar-SA"/>
        </w:rPr>
      </w:pPr>
    </w:p>
    <w:p w14:paraId="4EAA64EA">
      <w:pPr>
        <w:rPr>
          <w:rFonts w:hint="eastAsia" w:ascii="Times New Roman" w:hAnsi="Times New Roman" w:eastAsia="仿宋_GB2312" w:cs="仿宋_GB2312"/>
          <w:color w:val="auto"/>
          <w:kern w:val="2"/>
          <w:sz w:val="32"/>
          <w:szCs w:val="32"/>
          <w:highlight w:val="none"/>
          <w:lang w:val="en-US" w:eastAsia="zh-CN" w:bidi="ar-SA"/>
        </w:rPr>
      </w:pPr>
    </w:p>
    <w:p w14:paraId="132F1326">
      <w:pPr>
        <w:pStyle w:val="36"/>
        <w:rPr>
          <w:rFonts w:hint="eastAsia" w:ascii="Times New Roman" w:hAnsi="Times New Roman" w:eastAsia="仿宋_GB2312" w:cs="仿宋_GB2312"/>
          <w:color w:val="auto"/>
          <w:kern w:val="2"/>
          <w:sz w:val="32"/>
          <w:szCs w:val="32"/>
          <w:highlight w:val="none"/>
          <w:lang w:val="en-US" w:eastAsia="zh-CN" w:bidi="ar-SA"/>
        </w:rPr>
      </w:pPr>
    </w:p>
    <w:p w14:paraId="74810669">
      <w:pPr>
        <w:rPr>
          <w:rFonts w:hint="eastAsia" w:ascii="Times New Roman" w:hAnsi="Times New Roman" w:eastAsia="仿宋_GB2312" w:cs="仿宋_GB2312"/>
          <w:color w:val="auto"/>
          <w:kern w:val="2"/>
          <w:sz w:val="32"/>
          <w:szCs w:val="32"/>
          <w:highlight w:val="none"/>
          <w:lang w:val="en-US" w:eastAsia="zh-CN" w:bidi="ar-SA"/>
        </w:rPr>
      </w:pPr>
    </w:p>
    <w:p w14:paraId="1C8DA959">
      <w:pPr>
        <w:pStyle w:val="36"/>
        <w:rPr>
          <w:rFonts w:hint="eastAsia" w:ascii="Times New Roman" w:hAnsi="Times New Roman" w:eastAsia="仿宋_GB2312" w:cs="仿宋_GB2312"/>
          <w:color w:val="auto"/>
          <w:kern w:val="2"/>
          <w:sz w:val="32"/>
          <w:szCs w:val="32"/>
          <w:highlight w:val="none"/>
          <w:lang w:val="en-US" w:eastAsia="zh-CN" w:bidi="ar-SA"/>
        </w:rPr>
      </w:pPr>
    </w:p>
    <w:p w14:paraId="16299E6E">
      <w:pPr>
        <w:rPr>
          <w:rFonts w:hint="eastAsia"/>
          <w:lang w:val="en-US" w:eastAsia="zh-CN"/>
        </w:rPr>
      </w:pPr>
    </w:p>
    <w:p w14:paraId="39338C9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F5671BF">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77225"/>
      <w:bookmarkStart w:id="50" w:name="_Toc15396613"/>
    </w:p>
    <w:p w14:paraId="204F2E1B">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14:paraId="71075726">
      <w:pPr>
        <w:spacing w:line="600" w:lineRule="exact"/>
        <w:jc w:val="left"/>
        <w:rPr>
          <w:rFonts w:ascii="Times New Roman" w:hAnsi="Times New Roman"/>
          <w:b/>
          <w:color w:val="auto"/>
          <w:sz w:val="44"/>
          <w:szCs w:val="44"/>
          <w:highlight w:val="none"/>
        </w:rPr>
      </w:pPr>
    </w:p>
    <w:p w14:paraId="2FA8FCD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1.财政拨款收入：指单位从同级财政部门取得的财政预算资金。 </w:t>
      </w:r>
    </w:p>
    <w:p w14:paraId="14E240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 xml:space="preserve">.年初结转和结余：指以前年度尚未完成、结转到本年按有关规定继续使用的资金。 </w:t>
      </w:r>
    </w:p>
    <w:p w14:paraId="164AEE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14:paraId="44B8A70A">
      <w:pPr>
        <w:ind w:firstLine="640" w:firstLineChars="200"/>
        <w:rPr>
          <w:rFonts w:hint="eastAsia" w:ascii="仿宋" w:hAnsi="仿宋" w:eastAsia="仿宋"/>
          <w:sz w:val="32"/>
          <w:szCs w:val="32"/>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Style w:val="18"/>
          <w:rFonts w:hint="eastAsia" w:ascii="仿宋" w:hAnsi="仿宋" w:eastAsia="仿宋"/>
          <w:b w:val="0"/>
          <w:bCs w:val="0"/>
          <w:color w:val="auto"/>
          <w:sz w:val="32"/>
          <w:szCs w:val="32"/>
          <w:highlight w:val="none"/>
        </w:rPr>
        <w:t>一般公共服务</w:t>
      </w:r>
      <w:r>
        <w:rPr>
          <w:rStyle w:val="18"/>
          <w:rFonts w:hint="eastAsia" w:ascii="仿宋" w:hAnsi="仿宋" w:eastAsia="仿宋"/>
          <w:b w:val="0"/>
          <w:bCs w:val="0"/>
          <w:color w:val="auto"/>
          <w:sz w:val="32"/>
          <w:szCs w:val="32"/>
          <w:highlight w:val="none"/>
          <w:lang w:val="en-US" w:eastAsia="zh-CN"/>
        </w:rPr>
        <w:t>支出</w:t>
      </w:r>
      <w:r>
        <w:rPr>
          <w:rStyle w:val="18"/>
          <w:rFonts w:hint="eastAsia" w:ascii="仿宋" w:hAnsi="仿宋" w:eastAsia="仿宋"/>
          <w:b w:val="0"/>
          <w:bCs w:val="0"/>
          <w:color w:val="auto"/>
          <w:sz w:val="32"/>
          <w:szCs w:val="32"/>
          <w:highlight w:val="none"/>
        </w:rPr>
        <w:t>（类）</w:t>
      </w:r>
      <w:r>
        <w:rPr>
          <w:rStyle w:val="18"/>
          <w:rFonts w:hint="eastAsia" w:ascii="仿宋" w:hAnsi="仿宋" w:eastAsia="仿宋"/>
          <w:b w:val="0"/>
          <w:bCs w:val="0"/>
          <w:sz w:val="32"/>
          <w:szCs w:val="32"/>
        </w:rPr>
        <w:t>政府办公厅（室）及相关机构事务（款）</w:t>
      </w:r>
      <w:r>
        <w:rPr>
          <w:rFonts w:hint="eastAsia" w:ascii="仿宋" w:hAnsi="仿宋" w:eastAsia="仿宋"/>
          <w:b w:val="0"/>
          <w:bCs w:val="0"/>
          <w:color w:val="auto"/>
          <w:sz w:val="32"/>
          <w:szCs w:val="32"/>
          <w:highlight w:val="none"/>
        </w:rPr>
        <w:t>行政运行（项）</w:t>
      </w:r>
      <w:r>
        <w:rPr>
          <w:rFonts w:hint="eastAsia" w:ascii="仿宋" w:hAnsi="仿宋" w:eastAsia="仿宋"/>
          <w:b w:val="0"/>
          <w:bCs w:val="0"/>
          <w:color w:val="auto"/>
          <w:sz w:val="32"/>
          <w:szCs w:val="32"/>
          <w:highlight w:val="none"/>
          <w:lang w:val="en-US" w:eastAsia="zh-CN"/>
        </w:rPr>
        <w:t>:反应行政单位（包括实行</w:t>
      </w:r>
      <w:r>
        <w:rPr>
          <w:rFonts w:hint="eastAsia" w:ascii="仿宋" w:hAnsi="仿宋" w:eastAsia="仿宋"/>
          <w:color w:val="auto"/>
          <w:sz w:val="32"/>
          <w:szCs w:val="32"/>
          <w:highlight w:val="none"/>
          <w:lang w:val="en-US" w:eastAsia="zh-CN"/>
        </w:rPr>
        <w:t>公务员管理的事业单位）的基本支出</w:t>
      </w:r>
      <w:r>
        <w:rPr>
          <w:rFonts w:hint="eastAsia" w:ascii="仿宋" w:hAnsi="仿宋" w:eastAsia="仿宋"/>
          <w:sz w:val="32"/>
          <w:szCs w:val="32"/>
        </w:rPr>
        <w:t>。</w:t>
      </w:r>
    </w:p>
    <w:p w14:paraId="5644E386">
      <w:pPr>
        <w:ind w:firstLine="640" w:firstLineChars="200"/>
        <w:rPr>
          <w:rFonts w:hint="eastAsia" w:ascii="仿宋" w:hAnsi="仿宋" w:eastAsia="仿宋"/>
          <w:sz w:val="32"/>
          <w:szCs w:val="32"/>
        </w:rPr>
      </w:pP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 xml:space="preserve"> </w:t>
      </w:r>
      <w:r>
        <w:rPr>
          <w:rStyle w:val="18"/>
          <w:rFonts w:hint="eastAsia" w:ascii="仿宋" w:hAnsi="仿宋" w:eastAsia="仿宋"/>
          <w:b w:val="0"/>
          <w:bCs w:val="0"/>
          <w:color w:val="auto"/>
          <w:sz w:val="32"/>
          <w:szCs w:val="32"/>
          <w:highlight w:val="none"/>
        </w:rPr>
        <w:t>一般公共服务</w:t>
      </w:r>
      <w:r>
        <w:rPr>
          <w:rStyle w:val="18"/>
          <w:rFonts w:hint="eastAsia" w:ascii="仿宋" w:hAnsi="仿宋" w:eastAsia="仿宋"/>
          <w:b w:val="0"/>
          <w:bCs w:val="0"/>
          <w:color w:val="auto"/>
          <w:sz w:val="32"/>
          <w:szCs w:val="32"/>
          <w:highlight w:val="none"/>
          <w:lang w:val="en-US" w:eastAsia="zh-CN"/>
        </w:rPr>
        <w:t>支出</w:t>
      </w:r>
      <w:r>
        <w:rPr>
          <w:rStyle w:val="18"/>
          <w:rFonts w:hint="eastAsia" w:ascii="仿宋" w:hAnsi="仿宋" w:eastAsia="仿宋"/>
          <w:b w:val="0"/>
          <w:bCs w:val="0"/>
          <w:color w:val="auto"/>
          <w:sz w:val="32"/>
          <w:szCs w:val="32"/>
          <w:highlight w:val="none"/>
        </w:rPr>
        <w:t>（类）</w:t>
      </w:r>
      <w:r>
        <w:rPr>
          <w:rStyle w:val="18"/>
          <w:rFonts w:hint="eastAsia" w:ascii="仿宋" w:hAnsi="仿宋" w:eastAsia="仿宋"/>
          <w:b w:val="0"/>
          <w:bCs w:val="0"/>
          <w:sz w:val="32"/>
          <w:szCs w:val="32"/>
        </w:rPr>
        <w:t>政府办公厅（室）及相关机构事务（款）</w:t>
      </w:r>
      <w:r>
        <w:rPr>
          <w:rFonts w:hint="eastAsia" w:ascii="仿宋" w:hAnsi="仿宋" w:eastAsia="仿宋"/>
          <w:color w:val="auto"/>
          <w:sz w:val="32"/>
          <w:szCs w:val="32"/>
          <w:highlight w:val="none"/>
        </w:rPr>
        <w:t>一般行政管理事务（项）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指保障行政审批局机关、下属事业单位等机构正常运转的日常开支等</w:t>
      </w:r>
      <w:r>
        <w:rPr>
          <w:rFonts w:hint="eastAsia" w:ascii="仿宋" w:hAnsi="仿宋" w:eastAsia="仿宋"/>
          <w:sz w:val="32"/>
          <w:szCs w:val="32"/>
        </w:rPr>
        <w:t>。</w:t>
      </w:r>
    </w:p>
    <w:p w14:paraId="110EC6A8">
      <w:pPr>
        <w:ind w:firstLine="640" w:firstLineChars="200"/>
        <w:rPr>
          <w:rFonts w:hint="eastAsia" w:ascii="仿宋" w:hAnsi="仿宋" w:eastAsia="仿宋"/>
          <w:sz w:val="32"/>
          <w:szCs w:val="32"/>
          <w:lang w:val="en-US" w:eastAsia="zh-CN"/>
        </w:rPr>
      </w:pP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 xml:space="preserve"> </w:t>
      </w:r>
      <w:r>
        <w:rPr>
          <w:rStyle w:val="18"/>
          <w:rFonts w:hint="eastAsia" w:ascii="仿宋" w:hAnsi="仿宋" w:eastAsia="仿宋"/>
          <w:b w:val="0"/>
          <w:bCs w:val="0"/>
          <w:color w:val="auto"/>
          <w:sz w:val="32"/>
          <w:szCs w:val="32"/>
          <w:highlight w:val="none"/>
        </w:rPr>
        <w:t>一般公共服务</w:t>
      </w:r>
      <w:r>
        <w:rPr>
          <w:rStyle w:val="18"/>
          <w:rFonts w:hint="eastAsia" w:ascii="仿宋" w:hAnsi="仿宋" w:eastAsia="仿宋"/>
          <w:b w:val="0"/>
          <w:bCs w:val="0"/>
          <w:color w:val="auto"/>
          <w:sz w:val="32"/>
          <w:szCs w:val="32"/>
          <w:highlight w:val="none"/>
          <w:lang w:val="en-US" w:eastAsia="zh-CN"/>
        </w:rPr>
        <w:t>支出</w:t>
      </w:r>
      <w:r>
        <w:rPr>
          <w:rStyle w:val="18"/>
          <w:rFonts w:hint="eastAsia" w:ascii="仿宋" w:hAnsi="仿宋" w:eastAsia="仿宋"/>
          <w:b w:val="0"/>
          <w:bCs w:val="0"/>
          <w:color w:val="auto"/>
          <w:sz w:val="32"/>
          <w:szCs w:val="32"/>
          <w:highlight w:val="none"/>
        </w:rPr>
        <w:t>（类）</w:t>
      </w:r>
      <w:r>
        <w:rPr>
          <w:rStyle w:val="18"/>
          <w:rFonts w:hint="eastAsia" w:ascii="仿宋" w:hAnsi="仿宋" w:eastAsia="仿宋"/>
          <w:b w:val="0"/>
          <w:bCs w:val="0"/>
          <w:sz w:val="32"/>
          <w:szCs w:val="32"/>
        </w:rPr>
        <w:t>政府办公厅（室）及相关机构事务（款）</w:t>
      </w:r>
      <w:r>
        <w:rPr>
          <w:rFonts w:hint="eastAsia" w:ascii="仿宋" w:hAnsi="仿宋" w:eastAsia="仿宋"/>
          <w:color w:val="auto"/>
          <w:sz w:val="32"/>
          <w:szCs w:val="32"/>
          <w:highlight w:val="none"/>
        </w:rPr>
        <w:t>事业运行（项）</w:t>
      </w:r>
      <w:r>
        <w:rPr>
          <w:rFonts w:hint="eastAsia" w:ascii="仿宋" w:hAnsi="仿宋" w:eastAsia="仿宋"/>
          <w:color w:val="auto"/>
          <w:sz w:val="32"/>
          <w:szCs w:val="32"/>
          <w:highlight w:val="none"/>
          <w:lang w:eastAsia="zh-CN"/>
        </w:rPr>
        <w:t>：</w:t>
      </w:r>
      <w:r>
        <w:rPr>
          <w:rFonts w:hint="eastAsia" w:ascii="仿宋" w:hAnsi="仿宋" w:eastAsia="仿宋"/>
          <w:b w:val="0"/>
          <w:bCs w:val="0"/>
          <w:color w:val="auto"/>
          <w:sz w:val="32"/>
          <w:szCs w:val="32"/>
          <w:highlight w:val="none"/>
          <w:lang w:val="en-US" w:eastAsia="zh-CN"/>
        </w:rPr>
        <w:t>反应事业单位</w:t>
      </w:r>
      <w:r>
        <w:rPr>
          <w:rFonts w:hint="eastAsia" w:ascii="仿宋" w:hAnsi="仿宋" w:eastAsia="仿宋"/>
          <w:color w:val="auto"/>
          <w:sz w:val="32"/>
          <w:szCs w:val="32"/>
          <w:highlight w:val="none"/>
          <w:lang w:val="en-US" w:eastAsia="zh-CN"/>
        </w:rPr>
        <w:t>的基本支出</w:t>
      </w:r>
      <w:r>
        <w:rPr>
          <w:rFonts w:hint="eastAsia" w:ascii="仿宋" w:hAnsi="仿宋" w:eastAsia="仿宋"/>
          <w:sz w:val="32"/>
          <w:szCs w:val="32"/>
        </w:rPr>
        <w:t>。</w:t>
      </w:r>
      <w:r>
        <w:rPr>
          <w:rFonts w:hint="eastAsia" w:ascii="仿宋" w:hAnsi="仿宋" w:eastAsia="仿宋"/>
          <w:sz w:val="32"/>
          <w:szCs w:val="32"/>
          <w:lang w:val="en-US" w:eastAsia="zh-CN"/>
        </w:rPr>
        <w:t xml:space="preserve"> </w:t>
      </w:r>
    </w:p>
    <w:p w14:paraId="235293DC">
      <w:pPr>
        <w:ind w:firstLine="640" w:firstLineChars="200"/>
        <w:jc w:val="left"/>
        <w:rPr>
          <w:rFonts w:hint="eastAsia" w:ascii="仿宋" w:hAnsi="仿宋" w:eastAsia="仿宋"/>
          <w:sz w:val="32"/>
          <w:szCs w:val="32"/>
        </w:rPr>
      </w:pPr>
      <w:r>
        <w:rPr>
          <w:rFonts w:hint="eastAsia" w:ascii="仿宋" w:hAnsi="仿宋" w:eastAsia="仿宋"/>
          <w:sz w:val="32"/>
          <w:szCs w:val="32"/>
          <w:lang w:val="en-US" w:eastAsia="zh-CN"/>
        </w:rPr>
        <w:t>6.</w:t>
      </w:r>
      <w:r>
        <w:rPr>
          <w:rStyle w:val="18"/>
          <w:rFonts w:hint="eastAsia" w:ascii="仿宋" w:hAnsi="仿宋" w:eastAsia="仿宋"/>
          <w:b w:val="0"/>
          <w:bCs w:val="0"/>
          <w:color w:val="auto"/>
          <w:sz w:val="32"/>
          <w:szCs w:val="32"/>
          <w:highlight w:val="none"/>
        </w:rPr>
        <w:t>一般公共服务</w:t>
      </w:r>
      <w:r>
        <w:rPr>
          <w:rStyle w:val="18"/>
          <w:rFonts w:hint="eastAsia" w:ascii="仿宋" w:hAnsi="仿宋" w:eastAsia="仿宋"/>
          <w:b w:val="0"/>
          <w:bCs w:val="0"/>
          <w:color w:val="auto"/>
          <w:sz w:val="32"/>
          <w:szCs w:val="32"/>
          <w:highlight w:val="none"/>
          <w:lang w:val="en-US" w:eastAsia="zh-CN"/>
        </w:rPr>
        <w:t>支出</w:t>
      </w:r>
      <w:r>
        <w:rPr>
          <w:rStyle w:val="18"/>
          <w:rFonts w:hint="eastAsia" w:ascii="仿宋" w:hAnsi="仿宋" w:eastAsia="仿宋"/>
          <w:b w:val="0"/>
          <w:bCs w:val="0"/>
          <w:color w:val="auto"/>
          <w:sz w:val="32"/>
          <w:szCs w:val="32"/>
          <w:highlight w:val="none"/>
        </w:rPr>
        <w:t>（类）</w:t>
      </w:r>
      <w:r>
        <w:rPr>
          <w:rFonts w:hint="eastAsia" w:ascii="仿宋" w:hAnsi="仿宋" w:eastAsia="仿宋"/>
          <w:color w:val="auto"/>
          <w:sz w:val="32"/>
          <w:szCs w:val="32"/>
          <w:highlight w:val="none"/>
        </w:rPr>
        <w:t>其他政府办公厅（室）及相关机构事务支出（项）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指代</w:t>
      </w:r>
      <w:r>
        <w:rPr>
          <w:rFonts w:hint="eastAsia" w:ascii="仿宋_GB2312" w:eastAsia="仿宋_GB2312"/>
          <w:sz w:val="32"/>
          <w:szCs w:val="32"/>
          <w:lang w:val="en-US" w:eastAsia="zh-CN"/>
        </w:rPr>
        <w:t>税务办税服务厅支付的房屋租赁费用和行政审批技术评审费</w:t>
      </w:r>
      <w:r>
        <w:rPr>
          <w:rFonts w:hint="eastAsia" w:ascii="仿宋" w:hAnsi="仿宋" w:eastAsia="仿宋"/>
          <w:sz w:val="32"/>
          <w:szCs w:val="32"/>
        </w:rPr>
        <w:t>。</w:t>
      </w:r>
    </w:p>
    <w:p w14:paraId="778CBCB3">
      <w:pPr>
        <w:ind w:firstLine="640" w:firstLineChars="200"/>
        <w:rPr>
          <w:rFonts w:hint="eastAsia" w:ascii="仿宋" w:hAnsi="仿宋" w:eastAsia="仿宋"/>
          <w:color w:val="000000"/>
        </w:rPr>
      </w:pP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.社会保障和就业支出（类）行政事业单位养老支出（款）机关事业单位基本养老保险缴费支出（项）：指</w:t>
      </w:r>
      <w:r>
        <w:rPr>
          <w:rFonts w:hint="eastAsia" w:ascii="仿宋_GB2312" w:hAnsi="仿宋" w:eastAsia="仿宋_GB2312"/>
          <w:color w:val="000000"/>
          <w:sz w:val="32"/>
          <w:szCs w:val="32"/>
          <w:lang w:val="en-US" w:eastAsia="zh-CN"/>
        </w:rPr>
        <w:t>行政审批局</w:t>
      </w:r>
      <w:r>
        <w:rPr>
          <w:rFonts w:hint="eastAsia" w:ascii="仿宋_GB2312" w:hAnsi="仿宋" w:eastAsia="仿宋_GB2312"/>
          <w:color w:val="000000"/>
          <w:sz w:val="32"/>
          <w:szCs w:val="32"/>
        </w:rPr>
        <w:t>机关</w:t>
      </w:r>
      <w:r>
        <w:rPr>
          <w:rFonts w:hint="eastAsia" w:ascii="仿宋_GB2312" w:hAnsi="仿宋" w:eastAsia="仿宋_GB2312"/>
          <w:color w:val="000000"/>
          <w:sz w:val="32"/>
          <w:szCs w:val="32"/>
          <w:lang w:val="en-US" w:eastAsia="zh-CN"/>
        </w:rPr>
        <w:t>及下属</w:t>
      </w:r>
      <w:r>
        <w:rPr>
          <w:rFonts w:hint="eastAsia" w:ascii="仿宋_GB2312" w:hAnsi="仿宋" w:eastAsia="仿宋_GB2312"/>
          <w:color w:val="000000"/>
          <w:sz w:val="32"/>
          <w:szCs w:val="32"/>
        </w:rPr>
        <w:t>事业单位</w:t>
      </w:r>
      <w:r>
        <w:rPr>
          <w:rFonts w:hint="eastAsia" w:ascii="仿宋_GB2312" w:hAnsi="仿宋" w:eastAsia="仿宋_GB2312"/>
          <w:color w:val="000000"/>
          <w:sz w:val="32"/>
          <w:szCs w:val="32"/>
          <w:lang w:val="en-US" w:eastAsia="zh-CN"/>
        </w:rPr>
        <w:t>按照规定标准为职工</w:t>
      </w:r>
      <w:r>
        <w:rPr>
          <w:rFonts w:hint="eastAsia" w:ascii="仿宋_GB2312" w:hAnsi="仿宋" w:eastAsia="仿宋_GB2312"/>
          <w:color w:val="000000"/>
          <w:sz w:val="32"/>
          <w:szCs w:val="32"/>
        </w:rPr>
        <w:t>缴纳的基本养老保险费</w:t>
      </w:r>
      <w:r>
        <w:rPr>
          <w:rFonts w:hint="eastAsia" w:ascii="仿宋_GB2312" w:hAnsi="仿宋" w:eastAsia="仿宋_GB2312"/>
          <w:color w:val="000000"/>
          <w:sz w:val="32"/>
          <w:szCs w:val="32"/>
          <w:lang w:val="en-US" w:eastAsia="zh-CN"/>
        </w:rPr>
        <w:t>等</w:t>
      </w:r>
      <w:r>
        <w:rPr>
          <w:rFonts w:hint="eastAsia" w:ascii="仿宋_GB2312" w:hAnsi="仿宋" w:eastAsia="仿宋_GB2312"/>
          <w:color w:val="000000"/>
          <w:sz w:val="32"/>
          <w:szCs w:val="32"/>
        </w:rPr>
        <w:t>支出。</w:t>
      </w:r>
    </w:p>
    <w:p w14:paraId="5DF05E4A">
      <w:pPr>
        <w:pStyle w:val="15"/>
        <w:shd w:val="clear" w:color="auto" w:fill="FFFFFF"/>
        <w:spacing w:before="0" w:beforeAutospacing="0" w:after="0" w:afterAutospacing="0" w:line="600" w:lineRule="atLeast"/>
        <w:ind w:firstLine="640"/>
        <w:rPr>
          <w:rFonts w:hint="eastAsia" w:ascii="仿宋" w:hAnsi="仿宋" w:eastAsia="仿宋"/>
          <w:color w:val="000000"/>
        </w:rPr>
      </w:pP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.社会保障和就业支出（类）行政事业单位养老支出（款）机关事业单位职业年金缴费支出（项）：指</w:t>
      </w:r>
      <w:r>
        <w:rPr>
          <w:rFonts w:hint="eastAsia" w:ascii="仿宋_GB2312" w:hAnsi="仿宋" w:eastAsia="仿宋_GB2312"/>
          <w:color w:val="000000"/>
          <w:sz w:val="32"/>
          <w:szCs w:val="32"/>
          <w:lang w:val="en-US" w:eastAsia="zh-CN"/>
        </w:rPr>
        <w:t>行政审批局</w:t>
      </w:r>
      <w:r>
        <w:rPr>
          <w:rFonts w:hint="eastAsia" w:ascii="仿宋_GB2312" w:hAnsi="仿宋" w:eastAsia="仿宋_GB2312"/>
          <w:color w:val="000000"/>
          <w:sz w:val="32"/>
          <w:szCs w:val="32"/>
        </w:rPr>
        <w:t>机关</w:t>
      </w:r>
      <w:r>
        <w:rPr>
          <w:rFonts w:hint="eastAsia" w:ascii="仿宋_GB2312" w:hAnsi="仿宋" w:eastAsia="仿宋_GB2312"/>
          <w:color w:val="000000"/>
          <w:sz w:val="32"/>
          <w:szCs w:val="32"/>
          <w:lang w:val="en-US" w:eastAsia="zh-CN"/>
        </w:rPr>
        <w:t>及下属</w:t>
      </w:r>
      <w:r>
        <w:rPr>
          <w:rFonts w:hint="eastAsia" w:ascii="仿宋_GB2312" w:hAnsi="仿宋" w:eastAsia="仿宋_GB2312"/>
          <w:color w:val="000000"/>
          <w:sz w:val="32"/>
          <w:szCs w:val="32"/>
        </w:rPr>
        <w:t>事业单位</w:t>
      </w:r>
      <w:r>
        <w:rPr>
          <w:rFonts w:hint="eastAsia" w:ascii="仿宋_GB2312" w:hAnsi="仿宋" w:eastAsia="仿宋_GB2312"/>
          <w:color w:val="000000"/>
          <w:sz w:val="32"/>
          <w:szCs w:val="32"/>
          <w:lang w:val="en-US" w:eastAsia="zh-CN"/>
        </w:rPr>
        <w:t>按照规定标准为职工</w:t>
      </w:r>
      <w:r>
        <w:rPr>
          <w:rFonts w:hint="eastAsia" w:ascii="仿宋_GB2312" w:hAnsi="仿宋" w:eastAsia="仿宋_GB2312"/>
          <w:color w:val="000000"/>
          <w:sz w:val="32"/>
          <w:szCs w:val="32"/>
        </w:rPr>
        <w:t>缴纳的职业</w:t>
      </w:r>
      <w:r>
        <w:rPr>
          <w:rFonts w:hint="eastAsia" w:ascii="仿宋_GB2312" w:hAnsi="仿宋" w:eastAsia="仿宋_GB2312"/>
          <w:color w:val="000000"/>
          <w:sz w:val="32"/>
          <w:szCs w:val="32"/>
          <w:lang w:val="en-US" w:eastAsia="zh-CN"/>
        </w:rPr>
        <w:t>年</w:t>
      </w:r>
      <w:r>
        <w:rPr>
          <w:rFonts w:hint="eastAsia" w:ascii="仿宋_GB2312" w:hAnsi="仿宋" w:eastAsia="仿宋_GB2312"/>
          <w:color w:val="000000"/>
          <w:sz w:val="32"/>
          <w:szCs w:val="32"/>
        </w:rPr>
        <w:t>金</w:t>
      </w:r>
      <w:r>
        <w:rPr>
          <w:rFonts w:hint="eastAsia" w:ascii="仿宋_GB2312" w:hAnsi="仿宋" w:eastAsia="仿宋_GB2312"/>
          <w:color w:val="000000"/>
          <w:sz w:val="32"/>
          <w:szCs w:val="32"/>
          <w:lang w:val="en-US" w:eastAsia="zh-CN"/>
        </w:rPr>
        <w:t>等</w:t>
      </w:r>
      <w:r>
        <w:rPr>
          <w:rFonts w:hint="eastAsia" w:ascii="仿宋_GB2312" w:hAnsi="仿宋" w:eastAsia="仿宋_GB2312"/>
          <w:color w:val="000000"/>
          <w:sz w:val="32"/>
          <w:szCs w:val="32"/>
        </w:rPr>
        <w:t>支出。</w:t>
      </w:r>
    </w:p>
    <w:p w14:paraId="1204C5C5">
      <w:pPr>
        <w:pStyle w:val="15"/>
        <w:shd w:val="clear" w:color="auto" w:fill="FFFFFF"/>
        <w:spacing w:before="0" w:beforeAutospacing="0" w:after="0" w:afterAutospacing="0" w:line="600" w:lineRule="atLeast"/>
        <w:ind w:firstLine="64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.卫生健康支出（类）行政事业单位医疗（款）行政单位医疗（项）：</w:t>
      </w:r>
      <w:r>
        <w:rPr>
          <w:rFonts w:hint="eastAsia" w:ascii="仿宋_GB2312" w:hAnsi="仿宋" w:eastAsia="仿宋_GB2312"/>
          <w:color w:val="000000"/>
          <w:sz w:val="32"/>
          <w:szCs w:val="32"/>
          <w:lang w:val="en-US" w:eastAsia="zh-CN"/>
        </w:rPr>
        <w:t>反应行政审批局机关</w:t>
      </w:r>
      <w:r>
        <w:rPr>
          <w:rFonts w:hint="eastAsia" w:ascii="仿宋_GB2312" w:hAnsi="仿宋" w:eastAsia="仿宋_GB2312"/>
          <w:color w:val="000000"/>
          <w:sz w:val="32"/>
          <w:szCs w:val="32"/>
        </w:rPr>
        <w:t>（包括实行公务员管理的事业</w:t>
      </w:r>
      <w:r>
        <w:rPr>
          <w:rFonts w:hint="eastAsia" w:ascii="仿宋_GB2312" w:hAnsi="仿宋" w:eastAsia="仿宋_GB2312"/>
          <w:color w:val="000000"/>
          <w:sz w:val="32"/>
          <w:szCs w:val="32"/>
          <w:lang w:val="en-US" w:eastAsia="zh-CN"/>
        </w:rPr>
        <w:t>人员</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按照规定和标准为职工缴纳的</w:t>
      </w:r>
      <w:r>
        <w:rPr>
          <w:rFonts w:hint="eastAsia" w:ascii="仿宋_GB2312" w:hAnsi="仿宋" w:eastAsia="仿宋_GB2312"/>
          <w:color w:val="000000"/>
          <w:sz w:val="32"/>
          <w:szCs w:val="32"/>
        </w:rPr>
        <w:t>基本医疗保险缴费经费</w:t>
      </w:r>
      <w:r>
        <w:rPr>
          <w:rFonts w:hint="eastAsia" w:ascii="仿宋_GB2312" w:hAnsi="仿宋" w:eastAsia="仿宋_GB2312"/>
          <w:color w:val="000000"/>
          <w:sz w:val="32"/>
          <w:szCs w:val="32"/>
          <w:lang w:val="en-US" w:eastAsia="zh-CN"/>
        </w:rPr>
        <w:t>支出。</w:t>
      </w:r>
    </w:p>
    <w:p w14:paraId="478E5B31">
      <w:pPr>
        <w:pStyle w:val="15"/>
        <w:shd w:val="clear" w:color="auto" w:fill="FFFFFF"/>
        <w:spacing w:before="0" w:beforeAutospacing="0" w:after="0" w:afterAutospacing="0" w:line="600" w:lineRule="atLeast"/>
        <w:ind w:firstLine="64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val="en-US" w:eastAsia="zh-CN"/>
        </w:rPr>
        <w:t>10</w:t>
      </w:r>
      <w:r>
        <w:rPr>
          <w:rFonts w:hint="eastAsia" w:ascii="仿宋_GB2312" w:hAnsi="仿宋" w:eastAsia="仿宋_GB2312"/>
          <w:color w:val="000000"/>
          <w:sz w:val="32"/>
          <w:szCs w:val="32"/>
        </w:rPr>
        <w:t>.卫生健康支出（类）行政事业单位医疗（款）事业单位医疗（项）：</w:t>
      </w:r>
      <w:r>
        <w:rPr>
          <w:rFonts w:hint="eastAsia" w:ascii="仿宋_GB2312" w:hAnsi="仿宋" w:eastAsia="仿宋_GB2312"/>
          <w:color w:val="000000"/>
          <w:sz w:val="32"/>
          <w:szCs w:val="32"/>
          <w:lang w:val="en-US" w:eastAsia="zh-CN"/>
        </w:rPr>
        <w:t>指按照规定和标准为职工缴纳</w:t>
      </w:r>
      <w:r>
        <w:rPr>
          <w:rFonts w:hint="eastAsia" w:ascii="仿宋_GB2312" w:hAnsi="仿宋" w:eastAsia="仿宋_GB2312"/>
          <w:color w:val="000000"/>
          <w:sz w:val="32"/>
          <w:szCs w:val="32"/>
        </w:rPr>
        <w:t>的事业单位基本医疗保险缴费经费</w:t>
      </w:r>
      <w:r>
        <w:rPr>
          <w:rFonts w:hint="eastAsia" w:ascii="仿宋_GB2312" w:hAnsi="仿宋" w:eastAsia="仿宋_GB2312"/>
          <w:color w:val="000000"/>
          <w:sz w:val="32"/>
          <w:szCs w:val="32"/>
          <w:lang w:val="en-US" w:eastAsia="zh-CN"/>
        </w:rPr>
        <w:t>支出</w:t>
      </w:r>
      <w:r>
        <w:rPr>
          <w:rFonts w:hint="eastAsia" w:ascii="仿宋_GB2312" w:hAnsi="仿宋" w:eastAsia="仿宋_GB2312"/>
          <w:color w:val="000000"/>
          <w:sz w:val="32"/>
          <w:szCs w:val="32"/>
          <w:lang w:eastAsia="zh-CN"/>
        </w:rPr>
        <w:t>。</w:t>
      </w:r>
    </w:p>
    <w:p w14:paraId="572F836E">
      <w:pPr>
        <w:pStyle w:val="15"/>
        <w:shd w:val="clear" w:color="auto" w:fill="FFFFFF"/>
        <w:spacing w:before="0" w:beforeAutospacing="0" w:after="0" w:afterAutospacing="0" w:line="600" w:lineRule="atLeast"/>
        <w:ind w:firstLine="640"/>
        <w:rPr>
          <w:rFonts w:hint="eastAsia" w:ascii="仿宋" w:hAnsi="仿宋" w:eastAsia="仿宋"/>
          <w:color w:val="000000"/>
        </w:rPr>
      </w:pPr>
      <w:r>
        <w:rPr>
          <w:rFonts w:hint="eastAsia" w:ascii="仿宋_GB2312" w:hAnsi="仿宋" w:eastAsia="仿宋_GB2312"/>
          <w:color w:val="000000"/>
          <w:sz w:val="32"/>
          <w:szCs w:val="32"/>
          <w:lang w:val="en-US" w:eastAsia="zh-CN"/>
        </w:rPr>
        <w:t>11</w:t>
      </w:r>
      <w:r>
        <w:rPr>
          <w:rFonts w:hint="eastAsia" w:ascii="仿宋_GB2312" w:hAnsi="仿宋" w:eastAsia="仿宋_GB2312"/>
          <w:color w:val="000000"/>
          <w:sz w:val="32"/>
          <w:szCs w:val="32"/>
        </w:rPr>
        <w:t>.卫生健康支出（类）行政事业单位医疗（款）公务员医疗补助（项）：指财政部门安排的公务员医疗补助</w:t>
      </w:r>
      <w:r>
        <w:rPr>
          <w:rFonts w:hint="eastAsia" w:ascii="仿宋_GB2312" w:hAnsi="仿宋" w:eastAsia="仿宋_GB2312"/>
          <w:color w:val="000000"/>
          <w:sz w:val="32"/>
          <w:szCs w:val="32"/>
          <w:lang w:val="en-US" w:eastAsia="zh-CN"/>
        </w:rPr>
        <w:t>缴费支出</w:t>
      </w:r>
      <w:r>
        <w:rPr>
          <w:rFonts w:hint="eastAsia" w:ascii="仿宋_GB2312" w:hAnsi="仿宋" w:eastAsia="仿宋_GB2312"/>
          <w:color w:val="000000"/>
          <w:sz w:val="32"/>
          <w:szCs w:val="32"/>
        </w:rPr>
        <w:t>。</w:t>
      </w:r>
    </w:p>
    <w:p w14:paraId="7FF34A63">
      <w:pPr>
        <w:pStyle w:val="15"/>
        <w:shd w:val="clear" w:color="auto" w:fill="FFFFFF"/>
        <w:spacing w:before="0" w:beforeAutospacing="0" w:after="0" w:afterAutospacing="0" w:line="600" w:lineRule="atLeast"/>
        <w:ind w:firstLine="640"/>
        <w:rPr>
          <w:rFonts w:hint="eastAsia" w:ascii="仿宋_GB2312" w:eastAsia="仿宋_GB2312"/>
          <w:sz w:val="32"/>
          <w:szCs w:val="32"/>
        </w:rPr>
      </w:pPr>
      <w:r>
        <w:rPr>
          <w:rFonts w:hint="eastAsia" w:ascii="仿宋_GB2312" w:hAnsi="仿宋" w:eastAsia="仿宋_GB2312"/>
          <w:color w:val="000000"/>
          <w:sz w:val="32"/>
          <w:szCs w:val="32"/>
          <w:lang w:val="en-US" w:eastAsia="zh-CN"/>
        </w:rPr>
        <w:t>12</w:t>
      </w:r>
      <w:r>
        <w:rPr>
          <w:rFonts w:hint="eastAsia" w:ascii="仿宋_GB2312" w:hAnsi="仿宋" w:eastAsia="仿宋_GB2312"/>
          <w:color w:val="000000"/>
          <w:sz w:val="32"/>
          <w:szCs w:val="32"/>
        </w:rPr>
        <w:t>.住房保障支出（类）住房改革支出（款）住房公积金（项）：指</w:t>
      </w:r>
      <w:r>
        <w:rPr>
          <w:rFonts w:hint="eastAsia" w:ascii="仿宋_GB2312" w:hAnsi="仿宋" w:eastAsia="仿宋_GB2312"/>
          <w:color w:val="000000"/>
          <w:sz w:val="32"/>
          <w:szCs w:val="32"/>
          <w:lang w:val="en-US" w:eastAsia="zh-CN"/>
        </w:rPr>
        <w:t>行政审批局机关及下属</w:t>
      </w:r>
      <w:r>
        <w:rPr>
          <w:rFonts w:hint="eastAsia" w:ascii="仿宋_GB2312" w:hAnsi="仿宋" w:eastAsia="仿宋_GB2312"/>
          <w:color w:val="000000"/>
          <w:sz w:val="32"/>
          <w:szCs w:val="32"/>
        </w:rPr>
        <w:t>事业单位按人力资源和社会保障部、财政部规定的基本工资和津贴补贴以及规定比例为职缴纳的住房公积金。</w:t>
      </w:r>
    </w:p>
    <w:p w14:paraId="0FC20A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2B0962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2F91D44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CA6D7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3D5F380">
      <w:pPr>
        <w:spacing w:line="600" w:lineRule="exact"/>
        <w:jc w:val="center"/>
        <w:rPr>
          <w:rFonts w:hint="eastAsia" w:ascii="Times New Roman" w:hAnsi="Times New Roman" w:eastAsia="黑体"/>
          <w:color w:val="auto"/>
          <w:sz w:val="44"/>
          <w:szCs w:val="44"/>
          <w:highlight w:val="none"/>
        </w:rPr>
      </w:pPr>
      <w:bookmarkStart w:id="51" w:name="_Toc15396614"/>
      <w:bookmarkStart w:id="52" w:name="_Toc15377226"/>
    </w:p>
    <w:p w14:paraId="1814FC21">
      <w:pPr>
        <w:spacing w:line="600" w:lineRule="exact"/>
        <w:jc w:val="center"/>
        <w:rPr>
          <w:rFonts w:hint="eastAsia" w:ascii="Times New Roman" w:hAnsi="Times New Roman" w:eastAsia="黑体"/>
          <w:color w:val="auto"/>
          <w:sz w:val="44"/>
          <w:szCs w:val="44"/>
          <w:highlight w:val="none"/>
        </w:rPr>
      </w:pPr>
    </w:p>
    <w:p w14:paraId="2134C526">
      <w:pPr>
        <w:spacing w:line="600" w:lineRule="exact"/>
        <w:jc w:val="center"/>
        <w:rPr>
          <w:rFonts w:hint="eastAsia" w:ascii="Times New Roman" w:hAnsi="Times New Roman" w:eastAsia="黑体"/>
          <w:color w:val="auto"/>
          <w:sz w:val="44"/>
          <w:szCs w:val="44"/>
          <w:highlight w:val="none"/>
        </w:rPr>
      </w:pPr>
    </w:p>
    <w:p w14:paraId="42DAF3A1">
      <w:pPr>
        <w:spacing w:line="600" w:lineRule="exact"/>
        <w:jc w:val="center"/>
        <w:rPr>
          <w:rFonts w:hint="eastAsia" w:ascii="Times New Roman" w:hAnsi="Times New Roman" w:eastAsia="黑体"/>
          <w:color w:val="auto"/>
          <w:sz w:val="44"/>
          <w:szCs w:val="44"/>
          <w:highlight w:val="none"/>
        </w:rPr>
      </w:pPr>
    </w:p>
    <w:p w14:paraId="697A50CF">
      <w:pPr>
        <w:spacing w:line="600" w:lineRule="exact"/>
        <w:jc w:val="center"/>
        <w:rPr>
          <w:rFonts w:hint="eastAsia" w:ascii="Times New Roman" w:hAnsi="Times New Roman" w:eastAsia="黑体"/>
          <w:color w:val="auto"/>
          <w:sz w:val="44"/>
          <w:szCs w:val="44"/>
          <w:highlight w:val="none"/>
        </w:rPr>
      </w:pPr>
    </w:p>
    <w:p w14:paraId="3E116A33">
      <w:pPr>
        <w:spacing w:line="600" w:lineRule="exact"/>
        <w:jc w:val="center"/>
        <w:rPr>
          <w:rFonts w:hint="eastAsia" w:ascii="Times New Roman" w:hAnsi="Times New Roman" w:eastAsia="黑体"/>
          <w:color w:val="auto"/>
          <w:sz w:val="44"/>
          <w:szCs w:val="44"/>
          <w:highlight w:val="none"/>
        </w:rPr>
      </w:pPr>
    </w:p>
    <w:p w14:paraId="7D62EA33">
      <w:pPr>
        <w:spacing w:line="600" w:lineRule="exact"/>
        <w:jc w:val="center"/>
        <w:rPr>
          <w:rFonts w:hint="eastAsia" w:ascii="Times New Roman" w:hAnsi="Times New Roman" w:eastAsia="黑体"/>
          <w:color w:val="auto"/>
          <w:sz w:val="44"/>
          <w:szCs w:val="44"/>
          <w:highlight w:val="none"/>
        </w:rPr>
      </w:pPr>
    </w:p>
    <w:p w14:paraId="6CB1A7FF">
      <w:pPr>
        <w:spacing w:line="600" w:lineRule="exact"/>
        <w:jc w:val="center"/>
        <w:rPr>
          <w:rFonts w:hint="eastAsia" w:ascii="Times New Roman" w:hAnsi="Times New Roman" w:eastAsia="黑体"/>
          <w:color w:val="auto"/>
          <w:sz w:val="44"/>
          <w:szCs w:val="44"/>
          <w:highlight w:val="none"/>
        </w:rPr>
      </w:pPr>
    </w:p>
    <w:p w14:paraId="23A3E2B3">
      <w:pPr>
        <w:spacing w:line="600" w:lineRule="exact"/>
        <w:jc w:val="center"/>
        <w:rPr>
          <w:rStyle w:val="29"/>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1"/>
    </w:p>
    <w:p w14:paraId="0ACBDCEA">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DB2F44B">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0271CEC0">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1C5ABC10">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EA6E196">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3F769B6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516F2913">
      <w:pPr>
        <w:snapToGrid w:val="0"/>
        <w:spacing w:line="580" w:lineRule="exact"/>
        <w:ind w:firstLine="643" w:firstLineChars="200"/>
        <w:rPr>
          <w:rFonts w:ascii="仿宋" w:hAnsi="仿宋" w:eastAsia="仿宋" w:cs="仿宋_GB2312"/>
          <w:color w:val="000000"/>
          <w:kern w:val="0"/>
          <w:sz w:val="32"/>
          <w:szCs w:val="32"/>
          <w:shd w:val="clear" w:color="auto" w:fill="FFFFFF"/>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 w:hAnsi="仿宋" w:eastAsia="仿宋" w:cs="仿宋_GB2312"/>
          <w:color w:val="000000"/>
          <w:kern w:val="0"/>
          <w:sz w:val="32"/>
          <w:szCs w:val="32"/>
          <w:shd w:val="clear" w:color="auto" w:fill="FFFFFF"/>
          <w:lang w:val="zh-CN"/>
        </w:rPr>
        <w:t>沐川县行政审批局是县人民政府工作部门，为正科级。下属沐川县政务服务中心为公益一类股级事业单位。</w:t>
      </w:r>
    </w:p>
    <w:p w14:paraId="6DFA77AE">
      <w:pPr>
        <w:snapToGrid w:val="0"/>
        <w:spacing w:line="580" w:lineRule="exact"/>
        <w:ind w:firstLine="643" w:firstLineChars="200"/>
        <w:rPr>
          <w:rFonts w:hint="eastAsia" w:ascii="仿宋" w:hAnsi="仿宋" w:eastAsia="仿宋" w:cs="仿宋_GB2312"/>
          <w:color w:val="000000"/>
          <w:kern w:val="0"/>
          <w:sz w:val="32"/>
          <w:szCs w:val="32"/>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 w:hAnsi="仿宋" w:eastAsia="仿宋" w:cs="仿宋_GB2312"/>
          <w:color w:val="000000"/>
          <w:kern w:val="0"/>
          <w:sz w:val="32"/>
          <w:szCs w:val="32"/>
          <w:shd w:val="clear" w:color="auto" w:fill="FFFFFF"/>
          <w:lang w:val="zh-CN"/>
        </w:rPr>
        <w:t>（1）贯彻落实国家、省、市有关行政审批制度改革的决定，牵头推进简政放权、放管结合、优化政务服务改革和行政审批制度改革，健全和完善相关工作体制机制。</w:t>
      </w:r>
    </w:p>
    <w:p w14:paraId="6773478A">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（2）行使相对集中行政许可权，负责县级相关部门划转和上级部门下放的行政许可事项的审批以及相关政务服务事项的办理。</w:t>
      </w:r>
    </w:p>
    <w:p w14:paraId="442BCB9E">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（3）负责统一组织实施行政审批涉及的现场勘查、技术论证和社会听证等工作。</w:t>
      </w:r>
    </w:p>
    <w:p w14:paraId="2D81F031">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（4）负责组织相关部门清理、规范、动态调整行政许可事项和公共服务事项。负责对行政审批前置条件和流程进行规范化和优化，推进行政审批标准化建设。</w:t>
      </w:r>
    </w:p>
    <w:p w14:paraId="6ACFE798">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（5）负责拟定加强政务服务工作的政策、制度、办法和标准并指导实施，指导推进政务服务标准化建设工作。</w:t>
      </w:r>
    </w:p>
    <w:p w14:paraId="169700EA">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6）负责会同有关部门开展“互联网+政务服务”信息化建设和维护。负责一体化政务服务平台管理、维护、指导工作和功能拓展，对一体化政务服务平台办理情况进行公开并提供查询。负责对政务服务事项受理办理情况进行统计、预警和监督。</w:t>
      </w:r>
    </w:p>
    <w:p w14:paraId="63848403">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（7）负责指导乡镇便民服务中心标准化建设和对其进行效能考核，推进县、乡（镇）村三级行政审批服务体系建设。</w:t>
      </w:r>
    </w:p>
    <w:p w14:paraId="0A34D801">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（8）负责全县机关行政效能建设监督检查工作和受理相关投诉，并根据职能分工交办相关部门跟踪督促落实。</w:t>
      </w:r>
    </w:p>
    <w:p w14:paraId="0EE075F4">
      <w:pPr>
        <w:snapToGrid w:val="0"/>
        <w:spacing w:line="580" w:lineRule="exact"/>
        <w:ind w:firstLine="640" w:firstLineChars="200"/>
        <w:rPr>
          <w:rFonts w:hint="eastAsia" w:ascii="仿宋" w:hAnsi="仿宋" w:eastAsia="仿宋" w:cs="仿宋_GB2312"/>
          <w:color w:val="000000"/>
          <w:kern w:val="0"/>
          <w:sz w:val="32"/>
          <w:szCs w:val="32"/>
          <w:shd w:val="clear" w:color="auto" w:fill="FFFFFF"/>
          <w:lang w:val="zh-CN"/>
        </w:rPr>
      </w:pPr>
      <w:r>
        <w:rPr>
          <w:rFonts w:hint="eastAsia" w:ascii="仿宋" w:hAnsi="仿宋" w:eastAsia="仿宋" w:cs="仿宋_GB2312"/>
          <w:color w:val="000000"/>
          <w:kern w:val="0"/>
          <w:sz w:val="32"/>
          <w:szCs w:val="32"/>
          <w:shd w:val="clear" w:color="auto" w:fill="FFFFFF"/>
          <w:lang w:val="zh-CN"/>
        </w:rPr>
        <w:t>（9）负责职责范围内的安全生产，职业健康和生态环境保护等工作。</w:t>
      </w:r>
    </w:p>
    <w:p w14:paraId="1769DE1A">
      <w:pPr>
        <w:snapToGrid w:val="0"/>
        <w:spacing w:line="580" w:lineRule="exact"/>
        <w:ind w:firstLine="640"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eastAsia" w:ascii="仿宋" w:hAnsi="仿宋" w:eastAsia="仿宋" w:cs="仿宋_GB2312"/>
          <w:color w:val="000000"/>
          <w:kern w:val="0"/>
          <w:sz w:val="32"/>
          <w:szCs w:val="32"/>
          <w:shd w:val="clear" w:color="auto" w:fill="FFFFFF"/>
          <w:lang w:val="zh-CN"/>
        </w:rPr>
        <w:t>（10）职能转变。推进行政审批制度改革，不断优化审批事项。继续深化“放管服”改革，深入推进行政审批提质增效、降低实体经济制度性交易成本、提升便利化水平。推动实现行政审批更简、收费项目更少、透明化程度更高、服务质量更优，进一步激发市场活力和社会创造力。</w:t>
      </w:r>
    </w:p>
    <w:p w14:paraId="4A48A82E">
      <w:pPr>
        <w:snapToGrid w:val="0"/>
        <w:spacing w:line="580" w:lineRule="exact"/>
        <w:ind w:firstLine="643" w:firstLineChars="200"/>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 w:hAnsi="仿宋" w:eastAsia="仿宋" w:cs="仿宋_GB2312"/>
          <w:color w:val="000000"/>
          <w:kern w:val="0"/>
          <w:sz w:val="32"/>
          <w:szCs w:val="32"/>
          <w:shd w:val="clear" w:color="auto" w:fill="FFFFFF"/>
          <w:lang w:val="zh-CN"/>
        </w:rPr>
        <w:t>沐川县行政审批局机关行政编制10人，其中行政编制10人（含工勤编制1人），事业编制20人。2024年底实有在职工作人员33人。（其中：行政人员12人，事业人员21人）</w:t>
      </w:r>
    </w:p>
    <w:p w14:paraId="2A8735F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69E27A1C">
      <w:pPr>
        <w:snapToGrid w:val="0"/>
        <w:spacing w:line="580" w:lineRule="exact"/>
        <w:ind w:firstLine="643" w:firstLineChars="200"/>
        <w:rPr>
          <w:rFonts w:hint="eastAsia" w:ascii="仿宋" w:hAnsi="仿宋" w:eastAsia="仿宋" w:cs="仿宋_GB2312"/>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 w:hAnsi="仿宋" w:eastAsia="仿宋" w:cs="仿宋_GB2312"/>
          <w:color w:val="000000"/>
          <w:kern w:val="0"/>
          <w:sz w:val="32"/>
          <w:szCs w:val="32"/>
          <w:shd w:val="clear" w:color="auto" w:fill="FFFFFF"/>
          <w:lang w:val="zh-CN"/>
        </w:rPr>
        <w:t>沐川县行政审批局2024年决算收入合计658.75万元。其中：财政拨款收入658.75万元，占100%；与年初预算599.63万元相比，本年收入与预算数差异59.12万元，主要是为：</w:t>
      </w:r>
    </w:p>
    <w:p w14:paraId="2C4C6625">
      <w:pPr>
        <w:snapToGrid w:val="0"/>
        <w:spacing w:line="580" w:lineRule="exact"/>
        <w:ind w:firstLine="640" w:firstLineChars="200"/>
        <w:rPr>
          <w:rFonts w:hint="default" w:ascii="仿宋" w:hAnsi="仿宋" w:eastAsia="仿宋" w:cs="仿宋_GB2312"/>
          <w:color w:val="000000"/>
          <w:kern w:val="0"/>
          <w:sz w:val="32"/>
          <w:szCs w:val="32"/>
          <w:shd w:val="clear" w:color="auto" w:fill="FFFFFF"/>
          <w:lang w:val="en-US"/>
        </w:rPr>
      </w:pPr>
      <w:r>
        <w:rPr>
          <w:rFonts w:hint="eastAsia" w:ascii="仿宋" w:hAnsi="仿宋" w:eastAsia="仿宋" w:cs="仿宋_GB2312"/>
          <w:color w:val="000000"/>
          <w:kern w:val="0"/>
          <w:sz w:val="32"/>
          <w:szCs w:val="32"/>
          <w:shd w:val="clear" w:color="auto" w:fill="FFFFFF"/>
          <w:lang w:val="zh-CN"/>
        </w:rPr>
        <w:t>一般公共服务支出48.19万元，城乡社区支出比年初预算增加2.81万元，社会保障和就业支出比年初预算增加7.79万元，卫生健康支出比年初预算增加0.28万元，住房保障支出比年初预算增加0.05万元。</w:t>
      </w:r>
    </w:p>
    <w:p w14:paraId="0766CC28">
      <w:pPr>
        <w:pStyle w:val="36"/>
        <w:spacing w:line="580" w:lineRule="exact"/>
        <w:ind w:firstLine="643"/>
        <w:rPr>
          <w:rFonts w:hint="eastAsia" w:ascii="仿宋" w:hAnsi="仿宋" w:eastAsia="仿宋" w:cs="仿宋_GB2312"/>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 w:hAnsi="仿宋" w:eastAsia="仿宋" w:cs="仿宋_GB2312"/>
          <w:color w:val="000000"/>
          <w:kern w:val="0"/>
          <w:sz w:val="32"/>
          <w:szCs w:val="32"/>
          <w:shd w:val="clear" w:color="auto" w:fill="FFFFFF"/>
          <w:lang w:val="zh-CN" w:eastAsia="zh-CN" w:bidi="ar-SA"/>
        </w:rPr>
        <w:t>2024年一般公共预算财政拨款支出658.75万元，主要用于以下方面:一般公共服务支出521.08万元，占79.10%；城乡社区支出2.81万元占0.43%，社会保障和就业支出67.22万元，占10.2%；医疗卫生支出22.83万元，占3.47%；住房保障支出44.81万元，占6.8%。</w:t>
      </w:r>
    </w:p>
    <w:p w14:paraId="0D437247">
      <w:pPr>
        <w:widowControl/>
        <w:spacing w:line="580" w:lineRule="exact"/>
        <w:ind w:firstLine="643" w:firstLineChars="200"/>
        <w:contextualSpacing/>
        <w:rPr>
          <w:rFonts w:hint="eastAsia" w:ascii="仿宋" w:hAnsi="仿宋" w:eastAsia="仿宋" w:cs="仿宋_GB2312"/>
          <w:color w:val="000000"/>
          <w:kern w:val="0"/>
          <w:sz w:val="32"/>
          <w:szCs w:val="32"/>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 w:hAnsi="仿宋" w:eastAsia="仿宋" w:cs="仿宋_GB2312"/>
          <w:color w:val="000000"/>
          <w:kern w:val="0"/>
          <w:sz w:val="32"/>
          <w:szCs w:val="32"/>
          <w:shd w:val="clear" w:color="auto" w:fill="FFFFFF"/>
          <w:lang w:val="zh-CN" w:eastAsia="zh-CN" w:bidi="ar-SA"/>
        </w:rPr>
        <w:t>沐川县行政审批局2024年决算报表无结转结余情况。</w:t>
      </w:r>
    </w:p>
    <w:p w14:paraId="3619511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65DD68ED">
      <w:pPr>
        <w:spacing w:line="580" w:lineRule="exact"/>
        <w:ind w:firstLine="643" w:firstLineChars="200"/>
        <w:contextualSpacing/>
        <w:rPr>
          <w:rFonts w:hint="eastAsia" w:ascii="仿宋" w:hAnsi="仿宋" w:eastAsia="仿宋" w:cs="仿宋_GB2312"/>
          <w:color w:val="000000"/>
          <w:kern w:val="2"/>
          <w:sz w:val="32"/>
          <w:szCs w:val="32"/>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eastAsia" w:ascii="仿宋" w:hAnsi="仿宋" w:eastAsia="仿宋" w:cs="仿宋_GB2312"/>
          <w:color w:val="000000"/>
          <w:kern w:val="2"/>
          <w:sz w:val="32"/>
          <w:szCs w:val="32"/>
          <w:lang w:val="zh-CN" w:eastAsia="zh-CN" w:bidi="ar-SA"/>
        </w:rPr>
        <w:t>。根据部门预算绩效评价指标体系“总体绩效”涉及二、三级指标进行逐项绩效分析并评分，依次包括履职效能、预算管理、财务管理、资产管理、采购管理等情况。</w:t>
      </w:r>
    </w:p>
    <w:p w14:paraId="2994C901">
      <w:pPr>
        <w:spacing w:line="580" w:lineRule="exact"/>
        <w:ind w:firstLine="643" w:firstLineChars="200"/>
        <w:contextualSpacing/>
        <w:rPr>
          <w:rFonts w:hint="eastAsia" w:ascii="仿宋" w:hAnsi="仿宋" w:eastAsia="仿宋" w:cs="仿宋_GB2312"/>
          <w:color w:val="000000"/>
          <w:kern w:val="2"/>
          <w:sz w:val="32"/>
          <w:szCs w:val="32"/>
          <w:lang w:val="zh-CN" w:eastAsia="zh-CN" w:bidi="ar-SA"/>
        </w:rPr>
      </w:pPr>
      <w:r>
        <w:rPr>
          <w:rFonts w:hint="eastAsia" w:ascii="仿宋" w:hAnsi="仿宋" w:eastAsia="仿宋" w:cs="仿宋_GB2312"/>
          <w:b/>
          <w:bCs/>
          <w:color w:val="000000"/>
          <w:kern w:val="2"/>
          <w:sz w:val="32"/>
          <w:szCs w:val="32"/>
          <w:lang w:val="en-US" w:eastAsia="zh-CN" w:bidi="ar-SA"/>
        </w:rPr>
        <w:t>1.</w:t>
      </w:r>
      <w:r>
        <w:rPr>
          <w:rFonts w:hint="eastAsia" w:ascii="仿宋" w:hAnsi="仿宋" w:eastAsia="仿宋" w:cs="仿宋_GB2312"/>
          <w:b/>
          <w:bCs/>
          <w:color w:val="000000"/>
          <w:kern w:val="2"/>
          <w:sz w:val="32"/>
          <w:szCs w:val="32"/>
          <w:lang w:val="zh-CN" w:eastAsia="zh-CN" w:bidi="ar-SA"/>
        </w:rPr>
        <w:t>履职效能。</w:t>
      </w:r>
      <w:r>
        <w:rPr>
          <w:rFonts w:hint="eastAsia" w:ascii="仿宋" w:hAnsi="仿宋" w:eastAsia="仿宋" w:cs="仿宋_GB2312"/>
          <w:color w:val="000000"/>
          <w:kern w:val="2"/>
          <w:sz w:val="32"/>
          <w:szCs w:val="32"/>
          <w:lang w:val="zh-CN" w:eastAsia="zh-CN" w:bidi="ar-SA"/>
        </w:rPr>
        <w:t>部门整体绩效目标中选定</w:t>
      </w:r>
      <w:r>
        <w:rPr>
          <w:rFonts w:hint="eastAsia" w:ascii="仿宋" w:hAnsi="仿宋" w:eastAsia="仿宋" w:cs="仿宋_GB2312"/>
          <w:color w:val="000000"/>
          <w:kern w:val="2"/>
          <w:sz w:val="32"/>
          <w:szCs w:val="32"/>
          <w:lang w:val="en-US" w:eastAsia="zh-CN" w:bidi="ar-SA"/>
        </w:rPr>
        <w:t>4</w:t>
      </w:r>
      <w:r>
        <w:rPr>
          <w:rFonts w:hint="eastAsia" w:ascii="仿宋" w:hAnsi="仿宋" w:eastAsia="仿宋" w:cs="仿宋_GB2312"/>
          <w:color w:val="000000"/>
          <w:kern w:val="2"/>
          <w:sz w:val="32"/>
          <w:szCs w:val="32"/>
          <w:lang w:val="zh-CN" w:eastAsia="zh-CN" w:bidi="ar-SA"/>
        </w:rPr>
        <w:t>-</w:t>
      </w:r>
      <w:r>
        <w:rPr>
          <w:rFonts w:hint="eastAsia" w:ascii="仿宋" w:hAnsi="仿宋" w:eastAsia="仿宋" w:cs="仿宋_GB2312"/>
          <w:color w:val="000000"/>
          <w:kern w:val="2"/>
          <w:sz w:val="32"/>
          <w:szCs w:val="32"/>
          <w:lang w:val="en-US" w:eastAsia="zh-CN" w:bidi="ar-SA"/>
        </w:rPr>
        <w:t>6</w:t>
      </w:r>
      <w:r>
        <w:rPr>
          <w:rFonts w:hint="eastAsia" w:ascii="仿宋" w:hAnsi="仿宋" w:eastAsia="仿宋" w:cs="仿宋_GB2312"/>
          <w:color w:val="000000"/>
          <w:kern w:val="2"/>
          <w:sz w:val="32"/>
          <w:szCs w:val="32"/>
          <w:lang w:val="zh-CN" w:eastAsia="zh-CN" w:bidi="ar-SA"/>
        </w:rPr>
        <w:t>个核心职能目标，对职能目标完成效果情况绩效分析。</w:t>
      </w:r>
    </w:p>
    <w:p w14:paraId="45129828">
      <w:pPr>
        <w:snapToGrid w:val="0"/>
        <w:spacing w:line="580" w:lineRule="exact"/>
        <w:ind w:firstLine="640" w:firstLineChars="200"/>
        <w:rPr>
          <w:rFonts w:hint="eastAsia" w:ascii="仿宋" w:hAnsi="仿宋" w:eastAsia="仿宋" w:cs="仿宋_GB2312"/>
          <w:color w:val="000000"/>
          <w:kern w:val="2"/>
          <w:sz w:val="32"/>
          <w:szCs w:val="32"/>
          <w:lang w:val="zh-CN" w:eastAsia="zh-CN" w:bidi="ar-SA"/>
        </w:rPr>
      </w:pPr>
      <w:r>
        <w:rPr>
          <w:rFonts w:hint="eastAsia" w:ascii="仿宋" w:hAnsi="仿宋" w:eastAsia="仿宋" w:cs="仿宋_GB2312"/>
          <w:color w:val="000000"/>
          <w:kern w:val="2"/>
          <w:sz w:val="32"/>
          <w:szCs w:val="32"/>
          <w:lang w:val="en-US" w:eastAsia="zh-CN" w:bidi="ar-SA"/>
        </w:rPr>
        <w:t>自评得分15分。一是税务办税服务厅房屋租赁费用项目在醉氧天街，为方便群众办事，租用商业用房577.87平方米用于税务征收大厅业务使用，税务征收大厅业务使用，为方便群众办事，完成部门核心绩效指标要求。二是行政审批技术评审费项目是按照许可事项技术审查要求，我局承担的固定资产投资项目节能审查和验收、取水许可、水利基建项目初步设计文件审批、洪水影响评价审批、生产建设项目水土保持方案审批等许可事项、审批中需邀请第三方专家评审，每年办件项目完成。三是基本支出是保障单位等机构正常运转的日常支出，包括基本工资、津贴补贴等人员经费以及办公费、水、电、邮电费、等日常公用经费。项目支出是保障政务运转等机构为完成特定的工作任务或项目发展目标，用于专项业务工作的经费支出。项目申报严格按照上级要求，明确绩效目标，控制支行成本，提高项目发挥作用。四是“一网通办”区县移动端分站点建设上线内容主要包括分站点电脑端、分站点移动端、省一体化对接等基本框架建设工作。</w:t>
      </w:r>
    </w:p>
    <w:p w14:paraId="520788D4">
      <w:pPr>
        <w:snapToGrid w:val="0"/>
        <w:spacing w:line="580" w:lineRule="exact"/>
        <w:ind w:firstLine="643" w:firstLineChars="200"/>
        <w:rPr>
          <w:rFonts w:hint="eastAsia" w:ascii="仿宋" w:hAnsi="仿宋" w:eastAsia="仿宋" w:cs="仿宋_GB2312"/>
          <w:color w:val="000000"/>
          <w:kern w:val="2"/>
          <w:sz w:val="32"/>
          <w:szCs w:val="32"/>
          <w:lang w:val="zh-CN" w:eastAsia="zh-CN" w:bidi="ar-SA"/>
        </w:rPr>
      </w:pPr>
      <w:r>
        <w:rPr>
          <w:rFonts w:hint="eastAsia" w:ascii="仿宋" w:hAnsi="仿宋" w:eastAsia="仿宋" w:cs="仿宋_GB2312"/>
          <w:b/>
          <w:bCs/>
          <w:color w:val="000000"/>
          <w:kern w:val="2"/>
          <w:sz w:val="32"/>
          <w:szCs w:val="32"/>
          <w:lang w:val="zh-CN" w:eastAsia="zh-CN" w:bidi="ar-SA"/>
        </w:rPr>
        <w:t>2.预算管理。</w:t>
      </w:r>
      <w:r>
        <w:rPr>
          <w:rFonts w:hint="eastAsia" w:ascii="仿宋" w:hAnsi="仿宋" w:eastAsia="仿宋" w:cs="仿宋_GB2312"/>
          <w:color w:val="000000"/>
          <w:kern w:val="2"/>
          <w:sz w:val="32"/>
          <w:szCs w:val="32"/>
          <w:lang w:val="zh-CN" w:eastAsia="zh-CN" w:bidi="ar-SA"/>
        </w:rPr>
        <w:t>围绕预算编制质量、单位收入统筹、支出执行进度、预算年终结余、严控一般性支出进行绩效分析。</w:t>
      </w:r>
    </w:p>
    <w:p w14:paraId="1CDD3695">
      <w:pPr>
        <w:snapToGrid w:val="0"/>
        <w:spacing w:line="580" w:lineRule="exact"/>
        <w:ind w:firstLine="640" w:firstLineChars="200"/>
        <w:rPr>
          <w:rFonts w:hint="eastAsia" w:ascii="仿宋" w:hAnsi="仿宋" w:eastAsia="仿宋" w:cs="仿宋_GB2312"/>
          <w:color w:val="000000"/>
          <w:kern w:val="2"/>
          <w:sz w:val="32"/>
          <w:szCs w:val="32"/>
          <w:lang w:val="zh-CN" w:eastAsia="zh-CN" w:bidi="ar-SA"/>
        </w:rPr>
      </w:pPr>
      <w:r>
        <w:rPr>
          <w:rFonts w:hint="eastAsia" w:ascii="仿宋" w:hAnsi="仿宋" w:eastAsia="仿宋" w:cs="仿宋_GB2312"/>
          <w:color w:val="000000"/>
          <w:kern w:val="2"/>
          <w:sz w:val="32"/>
          <w:szCs w:val="32"/>
          <w:lang w:val="en-US" w:eastAsia="zh-CN" w:bidi="ar-SA"/>
        </w:rPr>
        <w:t>自评得分22分。2024年度，沐川县行政审批局年初预算编制科学合理，部门统筹自有收入较好，全年预算执行进度较好，未发现违规支出金额。严格落实党政机关过紧日子要求，严控“三公”经费、会议、培训等2024年度“三公”经费财政拨款支出决算为0.095万元，年初预算0.4万元，完成预算23.75%，与上年“三公”经费财政拨款支出决算为0.2万元，年初预算0.2万元，完成预算100%，2024年比2023年接待费减少0.105万元，减少52.5%。</w:t>
      </w:r>
    </w:p>
    <w:p w14:paraId="16A95442">
      <w:pPr>
        <w:snapToGrid w:val="0"/>
        <w:spacing w:line="580" w:lineRule="exact"/>
        <w:ind w:firstLine="643" w:firstLineChars="200"/>
        <w:rPr>
          <w:rFonts w:hint="eastAsia" w:ascii="仿宋" w:hAnsi="仿宋" w:eastAsia="仿宋" w:cs="仿宋_GB2312"/>
          <w:color w:val="000000"/>
          <w:kern w:val="2"/>
          <w:sz w:val="32"/>
          <w:szCs w:val="32"/>
          <w:lang w:val="zh-CN" w:eastAsia="zh-CN" w:bidi="ar-SA"/>
        </w:rPr>
      </w:pPr>
      <w:r>
        <w:rPr>
          <w:rFonts w:hint="eastAsia" w:ascii="仿宋" w:hAnsi="仿宋" w:eastAsia="仿宋" w:cs="仿宋_GB2312"/>
          <w:b/>
          <w:bCs/>
          <w:color w:val="000000"/>
          <w:kern w:val="2"/>
          <w:sz w:val="32"/>
          <w:szCs w:val="32"/>
          <w:lang w:val="zh-CN" w:eastAsia="zh-CN" w:bidi="ar-SA"/>
        </w:rPr>
        <w:t>3.财务管理。</w:t>
      </w:r>
      <w:r>
        <w:rPr>
          <w:rFonts w:hint="eastAsia" w:ascii="仿宋" w:hAnsi="仿宋" w:eastAsia="仿宋" w:cs="仿宋_GB2312"/>
          <w:color w:val="000000"/>
          <w:kern w:val="2"/>
          <w:sz w:val="32"/>
          <w:szCs w:val="32"/>
          <w:lang w:val="zh-CN" w:eastAsia="zh-CN" w:bidi="ar-SA"/>
        </w:rPr>
        <w:t>围绕财务管理制度、财务岗位设置、资金使用规范进行绩效分析。</w:t>
      </w:r>
    </w:p>
    <w:p w14:paraId="0A01B01E">
      <w:pPr>
        <w:pStyle w:val="27"/>
        <w:spacing w:line="58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自评得分6分。从预算编制源头管理、预算执行刚性约束、预算绩效管理、事前审批程序、支出审核、费用报销等方面多层次、多维度对一般性支出事项进行严格控制，确保该花的钱花到刀刃上，不该花的钱一分不花。同时明确财务岗位设置和职责权限，确保不相容岗位分离，形成彼此约束、互相监督闭环，有效防范财务风险。</w:t>
      </w:r>
    </w:p>
    <w:p w14:paraId="08F9FCD8">
      <w:pPr>
        <w:pStyle w:val="27"/>
        <w:spacing w:line="580" w:lineRule="exact"/>
        <w:ind w:firstLine="643" w:firstLineChars="200"/>
        <w:jc w:val="both"/>
        <w:rPr>
          <w:rFonts w:ascii="仿宋" w:hAnsi="仿宋" w:eastAsia="仿宋" w:cs="仿宋_GB2312"/>
          <w:kern w:val="2"/>
          <w:sz w:val="32"/>
          <w:szCs w:val="32"/>
          <w:lang w:val="zh-CN"/>
        </w:rPr>
      </w:pPr>
      <w:r>
        <w:rPr>
          <w:rFonts w:hint="eastAsia" w:ascii="仿宋" w:hAnsi="仿宋" w:eastAsia="仿宋" w:cs="仿宋_GB2312"/>
          <w:b/>
          <w:kern w:val="2"/>
          <w:sz w:val="32"/>
          <w:szCs w:val="32"/>
        </w:rPr>
        <w:t>4.</w:t>
      </w:r>
      <w:r>
        <w:rPr>
          <w:rFonts w:hint="eastAsia" w:ascii="仿宋" w:hAnsi="仿宋" w:eastAsia="仿宋" w:cs="仿宋_GB2312"/>
          <w:b/>
          <w:kern w:val="2"/>
          <w:sz w:val="32"/>
          <w:szCs w:val="32"/>
          <w:lang w:val="zh-CN"/>
        </w:rPr>
        <w:t>资产管理。</w:t>
      </w:r>
      <w:r>
        <w:rPr>
          <w:rFonts w:hint="eastAsia" w:ascii="仿宋" w:hAnsi="仿宋" w:eastAsia="仿宋" w:cs="仿宋_GB2312"/>
          <w:kern w:val="2"/>
          <w:sz w:val="32"/>
          <w:szCs w:val="32"/>
          <w:lang w:val="zh-CN"/>
        </w:rPr>
        <w:t>围绕人均资产变化率、资产利用率、资产盘活率进行绩效分析。</w:t>
      </w:r>
    </w:p>
    <w:p w14:paraId="13685127">
      <w:pPr>
        <w:pStyle w:val="27"/>
        <w:spacing w:line="58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自评得分8分。2024年我单位预算资金4.98万元，用于购置国产电脑和打印机设备。符合政策，程序合规。办公家具和办公设备超最低使用年限资产利用率均大于省直行政事业单位平均值，符合相关政策规定。我单位2024年无闲置资产。</w:t>
      </w:r>
    </w:p>
    <w:p w14:paraId="3F985121">
      <w:pPr>
        <w:pStyle w:val="27"/>
        <w:spacing w:line="580" w:lineRule="exact"/>
        <w:ind w:firstLine="643" w:firstLineChars="200"/>
        <w:jc w:val="both"/>
        <w:rPr>
          <w:rFonts w:ascii="仿宋" w:hAnsi="仿宋" w:eastAsia="仿宋" w:cs="仿宋_GB2312"/>
          <w:kern w:val="2"/>
          <w:sz w:val="32"/>
          <w:szCs w:val="32"/>
          <w:lang w:val="zh-CN"/>
        </w:rPr>
      </w:pPr>
      <w:r>
        <w:rPr>
          <w:rFonts w:hint="eastAsia" w:ascii="仿宋" w:hAnsi="仿宋" w:eastAsia="仿宋" w:cs="仿宋_GB2312"/>
          <w:b/>
          <w:kern w:val="2"/>
          <w:sz w:val="32"/>
          <w:szCs w:val="32"/>
        </w:rPr>
        <w:t>5.</w:t>
      </w:r>
      <w:r>
        <w:rPr>
          <w:rFonts w:hint="eastAsia" w:ascii="仿宋" w:hAnsi="仿宋" w:eastAsia="仿宋" w:cs="仿宋_GB2312"/>
          <w:b/>
          <w:kern w:val="2"/>
          <w:sz w:val="32"/>
          <w:szCs w:val="32"/>
          <w:lang w:val="zh-CN"/>
        </w:rPr>
        <w:t>采购管理。</w:t>
      </w:r>
      <w:r>
        <w:rPr>
          <w:rFonts w:hint="eastAsia" w:ascii="仿宋" w:hAnsi="仿宋" w:eastAsia="仿宋" w:cs="仿宋_GB2312"/>
          <w:kern w:val="2"/>
          <w:sz w:val="32"/>
          <w:szCs w:val="32"/>
          <w:lang w:val="zh-CN"/>
        </w:rPr>
        <w:t>围绕支持中小企业发展、采购执行率进行绩效分析。</w:t>
      </w:r>
    </w:p>
    <w:p w14:paraId="6071E804">
      <w:pPr>
        <w:pStyle w:val="27"/>
        <w:spacing w:line="580" w:lineRule="exact"/>
        <w:ind w:firstLine="640" w:firstLineChars="200"/>
        <w:jc w:val="both"/>
        <w:rPr>
          <w:rFonts w:hint="eastAsia" w:ascii="Times New Roman" w:hAnsi="Times New Roman" w:eastAsia="仿宋_GB2312" w:cs="仿宋_GB2312"/>
          <w:color w:val="auto"/>
          <w:kern w:val="2"/>
          <w:sz w:val="32"/>
          <w:szCs w:val="32"/>
          <w:highlight w:val="none"/>
          <w:lang w:val="zh-CN" w:eastAsia="zh-CN" w:bidi="ar-SA"/>
        </w:rPr>
      </w:pPr>
      <w:r>
        <w:rPr>
          <w:rFonts w:hint="eastAsia" w:ascii="仿宋" w:hAnsi="仿宋" w:eastAsia="仿宋" w:cs="仿宋_GB2312"/>
          <w:kern w:val="2"/>
          <w:sz w:val="32"/>
          <w:szCs w:val="32"/>
        </w:rPr>
        <w:t>自评得分6分。2024年，我单位对适宜由中小企业提供的采购项目和采购包，专门面向中小企业预留采购份额，并在采购预算中单独列示，采购执行率100%。</w:t>
      </w:r>
    </w:p>
    <w:p w14:paraId="134F5895">
      <w:pPr>
        <w:widowControl/>
        <w:spacing w:line="580" w:lineRule="exact"/>
        <w:ind w:firstLine="643" w:firstLineChars="200"/>
        <w:contextualSpacing/>
        <w:rPr>
          <w:rFonts w:hint="eastAsia" w:ascii="仿宋" w:hAnsi="仿宋" w:eastAsia="仿宋" w:cs="仿宋_GB2312"/>
          <w:color w:val="000000"/>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 w:hAnsi="仿宋" w:eastAsia="仿宋" w:cs="仿宋_GB2312"/>
          <w:color w:val="000000"/>
          <w:kern w:val="2"/>
          <w:sz w:val="32"/>
          <w:szCs w:val="32"/>
          <w:lang w:val="zh-CN" w:eastAsia="zh-CN" w:bidi="ar-SA"/>
        </w:rPr>
        <w:t>填报以下数据，并根据部门预算绩效评价指标体系“项目绩效”涉及二、三级指标进行逐项绩效分析并评分，依次包括项目</w:t>
      </w:r>
      <w:r>
        <w:rPr>
          <w:rFonts w:hint="eastAsia" w:ascii="仿宋" w:hAnsi="仿宋" w:eastAsia="仿宋" w:cs="仿宋_GB2312"/>
          <w:color w:val="000000"/>
          <w:kern w:val="2"/>
          <w:sz w:val="32"/>
          <w:szCs w:val="32"/>
          <w:lang w:val="en-US" w:eastAsia="zh-CN" w:bidi="ar-SA"/>
        </w:rPr>
        <w:t>决策、项目执行、目标实现等情况。</w:t>
      </w:r>
    </w:p>
    <w:p w14:paraId="029E2522">
      <w:pPr>
        <w:spacing w:line="580" w:lineRule="exact"/>
        <w:ind w:firstLine="640" w:firstLineChars="200"/>
        <w:contextualSpacing/>
        <w:rPr>
          <w:rFonts w:hint="eastAsia" w:ascii="仿宋" w:hAnsi="仿宋" w:eastAsia="仿宋" w:cs="仿宋_GB2312"/>
          <w:color w:val="000000"/>
          <w:kern w:val="2"/>
          <w:sz w:val="32"/>
          <w:szCs w:val="32"/>
          <w:lang w:val="zh-CN" w:eastAsia="zh-CN" w:bidi="ar-SA"/>
        </w:rPr>
      </w:pPr>
      <w:r>
        <w:rPr>
          <w:rFonts w:hint="eastAsia" w:ascii="仿宋" w:hAnsi="仿宋" w:eastAsia="仿宋" w:cs="仿宋_GB2312"/>
          <w:color w:val="000000"/>
          <w:kern w:val="2"/>
          <w:sz w:val="32"/>
          <w:szCs w:val="32"/>
          <w:lang w:val="en-US" w:eastAsia="zh-CN" w:bidi="ar-SA"/>
        </w:rPr>
        <w:t>常年项目绩效分析。</w:t>
      </w:r>
      <w:r>
        <w:rPr>
          <w:rFonts w:hint="eastAsia" w:ascii="仿宋" w:hAnsi="仿宋" w:eastAsia="仿宋" w:cs="仿宋_GB2312"/>
          <w:color w:val="000000"/>
          <w:kern w:val="2"/>
          <w:sz w:val="32"/>
          <w:szCs w:val="32"/>
          <w:lang w:val="zh-CN" w:eastAsia="zh-CN" w:bidi="ar-SA"/>
        </w:rPr>
        <w:t>该类项目总数个，涉及预算总金额万元，1—1</w:t>
      </w:r>
      <w:r>
        <w:rPr>
          <w:rFonts w:hint="eastAsia" w:ascii="仿宋" w:hAnsi="仿宋" w:eastAsia="仿宋" w:cs="仿宋_GB2312"/>
          <w:color w:val="000000"/>
          <w:kern w:val="2"/>
          <w:sz w:val="32"/>
          <w:szCs w:val="32"/>
          <w:lang w:val="en-US" w:eastAsia="zh-CN" w:bidi="ar-SA"/>
        </w:rPr>
        <w:t>2</w:t>
      </w:r>
      <w:r>
        <w:rPr>
          <w:rFonts w:hint="eastAsia" w:ascii="仿宋" w:hAnsi="仿宋" w:eastAsia="仿宋" w:cs="仿宋_GB2312"/>
          <w:color w:val="000000"/>
          <w:kern w:val="2"/>
          <w:sz w:val="32"/>
          <w:szCs w:val="32"/>
          <w:lang w:val="zh-CN" w:eastAsia="zh-CN" w:bidi="ar-SA"/>
        </w:rPr>
        <w:t>月预算执行总体进度为</w:t>
      </w:r>
      <w:r>
        <w:rPr>
          <w:rFonts w:hint="eastAsia" w:ascii="仿宋" w:hAnsi="仿宋" w:eastAsia="仿宋" w:cs="仿宋_GB2312"/>
          <w:color w:val="000000"/>
          <w:kern w:val="2"/>
          <w:sz w:val="32"/>
          <w:szCs w:val="32"/>
          <w:lang w:val="en-US" w:eastAsia="zh-CN" w:bidi="ar-SA"/>
        </w:rPr>
        <w:t>100</w:t>
      </w:r>
      <w:r>
        <w:rPr>
          <w:rFonts w:hint="eastAsia" w:ascii="仿宋" w:hAnsi="仿宋" w:eastAsia="仿宋" w:cs="仿宋_GB2312"/>
          <w:color w:val="000000"/>
          <w:kern w:val="2"/>
          <w:sz w:val="32"/>
          <w:szCs w:val="32"/>
          <w:lang w:val="zh-CN" w:eastAsia="zh-CN" w:bidi="ar-SA"/>
        </w:rPr>
        <w:t>%，</w:t>
      </w:r>
      <w:r>
        <w:rPr>
          <w:rFonts w:hint="eastAsia" w:ascii="仿宋" w:hAnsi="仿宋" w:eastAsia="仿宋" w:cs="仿宋_GB2312"/>
          <w:color w:val="000000"/>
          <w:kern w:val="2"/>
          <w:sz w:val="32"/>
          <w:szCs w:val="32"/>
          <w:lang w:val="en-US" w:eastAsia="zh-CN" w:bidi="ar-SA"/>
        </w:rPr>
        <w:t>单位无</w:t>
      </w:r>
      <w:r>
        <w:rPr>
          <w:rFonts w:hint="eastAsia" w:ascii="仿宋" w:hAnsi="仿宋" w:eastAsia="仿宋" w:cs="仿宋_GB2312"/>
          <w:color w:val="000000"/>
          <w:kern w:val="2"/>
          <w:sz w:val="32"/>
          <w:szCs w:val="32"/>
          <w:lang w:val="zh-CN" w:eastAsia="zh-CN" w:bidi="ar-SA"/>
        </w:rPr>
        <w:t>预算结余率大于</w:t>
      </w:r>
      <w:r>
        <w:rPr>
          <w:rFonts w:hint="eastAsia" w:ascii="仿宋" w:hAnsi="仿宋" w:eastAsia="仿宋" w:cs="仿宋_GB2312"/>
          <w:color w:val="000000"/>
          <w:kern w:val="2"/>
          <w:sz w:val="32"/>
          <w:szCs w:val="32"/>
          <w:lang w:val="en-US" w:eastAsia="zh-CN" w:bidi="ar-SA"/>
        </w:rPr>
        <w:t>10%</w:t>
      </w:r>
      <w:r>
        <w:rPr>
          <w:rFonts w:hint="eastAsia" w:ascii="仿宋" w:hAnsi="仿宋" w:eastAsia="仿宋" w:cs="仿宋_GB2312"/>
          <w:color w:val="000000"/>
          <w:kern w:val="2"/>
          <w:sz w:val="32"/>
          <w:szCs w:val="32"/>
          <w:lang w:val="zh-CN" w:eastAsia="zh-CN" w:bidi="ar-SA"/>
        </w:rPr>
        <w:t>的项目。</w:t>
      </w:r>
    </w:p>
    <w:p w14:paraId="7EE697C4">
      <w:pPr>
        <w:spacing w:line="580" w:lineRule="exact"/>
        <w:ind w:firstLine="643" w:firstLineChars="200"/>
        <w:contextualSpacing/>
        <w:rPr>
          <w:rFonts w:hint="eastAsia" w:ascii="仿宋" w:hAnsi="仿宋" w:eastAsia="仿宋" w:cs="仿宋_GB2312"/>
          <w:color w:val="000000"/>
          <w:kern w:val="2"/>
          <w:sz w:val="32"/>
          <w:szCs w:val="32"/>
          <w:lang w:val="zh-CN" w:eastAsia="zh-CN" w:bidi="ar-SA"/>
        </w:rPr>
      </w:pPr>
      <w:r>
        <w:rPr>
          <w:rFonts w:hint="eastAsia" w:ascii="仿宋" w:hAnsi="仿宋" w:eastAsia="仿宋" w:cs="仿宋_GB2312"/>
          <w:b/>
          <w:bCs/>
          <w:color w:val="000000"/>
          <w:kern w:val="2"/>
          <w:sz w:val="32"/>
          <w:szCs w:val="32"/>
          <w:lang w:val="zh-CN" w:eastAsia="zh-CN" w:bidi="ar-SA"/>
        </w:rPr>
        <w:t>1.项目决策。</w:t>
      </w:r>
      <w:r>
        <w:rPr>
          <w:rFonts w:hint="eastAsia" w:ascii="仿宋" w:hAnsi="仿宋" w:eastAsia="仿宋" w:cs="仿宋_GB2312"/>
          <w:color w:val="000000"/>
          <w:kern w:val="2"/>
          <w:sz w:val="32"/>
          <w:szCs w:val="32"/>
          <w:lang w:val="zh-CN" w:eastAsia="zh-CN" w:bidi="ar-SA"/>
        </w:rPr>
        <w:t>围绕决策程序、目标设置、项目入库进行绩效分析。</w:t>
      </w:r>
    </w:p>
    <w:p w14:paraId="4EC6DF33">
      <w:pPr>
        <w:pStyle w:val="27"/>
        <w:spacing w:line="58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 xml:space="preserve">自评得分12分。2024年年初预算安排阶段项目（含一次性项目）4个，所有项目均开展事前评估。2024年部门预算项目绩效目标与预算安排匹配，绩效目标设置规范完整、量化细化，且在规定时间内完成项目入库，目标设置与项目入库得满分。 </w:t>
      </w:r>
    </w:p>
    <w:p w14:paraId="2C0FDD6A">
      <w:pPr>
        <w:pStyle w:val="27"/>
        <w:spacing w:line="580" w:lineRule="exact"/>
        <w:ind w:firstLine="643" w:firstLineChars="200"/>
        <w:jc w:val="both"/>
        <w:rPr>
          <w:rFonts w:ascii="仿宋" w:hAnsi="仿宋" w:eastAsia="仿宋" w:cs="仿宋_GB2312"/>
          <w:kern w:val="2"/>
          <w:sz w:val="32"/>
          <w:szCs w:val="32"/>
          <w:lang w:val="zh-CN"/>
        </w:rPr>
      </w:pPr>
      <w:r>
        <w:rPr>
          <w:rFonts w:hint="eastAsia" w:ascii="仿宋" w:hAnsi="仿宋" w:eastAsia="仿宋" w:cs="仿宋_GB2312"/>
          <w:b/>
          <w:kern w:val="2"/>
          <w:sz w:val="32"/>
          <w:szCs w:val="32"/>
        </w:rPr>
        <w:t>2.项目执行</w:t>
      </w:r>
      <w:r>
        <w:rPr>
          <w:rFonts w:hint="eastAsia" w:ascii="仿宋" w:hAnsi="仿宋" w:eastAsia="仿宋" w:cs="仿宋_GB2312"/>
          <w:b/>
          <w:kern w:val="2"/>
          <w:sz w:val="32"/>
          <w:szCs w:val="32"/>
          <w:lang w:val="zh-CN"/>
        </w:rPr>
        <w:t>。</w:t>
      </w:r>
      <w:r>
        <w:rPr>
          <w:rFonts w:hint="eastAsia" w:ascii="仿宋" w:hAnsi="仿宋" w:eastAsia="仿宋" w:cs="仿宋_GB2312"/>
          <w:kern w:val="2"/>
          <w:sz w:val="32"/>
          <w:szCs w:val="32"/>
          <w:lang w:val="zh-CN"/>
        </w:rPr>
        <w:t>围绕资金执行同向、项目调整、执行结果进行绩效分析。</w:t>
      </w:r>
    </w:p>
    <w:p w14:paraId="598E33CD">
      <w:pPr>
        <w:pStyle w:val="27"/>
        <w:spacing w:line="58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自评得分12分。2024年部门预算项目实际列支内容与绩效目标设置方向相符，对实际执行与绩效目标发生偏离的阶段项目及时采取收回预算、调整目标等措施。2024年部门预算项目无结余小于10%的常年项目。</w:t>
      </w:r>
    </w:p>
    <w:p w14:paraId="75EADE0B">
      <w:pPr>
        <w:pStyle w:val="27"/>
        <w:spacing w:line="580" w:lineRule="exact"/>
        <w:ind w:firstLine="643" w:firstLineChars="200"/>
        <w:jc w:val="both"/>
        <w:rPr>
          <w:rFonts w:ascii="仿宋" w:hAnsi="仿宋" w:eastAsia="仿宋" w:cs="仿宋_GB2312"/>
          <w:kern w:val="2"/>
          <w:sz w:val="32"/>
          <w:szCs w:val="32"/>
          <w:lang w:val="zh-CN"/>
        </w:rPr>
      </w:pPr>
      <w:r>
        <w:rPr>
          <w:rFonts w:hint="eastAsia" w:ascii="仿宋" w:hAnsi="仿宋" w:eastAsia="仿宋" w:cs="仿宋_GB2312"/>
          <w:b/>
          <w:kern w:val="2"/>
          <w:sz w:val="32"/>
          <w:szCs w:val="32"/>
        </w:rPr>
        <w:t>3.</w:t>
      </w:r>
      <w:r>
        <w:rPr>
          <w:rFonts w:hint="eastAsia" w:ascii="仿宋" w:hAnsi="仿宋" w:eastAsia="仿宋" w:cs="仿宋_GB2312"/>
          <w:b/>
          <w:kern w:val="2"/>
          <w:sz w:val="32"/>
          <w:szCs w:val="32"/>
          <w:lang w:val="zh-CN"/>
        </w:rPr>
        <w:t>目标实现。</w:t>
      </w:r>
      <w:r>
        <w:rPr>
          <w:rFonts w:hint="eastAsia" w:ascii="仿宋" w:hAnsi="仿宋" w:eastAsia="仿宋" w:cs="仿宋_GB2312"/>
          <w:kern w:val="2"/>
          <w:sz w:val="32"/>
          <w:szCs w:val="32"/>
          <w:lang w:val="zh-CN"/>
        </w:rPr>
        <w:t>围绕目标完成、目标偏离、实现效果进行绩效分析。</w:t>
      </w:r>
    </w:p>
    <w:p w14:paraId="7DC90D80">
      <w:pPr>
        <w:pStyle w:val="27"/>
        <w:spacing w:line="580" w:lineRule="exact"/>
        <w:ind w:firstLine="640" w:firstLineChars="200"/>
        <w:jc w:val="both"/>
        <w:rPr>
          <w:rFonts w:ascii="仿宋" w:hAnsi="仿宋" w:eastAsia="仿宋" w:cs="仿宋_GB2312"/>
          <w:kern w:val="2"/>
          <w:sz w:val="32"/>
          <w:szCs w:val="32"/>
          <w:lang w:val="zh-CN"/>
        </w:rPr>
      </w:pPr>
      <w:r>
        <w:rPr>
          <w:rFonts w:hint="eastAsia" w:ascii="仿宋" w:hAnsi="仿宋" w:eastAsia="仿宋" w:cs="仿宋_GB2312"/>
          <w:kern w:val="2"/>
          <w:sz w:val="32"/>
          <w:szCs w:val="32"/>
        </w:rPr>
        <w:t xml:space="preserve">自评得分11分。2024年部门预算阶段项目绩效目标完成较好，绩效目标数量指标和效益指标基本全部完成。 </w:t>
      </w:r>
    </w:p>
    <w:p w14:paraId="3EA7EA56">
      <w:pPr>
        <w:spacing w:line="580" w:lineRule="exact"/>
        <w:ind w:firstLine="640" w:firstLineChars="200"/>
        <w:rPr>
          <w:rFonts w:hint="eastAsia" w:ascii="Times New Roman" w:hAnsi="Times New Roman" w:eastAsia="仿宋_GB2312" w:cs="Times New Roman"/>
          <w:sz w:val="32"/>
          <w:szCs w:val="32"/>
          <w:highlight w:val="none"/>
          <w:lang w:val="en-US" w:eastAsia="zh-CN"/>
        </w:rPr>
      </w:pPr>
      <w:r>
        <w:rPr>
          <w:rFonts w:hint="eastAsia" w:ascii="仿宋" w:hAnsi="仿宋" w:eastAsia="仿宋" w:cs="仿宋_GB2312"/>
          <w:color w:val="000000"/>
          <w:kern w:val="2"/>
          <w:sz w:val="32"/>
          <w:szCs w:val="32"/>
          <w:lang w:val="en-US" w:eastAsia="zh-CN" w:bidi="ar-SA"/>
        </w:rPr>
        <w:t>今年，我单位对2024年国有资产管理情况进行了绩效评价，自评得分97分。我单位在国有资产管理职能职责设置情况、制度建设、资产到人、报表报送、国有资产配置标准和配置计划执行、资产使用和资产处置和收入归缴等方面整体较好。</w:t>
      </w:r>
    </w:p>
    <w:p w14:paraId="3A591210">
      <w:pPr>
        <w:keepNext w:val="0"/>
        <w:keepLines w:val="0"/>
        <w:pageBreakBefore w:val="0"/>
        <w:widowControl w:val="0"/>
        <w:numPr>
          <w:ilvl w:val="0"/>
          <w:numId w:val="3"/>
        </w:numPr>
        <w:kinsoku/>
        <w:wordWrap/>
        <w:overflowPunct/>
        <w:topLinePunct w:val="0"/>
        <w:autoSpaceDE/>
        <w:autoSpaceDN/>
        <w:bidi w:val="0"/>
        <w:snapToGrid w:val="0"/>
        <w:spacing w:line="600" w:lineRule="exact"/>
        <w:ind w:firstLine="643" w:firstLineChars="200"/>
        <w:textAlignment w:val="auto"/>
        <w:rPr>
          <w:rFonts w:hint="eastAsia" w:ascii="Times New Roman" w:hAnsi="Times New Roman" w:eastAsia="仿宋_GB2312" w:cs="Times New Roman"/>
          <w:sz w:val="32"/>
          <w:szCs w:val="32"/>
          <w:highlight w:val="none"/>
          <w:u w:val="none"/>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highlight w:val="none"/>
          <w:u w:val="none"/>
          <w:lang w:val="zh-CN" w:eastAsia="zh-CN" w:bidi="ar"/>
        </w:rPr>
        <w:t>围绕内部应用情况、</w:t>
      </w:r>
      <w:r>
        <w:rPr>
          <w:rFonts w:hint="default" w:ascii="Times New Roman" w:hAnsi="Times New Roman" w:eastAsia="仿宋_GB2312" w:cs="Times New Roman"/>
          <w:sz w:val="32"/>
          <w:szCs w:val="32"/>
          <w:highlight w:val="none"/>
          <w:u w:val="none"/>
          <w:lang w:val="zh-CN" w:eastAsia="zh-CN" w:bidi="ar"/>
        </w:rPr>
        <w:t>信息公开情况</w:t>
      </w:r>
      <w:r>
        <w:rPr>
          <w:rFonts w:hint="eastAsia" w:ascii="Times New Roman" w:hAnsi="Times New Roman" w:eastAsia="仿宋_GB2312" w:cs="Times New Roman"/>
          <w:sz w:val="32"/>
          <w:szCs w:val="32"/>
          <w:highlight w:val="none"/>
          <w:u w:val="none"/>
          <w:lang w:val="zh-CN" w:eastAsia="zh-CN" w:bidi="ar"/>
        </w:rPr>
        <w:t>、</w:t>
      </w:r>
      <w:r>
        <w:rPr>
          <w:rFonts w:hint="default" w:ascii="Times New Roman" w:hAnsi="Times New Roman" w:eastAsia="仿宋_GB2312" w:cs="Times New Roman"/>
          <w:sz w:val="32"/>
          <w:szCs w:val="32"/>
          <w:highlight w:val="none"/>
          <w:u w:val="none"/>
          <w:lang w:val="zh-CN" w:eastAsia="zh-CN" w:bidi="ar"/>
        </w:rPr>
        <w:t>整改反馈情况</w:t>
      </w:r>
      <w:r>
        <w:rPr>
          <w:rFonts w:hint="eastAsia" w:ascii="Times New Roman" w:hAnsi="Times New Roman" w:eastAsia="仿宋_GB2312" w:cs="Times New Roman"/>
          <w:sz w:val="32"/>
          <w:szCs w:val="32"/>
          <w:highlight w:val="none"/>
          <w:u w:val="none"/>
          <w:lang w:val="zh-CN" w:eastAsia="zh-CN" w:bidi="ar"/>
        </w:rPr>
        <w:t>进行分析。</w:t>
      </w:r>
    </w:p>
    <w:p w14:paraId="022F5BE2">
      <w:pPr>
        <w:spacing w:line="580" w:lineRule="exact"/>
        <w:ind w:firstLine="640" w:firstLineChars="200"/>
        <w:rPr>
          <w:rFonts w:ascii="仿宋" w:hAnsi="仿宋" w:eastAsia="仿宋" w:cs="仿宋_GB2312"/>
          <w:color w:val="000000"/>
          <w:szCs w:val="32"/>
        </w:rPr>
      </w:pPr>
      <w:r>
        <w:rPr>
          <w:rFonts w:hint="eastAsia" w:ascii="Times New Roman" w:hAnsi="Times New Roman" w:eastAsia="仿宋_GB2312" w:cs="Times New Roman"/>
          <w:sz w:val="32"/>
          <w:szCs w:val="32"/>
          <w:highlight w:val="none"/>
          <w:u w:val="none"/>
          <w:lang w:val="zh-CN" w:eastAsia="zh-CN" w:bidi="ar"/>
        </w:rPr>
        <w:t>一是全覆盖开展事前绩效评估。对各单位报送的2024年度部门预算项目中符合评审条件的1个其他运转类和</w:t>
      </w:r>
      <w:r>
        <w:rPr>
          <w:rFonts w:hint="eastAsia" w:eastAsia="仿宋_GB2312" w:cs="Times New Roman"/>
          <w:sz w:val="32"/>
          <w:szCs w:val="32"/>
          <w:highlight w:val="none"/>
          <w:u w:val="none"/>
          <w:lang w:val="en-US" w:eastAsia="zh-CN" w:bidi="ar"/>
        </w:rPr>
        <w:t>5</w:t>
      </w:r>
      <w:r>
        <w:rPr>
          <w:rFonts w:hint="eastAsia" w:ascii="Times New Roman" w:hAnsi="Times New Roman" w:eastAsia="仿宋_GB2312" w:cs="Times New Roman"/>
          <w:sz w:val="32"/>
          <w:szCs w:val="32"/>
          <w:highlight w:val="none"/>
          <w:u w:val="none"/>
          <w:lang w:val="zh-CN" w:eastAsia="zh-CN" w:bidi="ar"/>
        </w:rPr>
        <w:t>个特定目标类项目进行了事前绩效评估和预算评审。二是定期开展绩效运行监控。严格落实部门预算绩效监控工作，按月对预算项目绩效目标实现程度和预算执行进度进行“双监控”，及时发现项目管理运作和资金拨付使用过程中的薄弱环节，纠正执行偏差，推动部门整体支出绩效目标如期完成。三是将绩效与资金安排挂钩。把资金绩效结果作为对下一年资金的分配重要依据。树立鲜明导向，督促提升资金绩效，确保充分发挥财政资金在深入打好污染防治攻坚战中的保障引导作用。</w:t>
      </w:r>
    </w:p>
    <w:p w14:paraId="00200D0A">
      <w:pPr>
        <w:pStyle w:val="36"/>
        <w:numPr>
          <w:ilvl w:val="0"/>
          <w:numId w:val="0"/>
        </w:numPr>
        <w:rPr>
          <w:rFonts w:hint="default"/>
        </w:rPr>
      </w:pPr>
    </w:p>
    <w:p w14:paraId="3C0266C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3EC9805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Times New Roman" w:hAnsi="Times New Roman" w:eastAsia="仿宋_GB2312" w:cs="Times New Roman"/>
          <w:sz w:val="32"/>
          <w:szCs w:val="32"/>
          <w:u w:val="none"/>
          <w:lang w:val="en-US" w:eastAsia="zh-CN" w:bidi="ar"/>
        </w:rPr>
        <w:t>简要阐述部门预算绩效自评总体结论，其中必须包含自评得分。</w:t>
      </w:r>
    </w:p>
    <w:p w14:paraId="79A996A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u w:val="none"/>
          <w:lang w:val="en-US" w:eastAsia="zh-CN" w:bidi="ar"/>
        </w:rPr>
      </w:pPr>
      <w:r>
        <w:rPr>
          <w:rFonts w:hint="eastAsia" w:ascii="Times New Roman" w:hAnsi="Times New Roman" w:eastAsia="仿宋_GB2312" w:cs="Times New Roman"/>
          <w:sz w:val="32"/>
          <w:szCs w:val="32"/>
          <w:u w:val="none"/>
          <w:lang w:val="en-US" w:eastAsia="zh-CN" w:bidi="ar"/>
        </w:rPr>
        <w:t>2024年度，单位整体支出绩效目标与法律法规、部门职责、中长期规划相符，目标任务合理可行。预算测算依据充分，支出预决算偏差度较小，绩效监控管理较严格。执收非税收入符合相关规定并上缴及时，资产管理规范，内控制度健全并执行有效，相关信息公开及时。任务指标完成情况较好，可持续发展能力提升明显，协作部门、管理对象和社会公众基本满意。2024年度单位整体支出绩效良好，自评总得分97分。</w:t>
      </w:r>
    </w:p>
    <w:p w14:paraId="7304422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eastAsia" w:ascii="Times New Roman" w:hAnsi="Times New Roman" w:eastAsia="仿宋_GB2312" w:cs="Times New Roman"/>
          <w:kern w:val="2"/>
          <w:sz w:val="32"/>
          <w:szCs w:val="32"/>
          <w:lang w:val="en-US" w:eastAsia="zh-CN" w:bidi="ar"/>
        </w:rPr>
        <w:t>（二）</w:t>
      </w:r>
      <w:r>
        <w:rPr>
          <w:rFonts w:hint="default" w:ascii="Times New Roman" w:hAnsi="Times New Roman" w:eastAsia="楷体_GB2312" w:cs="Times New Roman"/>
          <w:b/>
          <w:bCs/>
          <w:color w:val="000000"/>
          <w:kern w:val="0"/>
          <w:sz w:val="32"/>
          <w:szCs w:val="32"/>
          <w:highlight w:val="none"/>
          <w:shd w:val="clear" w:color="auto" w:fill="FFFFFF"/>
          <w:lang w:val="zh-CN"/>
        </w:rPr>
        <w:t>存在问题。</w:t>
      </w:r>
      <w:r>
        <w:rPr>
          <w:rFonts w:hint="eastAsia" w:ascii="Times New Roman" w:hAnsi="Times New Roman" w:eastAsia="仿宋_GB2312" w:cs="Times New Roman"/>
          <w:sz w:val="32"/>
          <w:szCs w:val="32"/>
          <w:u w:val="none"/>
          <w:lang w:val="en-US" w:eastAsia="zh-CN" w:bidi="ar"/>
        </w:rPr>
        <w:t>简要阐述部门预算绩效自评发现的主要问题。</w:t>
      </w:r>
    </w:p>
    <w:p w14:paraId="2271748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lang w:val="en-US" w:eastAsia="zh-CN"/>
        </w:rPr>
      </w:pPr>
      <w:r>
        <w:rPr>
          <w:rFonts w:hint="eastAsia" w:ascii="Times New Roman" w:hAnsi="Times New Roman" w:eastAsia="仿宋_GB2312" w:cs="Times New Roman"/>
          <w:sz w:val="32"/>
          <w:szCs w:val="32"/>
          <w:u w:val="none"/>
          <w:lang w:val="en-US" w:eastAsia="zh-CN" w:bidi="ar"/>
        </w:rPr>
        <w:t>2024年，行政审批局预算资金管理工作整体向好，成效显著，但仍存在不足。一是预算执行进度仍需提高。二是绩效目标编制仍需完善。目前单位在绩效目标编制时，对绩效管理的认识还不够深，存在绩效目标设置不完整，部分绩效目标设定不够合理、不够细化的情况。</w:t>
      </w:r>
    </w:p>
    <w:p w14:paraId="628F9D2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r>
        <w:rPr>
          <w:rFonts w:hint="eastAsia" w:ascii="Times New Roman" w:hAnsi="Times New Roman" w:eastAsia="仿宋_GB2312" w:cs="Times New Roman"/>
          <w:sz w:val="32"/>
          <w:szCs w:val="32"/>
          <w:u w:val="none"/>
          <w:lang w:val="en-US" w:eastAsia="zh-CN" w:bidi="ar"/>
        </w:rPr>
        <w:t>简要阐述</w:t>
      </w:r>
      <w:bookmarkStart w:id="53" w:name="_Hlk110546638"/>
      <w:r>
        <w:rPr>
          <w:rFonts w:hint="eastAsia" w:ascii="Times New Roman" w:hAnsi="Times New Roman" w:eastAsia="仿宋_GB2312" w:cs="Times New Roman"/>
          <w:sz w:val="32"/>
          <w:szCs w:val="32"/>
          <w:u w:val="none"/>
          <w:lang w:val="en" w:eastAsia="zh-CN" w:bidi="ar"/>
        </w:rPr>
        <w:t>预算安排、完善政策、改进管理等方面的</w:t>
      </w:r>
      <w:r>
        <w:rPr>
          <w:rFonts w:hint="eastAsia" w:ascii="Times New Roman" w:hAnsi="Times New Roman" w:eastAsia="仿宋_GB2312" w:cs="Times New Roman"/>
          <w:sz w:val="32"/>
          <w:szCs w:val="32"/>
          <w:u w:val="none"/>
          <w:lang w:val="en-US" w:eastAsia="zh-CN" w:bidi="ar"/>
        </w:rPr>
        <w:t>措施</w:t>
      </w:r>
      <w:r>
        <w:rPr>
          <w:rFonts w:hint="eastAsia" w:ascii="Times New Roman" w:hAnsi="Times New Roman" w:eastAsia="仿宋_GB2312" w:cs="Times New Roman"/>
          <w:sz w:val="32"/>
          <w:szCs w:val="32"/>
          <w:u w:val="none"/>
          <w:lang w:val="en" w:eastAsia="zh-CN" w:bidi="ar"/>
        </w:rPr>
        <w:t>建议，其中</w:t>
      </w:r>
      <w:r>
        <w:rPr>
          <w:rFonts w:hint="eastAsia" w:ascii="Times New Roman" w:hAnsi="Times New Roman" w:eastAsia="仿宋_GB2312" w:cs="Times New Roman"/>
          <w:sz w:val="32"/>
          <w:szCs w:val="32"/>
          <w:u w:val="none"/>
          <w:lang w:val="en-US" w:eastAsia="zh-CN" w:bidi="ar"/>
        </w:rPr>
        <w:t>必须对应评价发现的主要问题一一提出措施建议。</w:t>
      </w:r>
    </w:p>
    <w:bookmarkEnd w:id="53"/>
    <w:p w14:paraId="38B7577E">
      <w:pPr>
        <w:pStyle w:val="27"/>
        <w:spacing w:line="580" w:lineRule="exact"/>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下一步，我单位按沐川县财政局对资金管理“三管三必须”要求，继续强化绩效管理监督工作，压紧压实资金使用的主体责任，推动预算绩效管理工作迈上新台阶。一是积极推动预算执行。运用绩效运行监控、重点评价等措施，对资金使用和项目实施等阶段性完成情况进行动态跟踪监控，掌握预算执行动态，提前研判预算执行中存在的问题，及时纠正偏差，推动加快预算执行。二是抓紧抓好绩效目标管理。探索制定绩效目标编制指南和技术规范，加强对有关单位资金项目绩效目标设置的指导和技术帮扶，督促其进一步细化量化绩效目标设置，提升绩效目标编制质量，提高绩效目标的合理性和准确性，积极发挥绩效目标引领作用。三是积极运用绩效评价结果。进一步完善绩效评价结果反馈和运用机制，增强资金使用单位的责任感和紧迫感。将绩效管理工作推进不力或造成重大影响的情况，作为项目负责人评先评优和调整的重要考量因素。将评价结果作为安排以后年度预算的重要依据，将一些绩效评价结果不好的项目取消，切实发挥绩效评价工作的应有作用。</w:t>
      </w:r>
    </w:p>
    <w:p w14:paraId="4A118910">
      <w:pPr>
        <w:spacing w:line="580" w:lineRule="exact"/>
        <w:ind w:firstLine="420" w:firstLineChars="200"/>
        <w:contextualSpacing/>
        <w:rPr>
          <w:rFonts w:ascii="仿宋" w:hAnsi="仿宋" w:eastAsia="仿宋" w:cs="仿宋_GB2312"/>
          <w:color w:val="000000"/>
          <w:szCs w:val="32"/>
        </w:rPr>
      </w:pPr>
    </w:p>
    <w:p w14:paraId="42978D93">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68B70C9F">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5C79684D">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A3DD0BA">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0A4988AC">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765D46C7">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1D41C353">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51069514">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328F942A">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39922F75">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7714F54E">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0C9CB4D4">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7BBD1990">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158F39E6">
      <w:pPr>
        <w:pStyle w:val="6"/>
        <w:rPr>
          <w:rFonts w:hint="eastAsia" w:ascii="Times New Roman" w:hAnsi="Times New Roman" w:cs="宋体"/>
          <w:color w:val="FF0000"/>
          <w:kern w:val="0"/>
          <w:sz w:val="32"/>
          <w:szCs w:val="32"/>
          <w:highlight w:val="yellow"/>
          <w:shd w:val="clear" w:color="auto" w:fill="FFFFFF"/>
          <w:lang w:val="zh-CN"/>
        </w:rPr>
      </w:pPr>
    </w:p>
    <w:p w14:paraId="083B8361">
      <w:pPr>
        <w:rPr>
          <w:rFonts w:ascii="黑体" w:hAnsi="黑体" w:eastAsia="黑体"/>
        </w:rPr>
      </w:pPr>
      <w:r>
        <w:rPr>
          <w:rFonts w:hint="eastAsia" w:ascii="黑体" w:hAnsi="黑体" w:eastAsia="黑体"/>
        </w:rPr>
        <w:t>附表</w:t>
      </w:r>
    </w:p>
    <w:tbl>
      <w:tblPr>
        <w:tblStyle w:val="16"/>
        <w:tblW w:w="0" w:type="auto"/>
        <w:tblInd w:w="-176" w:type="dxa"/>
        <w:tblLayout w:type="fixed"/>
        <w:tblCellMar>
          <w:top w:w="0" w:type="dxa"/>
          <w:left w:w="108" w:type="dxa"/>
          <w:bottom w:w="0" w:type="dxa"/>
          <w:right w:w="108" w:type="dxa"/>
        </w:tblCellMar>
      </w:tblPr>
      <w:tblGrid>
        <w:gridCol w:w="710"/>
        <w:gridCol w:w="708"/>
        <w:gridCol w:w="2127"/>
        <w:gridCol w:w="708"/>
        <w:gridCol w:w="1701"/>
        <w:gridCol w:w="567"/>
        <w:gridCol w:w="1804"/>
        <w:gridCol w:w="456"/>
        <w:gridCol w:w="456"/>
      </w:tblGrid>
      <w:tr w14:paraId="7BF80F0D">
        <w:tblPrEx>
          <w:tblCellMar>
            <w:top w:w="0" w:type="dxa"/>
            <w:left w:w="108" w:type="dxa"/>
            <w:bottom w:w="0" w:type="dxa"/>
            <w:right w:w="108" w:type="dxa"/>
          </w:tblCellMar>
        </w:tblPrEx>
        <w:trPr>
          <w:trHeight w:val="735" w:hRule="atLeast"/>
        </w:trPr>
        <w:tc>
          <w:tcPr>
            <w:tcW w:w="9237" w:type="dxa"/>
            <w:gridSpan w:val="9"/>
            <w:tcBorders>
              <w:top w:val="nil"/>
              <w:left w:val="nil"/>
              <w:bottom w:val="single" w:color="auto" w:sz="4" w:space="0"/>
              <w:right w:val="nil"/>
            </w:tcBorders>
            <w:shd w:val="clear" w:color="auto" w:fill="auto"/>
            <w:vAlign w:val="center"/>
          </w:tcPr>
          <w:p w14:paraId="54305D31">
            <w:pPr>
              <w:widowControl/>
              <w:spacing w:line="60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部门整体支出绩效自评打分表</w:t>
            </w:r>
          </w:p>
        </w:tc>
      </w:tr>
      <w:tr w14:paraId="32F0C1AC">
        <w:tblPrEx>
          <w:tblCellMar>
            <w:top w:w="0" w:type="dxa"/>
            <w:left w:w="108" w:type="dxa"/>
            <w:bottom w:w="0" w:type="dxa"/>
            <w:right w:w="108" w:type="dxa"/>
          </w:tblCellMar>
        </w:tblPrEx>
        <w:trPr>
          <w:trHeight w:val="630" w:hRule="atLeast"/>
        </w:trPr>
        <w:tc>
          <w:tcPr>
            <w:tcW w:w="425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6E1E72F">
            <w:pPr>
              <w:widowControl/>
              <w:spacing w:line="240" w:lineRule="exact"/>
              <w:jc w:val="center"/>
              <w:rPr>
                <w:rFonts w:ascii="黑体" w:hAnsi="黑体" w:eastAsia="黑体" w:cs="宋体"/>
                <w:kern w:val="0"/>
                <w:sz w:val="24"/>
              </w:rPr>
            </w:pPr>
            <w:r>
              <w:rPr>
                <w:rFonts w:hint="eastAsia" w:ascii="黑体" w:hAnsi="黑体" w:eastAsia="黑体" w:cs="宋体"/>
                <w:kern w:val="0"/>
                <w:sz w:val="24"/>
              </w:rPr>
              <w:t>绩效评价指标指标分值</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5DE4E15A">
            <w:pPr>
              <w:widowControl/>
              <w:spacing w:line="240" w:lineRule="exact"/>
              <w:jc w:val="center"/>
              <w:rPr>
                <w:rFonts w:ascii="黑体" w:hAnsi="黑体" w:eastAsia="黑体" w:cs="宋体"/>
                <w:kern w:val="0"/>
                <w:sz w:val="24"/>
              </w:rPr>
            </w:pPr>
            <w:r>
              <w:rPr>
                <w:rFonts w:hint="eastAsia" w:ascii="黑体" w:hAnsi="黑体" w:eastAsia="黑体" w:cs="宋体"/>
                <w:kern w:val="0"/>
                <w:sz w:val="24"/>
              </w:rPr>
              <w:t>指标解释</w:t>
            </w:r>
          </w:p>
        </w:tc>
        <w:tc>
          <w:tcPr>
            <w:tcW w:w="567" w:type="dxa"/>
            <w:vMerge w:val="restart"/>
            <w:tcBorders>
              <w:top w:val="nil"/>
              <w:left w:val="single" w:color="auto" w:sz="4" w:space="0"/>
              <w:bottom w:val="single" w:color="auto" w:sz="4" w:space="0"/>
              <w:right w:val="single" w:color="auto" w:sz="4" w:space="0"/>
            </w:tcBorders>
            <w:shd w:val="clear" w:color="auto" w:fill="auto"/>
            <w:vAlign w:val="center"/>
          </w:tcPr>
          <w:p w14:paraId="4A84B10B">
            <w:pPr>
              <w:widowControl/>
              <w:spacing w:line="240" w:lineRule="exact"/>
              <w:jc w:val="center"/>
              <w:rPr>
                <w:rFonts w:ascii="黑体" w:hAnsi="黑体" w:eastAsia="黑体" w:cs="宋体"/>
                <w:kern w:val="0"/>
                <w:sz w:val="24"/>
              </w:rPr>
            </w:pPr>
            <w:r>
              <w:rPr>
                <w:rFonts w:hint="eastAsia" w:ascii="黑体" w:hAnsi="黑体" w:eastAsia="黑体" w:cs="宋体"/>
                <w:kern w:val="0"/>
                <w:sz w:val="24"/>
              </w:rPr>
              <w:t>评分方法</w:t>
            </w:r>
          </w:p>
        </w:tc>
        <w:tc>
          <w:tcPr>
            <w:tcW w:w="1804" w:type="dxa"/>
            <w:vMerge w:val="restart"/>
            <w:tcBorders>
              <w:top w:val="nil"/>
              <w:left w:val="single" w:color="auto" w:sz="4" w:space="0"/>
              <w:bottom w:val="single" w:color="auto" w:sz="4" w:space="0"/>
              <w:right w:val="single" w:color="auto" w:sz="4" w:space="0"/>
            </w:tcBorders>
            <w:shd w:val="clear" w:color="auto" w:fill="auto"/>
            <w:vAlign w:val="center"/>
          </w:tcPr>
          <w:p w14:paraId="288CC263">
            <w:pPr>
              <w:widowControl/>
              <w:spacing w:line="240" w:lineRule="exact"/>
              <w:jc w:val="center"/>
              <w:rPr>
                <w:rFonts w:ascii="黑体" w:hAnsi="黑体" w:eastAsia="黑体" w:cs="宋体"/>
                <w:kern w:val="0"/>
                <w:sz w:val="24"/>
              </w:rPr>
            </w:pPr>
            <w:r>
              <w:rPr>
                <w:rFonts w:hint="eastAsia" w:ascii="黑体" w:hAnsi="黑体" w:eastAsia="黑体" w:cs="宋体"/>
                <w:kern w:val="0"/>
                <w:sz w:val="24"/>
              </w:rPr>
              <w:t>评分说明</w:t>
            </w: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14:paraId="23A204B0">
            <w:pPr>
              <w:widowControl/>
              <w:spacing w:line="240" w:lineRule="exact"/>
              <w:jc w:val="center"/>
              <w:rPr>
                <w:rFonts w:ascii="黑体" w:hAnsi="黑体" w:eastAsia="黑体" w:cs="宋体"/>
                <w:kern w:val="0"/>
                <w:sz w:val="24"/>
              </w:rPr>
            </w:pPr>
            <w:r>
              <w:rPr>
                <w:rFonts w:hint="eastAsia" w:ascii="黑体" w:hAnsi="黑体" w:eastAsia="黑体" w:cs="宋体"/>
                <w:kern w:val="0"/>
                <w:sz w:val="24"/>
              </w:rPr>
              <w:t>自评得分</w:t>
            </w: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14:paraId="58341E5F">
            <w:pPr>
              <w:widowControl/>
              <w:spacing w:line="240" w:lineRule="exact"/>
              <w:jc w:val="center"/>
              <w:rPr>
                <w:rFonts w:ascii="黑体" w:hAnsi="黑体" w:eastAsia="黑体" w:cs="宋体"/>
                <w:kern w:val="0"/>
                <w:sz w:val="24"/>
              </w:rPr>
            </w:pPr>
            <w:r>
              <w:rPr>
                <w:rFonts w:hint="eastAsia" w:ascii="黑体" w:hAnsi="黑体" w:eastAsia="黑体" w:cs="宋体"/>
                <w:kern w:val="0"/>
                <w:sz w:val="24"/>
              </w:rPr>
              <w:t>备注</w:t>
            </w:r>
          </w:p>
        </w:tc>
      </w:tr>
      <w:tr w14:paraId="274C376D">
        <w:tblPrEx>
          <w:tblCellMar>
            <w:top w:w="0" w:type="dxa"/>
            <w:left w:w="108" w:type="dxa"/>
            <w:bottom w:w="0" w:type="dxa"/>
            <w:right w:w="108" w:type="dxa"/>
          </w:tblCellMar>
        </w:tblPrEx>
        <w:trPr>
          <w:trHeight w:val="360" w:hRule="atLeast"/>
        </w:trPr>
        <w:tc>
          <w:tcPr>
            <w:tcW w:w="710" w:type="dxa"/>
            <w:tcBorders>
              <w:top w:val="nil"/>
              <w:left w:val="single" w:color="auto" w:sz="4" w:space="0"/>
              <w:bottom w:val="single" w:color="auto" w:sz="4" w:space="0"/>
              <w:right w:val="nil"/>
            </w:tcBorders>
            <w:shd w:val="clear" w:color="auto" w:fill="auto"/>
            <w:vAlign w:val="center"/>
          </w:tcPr>
          <w:p w14:paraId="4F02FBCF">
            <w:pPr>
              <w:widowControl/>
              <w:spacing w:line="240" w:lineRule="exact"/>
              <w:jc w:val="center"/>
              <w:rPr>
                <w:rFonts w:ascii="黑体" w:hAnsi="黑体" w:eastAsia="黑体" w:cs="宋体"/>
                <w:kern w:val="0"/>
                <w:sz w:val="24"/>
              </w:rPr>
            </w:pPr>
            <w:r>
              <w:rPr>
                <w:rFonts w:hint="eastAsia" w:ascii="黑体" w:hAnsi="黑体" w:eastAsia="黑体" w:cs="宋体"/>
                <w:kern w:val="0"/>
                <w:sz w:val="24"/>
              </w:rPr>
              <w:t>一级指标</w:t>
            </w:r>
          </w:p>
        </w:tc>
        <w:tc>
          <w:tcPr>
            <w:tcW w:w="708" w:type="dxa"/>
            <w:tcBorders>
              <w:top w:val="nil"/>
              <w:left w:val="single" w:color="auto" w:sz="4" w:space="0"/>
              <w:bottom w:val="single" w:color="auto" w:sz="4" w:space="0"/>
              <w:right w:val="single" w:color="auto" w:sz="4" w:space="0"/>
            </w:tcBorders>
            <w:shd w:val="clear" w:color="auto" w:fill="auto"/>
            <w:vAlign w:val="center"/>
          </w:tcPr>
          <w:p w14:paraId="09439428">
            <w:pPr>
              <w:widowControl/>
              <w:spacing w:line="240" w:lineRule="exact"/>
              <w:jc w:val="center"/>
              <w:rPr>
                <w:rFonts w:ascii="黑体" w:hAnsi="黑体" w:eastAsia="黑体" w:cs="宋体"/>
                <w:kern w:val="0"/>
                <w:sz w:val="24"/>
              </w:rPr>
            </w:pPr>
            <w:r>
              <w:rPr>
                <w:rFonts w:hint="eastAsia" w:ascii="黑体" w:hAnsi="黑体" w:eastAsia="黑体" w:cs="宋体"/>
                <w:kern w:val="0"/>
                <w:sz w:val="24"/>
              </w:rPr>
              <w:t>二级指标</w:t>
            </w:r>
          </w:p>
        </w:tc>
        <w:tc>
          <w:tcPr>
            <w:tcW w:w="2127" w:type="dxa"/>
            <w:tcBorders>
              <w:top w:val="nil"/>
              <w:left w:val="nil"/>
              <w:bottom w:val="single" w:color="auto" w:sz="4" w:space="0"/>
              <w:right w:val="single" w:color="auto" w:sz="4" w:space="0"/>
            </w:tcBorders>
            <w:shd w:val="clear" w:color="auto" w:fill="auto"/>
            <w:vAlign w:val="center"/>
          </w:tcPr>
          <w:p w14:paraId="71FAEABB">
            <w:pPr>
              <w:widowControl/>
              <w:spacing w:line="240" w:lineRule="exact"/>
              <w:jc w:val="center"/>
              <w:rPr>
                <w:rFonts w:ascii="黑体" w:hAnsi="黑体" w:eastAsia="黑体" w:cs="宋体"/>
                <w:kern w:val="0"/>
                <w:sz w:val="24"/>
              </w:rPr>
            </w:pPr>
            <w:r>
              <w:rPr>
                <w:rFonts w:hint="eastAsia" w:ascii="黑体" w:hAnsi="黑体" w:eastAsia="黑体" w:cs="宋体"/>
                <w:kern w:val="0"/>
                <w:sz w:val="24"/>
              </w:rPr>
              <w:t>三级指标</w:t>
            </w:r>
          </w:p>
        </w:tc>
        <w:tc>
          <w:tcPr>
            <w:tcW w:w="708" w:type="dxa"/>
            <w:tcBorders>
              <w:top w:val="nil"/>
              <w:left w:val="nil"/>
              <w:bottom w:val="single" w:color="auto" w:sz="4" w:space="0"/>
              <w:right w:val="single" w:color="auto" w:sz="4" w:space="0"/>
            </w:tcBorders>
            <w:shd w:val="clear" w:color="auto" w:fill="auto"/>
            <w:vAlign w:val="center"/>
          </w:tcPr>
          <w:p w14:paraId="675E12C6">
            <w:pPr>
              <w:widowControl/>
              <w:spacing w:line="240" w:lineRule="exact"/>
              <w:jc w:val="center"/>
              <w:rPr>
                <w:rFonts w:ascii="黑体" w:hAnsi="黑体" w:eastAsia="黑体" w:cs="宋体"/>
                <w:kern w:val="0"/>
                <w:sz w:val="24"/>
              </w:rPr>
            </w:pPr>
            <w:r>
              <w:rPr>
                <w:rFonts w:hint="eastAsia" w:ascii="黑体" w:hAnsi="黑体" w:eastAsia="黑体" w:cs="宋体"/>
                <w:kern w:val="0"/>
                <w:sz w:val="24"/>
              </w:rPr>
              <w:t>指标分值</w:t>
            </w:r>
          </w:p>
        </w:tc>
        <w:tc>
          <w:tcPr>
            <w:tcW w:w="1701" w:type="dxa"/>
            <w:vMerge w:val="continue"/>
            <w:tcBorders>
              <w:top w:val="nil"/>
              <w:left w:val="single" w:color="auto" w:sz="4" w:space="0"/>
              <w:bottom w:val="single" w:color="auto" w:sz="4" w:space="0"/>
              <w:right w:val="single" w:color="auto" w:sz="4" w:space="0"/>
            </w:tcBorders>
            <w:vAlign w:val="center"/>
          </w:tcPr>
          <w:p w14:paraId="021DCB09">
            <w:pPr>
              <w:widowControl/>
              <w:spacing w:line="240" w:lineRule="exact"/>
              <w:jc w:val="left"/>
              <w:rPr>
                <w:rFonts w:ascii="黑体" w:hAnsi="黑体" w:eastAsia="黑体" w:cs="宋体"/>
                <w:kern w:val="0"/>
                <w:sz w:val="24"/>
              </w:rPr>
            </w:pPr>
          </w:p>
        </w:tc>
        <w:tc>
          <w:tcPr>
            <w:tcW w:w="567" w:type="dxa"/>
            <w:vMerge w:val="continue"/>
            <w:tcBorders>
              <w:top w:val="nil"/>
              <w:left w:val="single" w:color="auto" w:sz="4" w:space="0"/>
              <w:bottom w:val="single" w:color="auto" w:sz="4" w:space="0"/>
              <w:right w:val="single" w:color="auto" w:sz="4" w:space="0"/>
            </w:tcBorders>
            <w:vAlign w:val="center"/>
          </w:tcPr>
          <w:p w14:paraId="1104A983">
            <w:pPr>
              <w:widowControl/>
              <w:spacing w:line="240" w:lineRule="exact"/>
              <w:jc w:val="left"/>
              <w:rPr>
                <w:rFonts w:ascii="黑体" w:hAnsi="黑体" w:eastAsia="黑体" w:cs="宋体"/>
                <w:kern w:val="0"/>
                <w:sz w:val="24"/>
              </w:rPr>
            </w:pPr>
          </w:p>
        </w:tc>
        <w:tc>
          <w:tcPr>
            <w:tcW w:w="1804" w:type="dxa"/>
            <w:vMerge w:val="continue"/>
            <w:tcBorders>
              <w:top w:val="nil"/>
              <w:left w:val="single" w:color="auto" w:sz="4" w:space="0"/>
              <w:bottom w:val="single" w:color="auto" w:sz="4" w:space="0"/>
              <w:right w:val="single" w:color="auto" w:sz="4" w:space="0"/>
            </w:tcBorders>
            <w:vAlign w:val="center"/>
          </w:tcPr>
          <w:p w14:paraId="62FD2706">
            <w:pPr>
              <w:widowControl/>
              <w:spacing w:line="240" w:lineRule="exact"/>
              <w:jc w:val="left"/>
              <w:rPr>
                <w:rFonts w:ascii="黑体" w:hAnsi="黑体" w:eastAsia="黑体" w:cs="宋体"/>
                <w:kern w:val="0"/>
                <w:sz w:val="24"/>
              </w:rPr>
            </w:pPr>
          </w:p>
        </w:tc>
        <w:tc>
          <w:tcPr>
            <w:tcW w:w="456" w:type="dxa"/>
            <w:vMerge w:val="continue"/>
            <w:tcBorders>
              <w:top w:val="nil"/>
              <w:left w:val="single" w:color="auto" w:sz="4" w:space="0"/>
              <w:bottom w:val="single" w:color="000000" w:sz="4" w:space="0"/>
              <w:right w:val="single" w:color="auto" w:sz="4" w:space="0"/>
            </w:tcBorders>
            <w:vAlign w:val="center"/>
          </w:tcPr>
          <w:p w14:paraId="4C54F05A">
            <w:pPr>
              <w:widowControl/>
              <w:spacing w:line="240" w:lineRule="exact"/>
              <w:jc w:val="left"/>
              <w:rPr>
                <w:rFonts w:ascii="黑体" w:hAnsi="黑体" w:eastAsia="黑体" w:cs="宋体"/>
                <w:kern w:val="0"/>
                <w:sz w:val="24"/>
              </w:rPr>
            </w:pPr>
          </w:p>
        </w:tc>
        <w:tc>
          <w:tcPr>
            <w:tcW w:w="456" w:type="dxa"/>
            <w:vMerge w:val="continue"/>
            <w:tcBorders>
              <w:top w:val="nil"/>
              <w:left w:val="single" w:color="auto" w:sz="4" w:space="0"/>
              <w:bottom w:val="single" w:color="000000" w:sz="4" w:space="0"/>
              <w:right w:val="single" w:color="auto" w:sz="4" w:space="0"/>
            </w:tcBorders>
            <w:vAlign w:val="center"/>
          </w:tcPr>
          <w:p w14:paraId="701F2FC2">
            <w:pPr>
              <w:widowControl/>
              <w:spacing w:line="240" w:lineRule="exact"/>
              <w:jc w:val="left"/>
              <w:rPr>
                <w:rFonts w:ascii="黑体" w:hAnsi="黑体" w:eastAsia="黑体" w:cs="宋体"/>
                <w:kern w:val="0"/>
                <w:sz w:val="24"/>
              </w:rPr>
            </w:pPr>
          </w:p>
        </w:tc>
      </w:tr>
      <w:tr w14:paraId="79A3FB66">
        <w:tblPrEx>
          <w:tblCellMar>
            <w:top w:w="0" w:type="dxa"/>
            <w:left w:w="108" w:type="dxa"/>
            <w:bottom w:w="0" w:type="dxa"/>
            <w:right w:w="108" w:type="dxa"/>
          </w:tblCellMar>
        </w:tblPrEx>
        <w:trPr>
          <w:trHeight w:val="390" w:hRule="atLeast"/>
        </w:trPr>
        <w:tc>
          <w:tcPr>
            <w:tcW w:w="710" w:type="dxa"/>
            <w:vMerge w:val="restart"/>
            <w:tcBorders>
              <w:top w:val="nil"/>
              <w:left w:val="single" w:color="auto" w:sz="4" w:space="0"/>
              <w:bottom w:val="single" w:color="000000" w:sz="4" w:space="0"/>
              <w:right w:val="single" w:color="auto" w:sz="4" w:space="0"/>
            </w:tcBorders>
            <w:shd w:val="clear" w:color="auto" w:fill="auto"/>
            <w:vAlign w:val="center"/>
          </w:tcPr>
          <w:p w14:paraId="2D086079">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总体绩效</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（65分）</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5D2BFF30">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履职效能</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（15分）</w:t>
            </w:r>
          </w:p>
        </w:tc>
        <w:tc>
          <w:tcPr>
            <w:tcW w:w="2127" w:type="dxa"/>
            <w:tcBorders>
              <w:top w:val="nil"/>
              <w:left w:val="nil"/>
              <w:bottom w:val="single" w:color="auto" w:sz="4" w:space="0"/>
              <w:right w:val="single" w:color="auto" w:sz="4" w:space="0"/>
            </w:tcBorders>
            <w:shd w:val="clear" w:color="auto" w:fill="auto"/>
            <w:vAlign w:val="center"/>
          </w:tcPr>
          <w:p w14:paraId="0BE873E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政务运转履职效果</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04D8A9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14:paraId="0FC5F635">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部门整体绩效目标中选定3-5个核心职能目标，反映该项职能目标完成效果情况</w:t>
            </w:r>
          </w:p>
        </w:tc>
        <w:tc>
          <w:tcPr>
            <w:tcW w:w="567" w:type="dxa"/>
            <w:vMerge w:val="restart"/>
            <w:tcBorders>
              <w:top w:val="nil"/>
              <w:left w:val="single" w:color="auto" w:sz="4" w:space="0"/>
              <w:bottom w:val="single" w:color="auto" w:sz="4" w:space="0"/>
              <w:right w:val="single" w:color="auto" w:sz="4" w:space="0"/>
            </w:tcBorders>
            <w:shd w:val="clear" w:color="auto" w:fill="auto"/>
            <w:vAlign w:val="center"/>
          </w:tcPr>
          <w:p w14:paraId="2A5F940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vMerge w:val="restart"/>
            <w:tcBorders>
              <w:top w:val="nil"/>
              <w:left w:val="single" w:color="auto" w:sz="4" w:space="0"/>
              <w:bottom w:val="single" w:color="auto" w:sz="4" w:space="0"/>
              <w:right w:val="single" w:color="auto" w:sz="4" w:space="0"/>
            </w:tcBorders>
            <w:shd w:val="clear" w:color="auto" w:fill="auto"/>
            <w:vAlign w:val="center"/>
          </w:tcPr>
          <w:p w14:paraId="10E16535">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整体绩效目标中选定3-5个可量化计算、可评价的核心职能目标，分别设定指标分值、指标解释、评分方法和评分说明，总分值不超过15分。该项指标得分=年终完成履职效果目标数量÷年初目标设置总数×100%×指标分值。履职效能总分为各项履职效果得分的和。</w:t>
            </w: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14:paraId="608C082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14:paraId="73B8FB8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40FEC823">
        <w:tblPrEx>
          <w:tblCellMar>
            <w:top w:w="0" w:type="dxa"/>
            <w:left w:w="108" w:type="dxa"/>
            <w:bottom w:w="0" w:type="dxa"/>
            <w:right w:w="108" w:type="dxa"/>
          </w:tblCellMar>
        </w:tblPrEx>
        <w:trPr>
          <w:trHeight w:val="390" w:hRule="atLeast"/>
        </w:trPr>
        <w:tc>
          <w:tcPr>
            <w:tcW w:w="710" w:type="dxa"/>
            <w:vMerge w:val="continue"/>
            <w:tcBorders>
              <w:top w:val="nil"/>
              <w:left w:val="single" w:color="auto" w:sz="4" w:space="0"/>
              <w:bottom w:val="single" w:color="000000" w:sz="4" w:space="0"/>
              <w:right w:val="single" w:color="auto" w:sz="4" w:space="0"/>
            </w:tcBorders>
            <w:vAlign w:val="center"/>
          </w:tcPr>
          <w:p w14:paraId="7F0DA523">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0F384D44">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3F7E052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税务办税房屋租赁</w:t>
            </w:r>
          </w:p>
          <w:p w14:paraId="0DC6710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履职效果</w:t>
            </w:r>
          </w:p>
        </w:tc>
        <w:tc>
          <w:tcPr>
            <w:tcW w:w="708" w:type="dxa"/>
            <w:vMerge w:val="continue"/>
            <w:tcBorders>
              <w:top w:val="nil"/>
              <w:left w:val="single" w:color="auto" w:sz="4" w:space="0"/>
              <w:bottom w:val="single" w:color="auto" w:sz="4" w:space="0"/>
              <w:right w:val="single" w:color="auto" w:sz="4" w:space="0"/>
            </w:tcBorders>
            <w:vAlign w:val="center"/>
          </w:tcPr>
          <w:p w14:paraId="33E73F59">
            <w:pPr>
              <w:widowControl/>
              <w:spacing w:line="240" w:lineRule="exact"/>
              <w:jc w:val="left"/>
              <w:rPr>
                <w:rFonts w:ascii="宋体" w:hAnsi="宋体" w:eastAsia="宋体" w:cs="宋体"/>
                <w:kern w:val="0"/>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14:paraId="34E93568">
            <w:pPr>
              <w:widowControl/>
              <w:spacing w:line="240" w:lineRule="exact"/>
              <w:jc w:val="left"/>
              <w:rPr>
                <w:rFonts w:ascii="宋体" w:hAnsi="宋体" w:eastAsia="宋体" w:cs="宋体"/>
                <w:kern w:val="0"/>
                <w:sz w:val="18"/>
                <w:szCs w:val="18"/>
              </w:rPr>
            </w:pPr>
          </w:p>
        </w:tc>
        <w:tc>
          <w:tcPr>
            <w:tcW w:w="567" w:type="dxa"/>
            <w:vMerge w:val="continue"/>
            <w:tcBorders>
              <w:top w:val="nil"/>
              <w:left w:val="single" w:color="auto" w:sz="4" w:space="0"/>
              <w:bottom w:val="single" w:color="auto" w:sz="4" w:space="0"/>
              <w:right w:val="single" w:color="auto" w:sz="4" w:space="0"/>
            </w:tcBorders>
            <w:vAlign w:val="center"/>
          </w:tcPr>
          <w:p w14:paraId="2707186E">
            <w:pPr>
              <w:widowControl/>
              <w:spacing w:line="240" w:lineRule="exact"/>
              <w:jc w:val="left"/>
              <w:rPr>
                <w:rFonts w:ascii="宋体" w:hAnsi="宋体" w:eastAsia="宋体" w:cs="宋体"/>
                <w:kern w:val="0"/>
                <w:sz w:val="18"/>
                <w:szCs w:val="18"/>
              </w:rPr>
            </w:pPr>
          </w:p>
        </w:tc>
        <w:tc>
          <w:tcPr>
            <w:tcW w:w="1804" w:type="dxa"/>
            <w:vMerge w:val="continue"/>
            <w:tcBorders>
              <w:top w:val="nil"/>
              <w:left w:val="single" w:color="auto" w:sz="4" w:space="0"/>
              <w:bottom w:val="single" w:color="auto" w:sz="4" w:space="0"/>
              <w:right w:val="single" w:color="auto" w:sz="4" w:space="0"/>
            </w:tcBorders>
            <w:vAlign w:val="center"/>
          </w:tcPr>
          <w:p w14:paraId="079D9699">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auto" w:sz="4" w:space="0"/>
              <w:right w:val="single" w:color="auto" w:sz="4" w:space="0"/>
            </w:tcBorders>
            <w:vAlign w:val="center"/>
          </w:tcPr>
          <w:p w14:paraId="567B1B80">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000000" w:sz="4" w:space="0"/>
              <w:right w:val="single" w:color="auto" w:sz="4" w:space="0"/>
            </w:tcBorders>
            <w:vAlign w:val="center"/>
          </w:tcPr>
          <w:p w14:paraId="398BA935">
            <w:pPr>
              <w:widowControl/>
              <w:spacing w:line="240" w:lineRule="exact"/>
              <w:jc w:val="left"/>
              <w:rPr>
                <w:rFonts w:ascii="宋体" w:hAnsi="宋体" w:eastAsia="宋体" w:cs="宋体"/>
                <w:kern w:val="0"/>
                <w:sz w:val="18"/>
                <w:szCs w:val="18"/>
              </w:rPr>
            </w:pPr>
          </w:p>
        </w:tc>
      </w:tr>
      <w:tr w14:paraId="39CFE971">
        <w:tblPrEx>
          <w:tblCellMar>
            <w:top w:w="0" w:type="dxa"/>
            <w:left w:w="108" w:type="dxa"/>
            <w:bottom w:w="0" w:type="dxa"/>
            <w:right w:w="108" w:type="dxa"/>
          </w:tblCellMar>
        </w:tblPrEx>
        <w:trPr>
          <w:trHeight w:val="390" w:hRule="atLeast"/>
        </w:trPr>
        <w:tc>
          <w:tcPr>
            <w:tcW w:w="710" w:type="dxa"/>
            <w:vMerge w:val="continue"/>
            <w:tcBorders>
              <w:top w:val="nil"/>
              <w:left w:val="single" w:color="auto" w:sz="4" w:space="0"/>
              <w:bottom w:val="single" w:color="000000" w:sz="4" w:space="0"/>
              <w:right w:val="single" w:color="auto" w:sz="4" w:space="0"/>
            </w:tcBorders>
            <w:vAlign w:val="center"/>
          </w:tcPr>
          <w:p w14:paraId="7AF0A3B0">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0D37EEF6">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3BFBFCA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行政审批技术评审</w:t>
            </w:r>
          </w:p>
          <w:p w14:paraId="52569B0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履职效果</w:t>
            </w:r>
          </w:p>
        </w:tc>
        <w:tc>
          <w:tcPr>
            <w:tcW w:w="708" w:type="dxa"/>
            <w:vMerge w:val="continue"/>
            <w:tcBorders>
              <w:top w:val="nil"/>
              <w:left w:val="single" w:color="auto" w:sz="4" w:space="0"/>
              <w:bottom w:val="single" w:color="auto" w:sz="4" w:space="0"/>
              <w:right w:val="single" w:color="auto" w:sz="4" w:space="0"/>
            </w:tcBorders>
            <w:vAlign w:val="center"/>
          </w:tcPr>
          <w:p w14:paraId="772D1CE2">
            <w:pPr>
              <w:widowControl/>
              <w:spacing w:line="240" w:lineRule="exact"/>
              <w:jc w:val="left"/>
              <w:rPr>
                <w:rFonts w:ascii="宋体" w:hAnsi="宋体" w:eastAsia="宋体" w:cs="宋体"/>
                <w:kern w:val="0"/>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14:paraId="7188E40D">
            <w:pPr>
              <w:widowControl/>
              <w:spacing w:line="240" w:lineRule="exact"/>
              <w:jc w:val="left"/>
              <w:rPr>
                <w:rFonts w:ascii="宋体" w:hAnsi="宋体" w:eastAsia="宋体" w:cs="宋体"/>
                <w:kern w:val="0"/>
                <w:sz w:val="18"/>
                <w:szCs w:val="18"/>
              </w:rPr>
            </w:pPr>
          </w:p>
        </w:tc>
        <w:tc>
          <w:tcPr>
            <w:tcW w:w="567" w:type="dxa"/>
            <w:vMerge w:val="continue"/>
            <w:tcBorders>
              <w:top w:val="nil"/>
              <w:left w:val="single" w:color="auto" w:sz="4" w:space="0"/>
              <w:bottom w:val="single" w:color="auto" w:sz="4" w:space="0"/>
              <w:right w:val="single" w:color="auto" w:sz="4" w:space="0"/>
            </w:tcBorders>
            <w:vAlign w:val="center"/>
          </w:tcPr>
          <w:p w14:paraId="05A992B9">
            <w:pPr>
              <w:widowControl/>
              <w:spacing w:line="240" w:lineRule="exact"/>
              <w:jc w:val="left"/>
              <w:rPr>
                <w:rFonts w:ascii="宋体" w:hAnsi="宋体" w:eastAsia="宋体" w:cs="宋体"/>
                <w:kern w:val="0"/>
                <w:sz w:val="18"/>
                <w:szCs w:val="18"/>
              </w:rPr>
            </w:pPr>
          </w:p>
        </w:tc>
        <w:tc>
          <w:tcPr>
            <w:tcW w:w="1804" w:type="dxa"/>
            <w:vMerge w:val="continue"/>
            <w:tcBorders>
              <w:top w:val="nil"/>
              <w:left w:val="single" w:color="auto" w:sz="4" w:space="0"/>
              <w:bottom w:val="single" w:color="auto" w:sz="4" w:space="0"/>
              <w:right w:val="single" w:color="auto" w:sz="4" w:space="0"/>
            </w:tcBorders>
            <w:vAlign w:val="center"/>
          </w:tcPr>
          <w:p w14:paraId="282E8068">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auto" w:sz="4" w:space="0"/>
              <w:right w:val="single" w:color="auto" w:sz="4" w:space="0"/>
            </w:tcBorders>
            <w:vAlign w:val="center"/>
          </w:tcPr>
          <w:p w14:paraId="6DF7A319">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000000" w:sz="4" w:space="0"/>
              <w:right w:val="single" w:color="auto" w:sz="4" w:space="0"/>
            </w:tcBorders>
            <w:vAlign w:val="center"/>
          </w:tcPr>
          <w:p w14:paraId="177858B9">
            <w:pPr>
              <w:widowControl/>
              <w:spacing w:line="240" w:lineRule="exact"/>
              <w:jc w:val="left"/>
              <w:rPr>
                <w:rFonts w:ascii="宋体" w:hAnsi="宋体" w:eastAsia="宋体" w:cs="宋体"/>
                <w:kern w:val="0"/>
                <w:sz w:val="18"/>
                <w:szCs w:val="18"/>
              </w:rPr>
            </w:pPr>
          </w:p>
        </w:tc>
      </w:tr>
      <w:tr w14:paraId="2479741B">
        <w:tblPrEx>
          <w:tblCellMar>
            <w:top w:w="0" w:type="dxa"/>
            <w:left w:w="108" w:type="dxa"/>
            <w:bottom w:w="0" w:type="dxa"/>
            <w:right w:w="108" w:type="dxa"/>
          </w:tblCellMar>
        </w:tblPrEx>
        <w:trPr>
          <w:trHeight w:val="390" w:hRule="atLeast"/>
        </w:trPr>
        <w:tc>
          <w:tcPr>
            <w:tcW w:w="710" w:type="dxa"/>
            <w:vMerge w:val="continue"/>
            <w:tcBorders>
              <w:top w:val="nil"/>
              <w:left w:val="single" w:color="auto" w:sz="4" w:space="0"/>
              <w:bottom w:val="single" w:color="000000" w:sz="4" w:space="0"/>
              <w:right w:val="single" w:color="auto" w:sz="4" w:space="0"/>
            </w:tcBorders>
            <w:vAlign w:val="center"/>
          </w:tcPr>
          <w:p w14:paraId="6BEAE41B">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01599BB8">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22C7BE3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政务服务网沐川分站点建设履职效果</w:t>
            </w:r>
          </w:p>
        </w:tc>
        <w:tc>
          <w:tcPr>
            <w:tcW w:w="708" w:type="dxa"/>
            <w:vMerge w:val="continue"/>
            <w:tcBorders>
              <w:top w:val="nil"/>
              <w:left w:val="single" w:color="auto" w:sz="4" w:space="0"/>
              <w:bottom w:val="single" w:color="auto" w:sz="4" w:space="0"/>
              <w:right w:val="single" w:color="auto" w:sz="4" w:space="0"/>
            </w:tcBorders>
            <w:vAlign w:val="center"/>
          </w:tcPr>
          <w:p w14:paraId="239C8148">
            <w:pPr>
              <w:widowControl/>
              <w:spacing w:line="240" w:lineRule="exact"/>
              <w:jc w:val="left"/>
              <w:rPr>
                <w:rFonts w:ascii="宋体" w:hAnsi="宋体" w:eastAsia="宋体" w:cs="宋体"/>
                <w:kern w:val="0"/>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14:paraId="3EAF4510">
            <w:pPr>
              <w:widowControl/>
              <w:spacing w:line="240" w:lineRule="exact"/>
              <w:jc w:val="left"/>
              <w:rPr>
                <w:rFonts w:ascii="宋体" w:hAnsi="宋体" w:eastAsia="宋体" w:cs="宋体"/>
                <w:kern w:val="0"/>
                <w:sz w:val="18"/>
                <w:szCs w:val="18"/>
              </w:rPr>
            </w:pPr>
          </w:p>
        </w:tc>
        <w:tc>
          <w:tcPr>
            <w:tcW w:w="567" w:type="dxa"/>
            <w:vMerge w:val="continue"/>
            <w:tcBorders>
              <w:top w:val="nil"/>
              <w:left w:val="single" w:color="auto" w:sz="4" w:space="0"/>
              <w:bottom w:val="single" w:color="auto" w:sz="4" w:space="0"/>
              <w:right w:val="single" w:color="auto" w:sz="4" w:space="0"/>
            </w:tcBorders>
            <w:vAlign w:val="center"/>
          </w:tcPr>
          <w:p w14:paraId="45FE96F7">
            <w:pPr>
              <w:widowControl/>
              <w:spacing w:line="240" w:lineRule="exact"/>
              <w:jc w:val="left"/>
              <w:rPr>
                <w:rFonts w:ascii="宋体" w:hAnsi="宋体" w:eastAsia="宋体" w:cs="宋体"/>
                <w:kern w:val="0"/>
                <w:sz w:val="18"/>
                <w:szCs w:val="18"/>
              </w:rPr>
            </w:pPr>
          </w:p>
        </w:tc>
        <w:tc>
          <w:tcPr>
            <w:tcW w:w="1804" w:type="dxa"/>
            <w:vMerge w:val="continue"/>
            <w:tcBorders>
              <w:top w:val="nil"/>
              <w:left w:val="single" w:color="auto" w:sz="4" w:space="0"/>
              <w:bottom w:val="single" w:color="auto" w:sz="4" w:space="0"/>
              <w:right w:val="single" w:color="auto" w:sz="4" w:space="0"/>
            </w:tcBorders>
            <w:vAlign w:val="center"/>
          </w:tcPr>
          <w:p w14:paraId="171980F7">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auto" w:sz="4" w:space="0"/>
              <w:right w:val="single" w:color="auto" w:sz="4" w:space="0"/>
            </w:tcBorders>
            <w:vAlign w:val="center"/>
          </w:tcPr>
          <w:p w14:paraId="585ABA10">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000000" w:sz="4" w:space="0"/>
              <w:right w:val="single" w:color="auto" w:sz="4" w:space="0"/>
            </w:tcBorders>
            <w:vAlign w:val="center"/>
          </w:tcPr>
          <w:p w14:paraId="498B998A">
            <w:pPr>
              <w:widowControl/>
              <w:spacing w:line="240" w:lineRule="exact"/>
              <w:jc w:val="left"/>
              <w:rPr>
                <w:rFonts w:ascii="宋体" w:hAnsi="宋体" w:eastAsia="宋体" w:cs="宋体"/>
                <w:kern w:val="0"/>
                <w:sz w:val="18"/>
                <w:szCs w:val="18"/>
              </w:rPr>
            </w:pPr>
          </w:p>
        </w:tc>
      </w:tr>
      <w:tr w14:paraId="59E72E7A">
        <w:tblPrEx>
          <w:tblCellMar>
            <w:top w:w="0" w:type="dxa"/>
            <w:left w:w="108" w:type="dxa"/>
            <w:bottom w:w="0" w:type="dxa"/>
            <w:right w:w="108" w:type="dxa"/>
          </w:tblCellMar>
        </w:tblPrEx>
        <w:trPr>
          <w:trHeight w:val="390" w:hRule="atLeast"/>
        </w:trPr>
        <w:tc>
          <w:tcPr>
            <w:tcW w:w="710" w:type="dxa"/>
            <w:vMerge w:val="continue"/>
            <w:tcBorders>
              <w:top w:val="nil"/>
              <w:left w:val="single" w:color="auto" w:sz="4" w:space="0"/>
              <w:bottom w:val="single" w:color="000000" w:sz="4" w:space="0"/>
              <w:right w:val="single" w:color="auto" w:sz="4" w:space="0"/>
            </w:tcBorders>
            <w:vAlign w:val="center"/>
          </w:tcPr>
          <w:p w14:paraId="062DDF94">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35806757">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18F8DAA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一网通办区县移动端</w:t>
            </w:r>
          </w:p>
          <w:p w14:paraId="2356256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分站点履职效果</w:t>
            </w:r>
          </w:p>
        </w:tc>
        <w:tc>
          <w:tcPr>
            <w:tcW w:w="708" w:type="dxa"/>
            <w:vMerge w:val="continue"/>
            <w:tcBorders>
              <w:top w:val="nil"/>
              <w:left w:val="single" w:color="auto" w:sz="4" w:space="0"/>
              <w:bottom w:val="single" w:color="auto" w:sz="4" w:space="0"/>
              <w:right w:val="single" w:color="auto" w:sz="4" w:space="0"/>
            </w:tcBorders>
            <w:vAlign w:val="center"/>
          </w:tcPr>
          <w:p w14:paraId="671AE7C7">
            <w:pPr>
              <w:widowControl/>
              <w:spacing w:line="240" w:lineRule="exact"/>
              <w:jc w:val="left"/>
              <w:rPr>
                <w:rFonts w:ascii="宋体" w:hAnsi="宋体" w:eastAsia="宋体" w:cs="宋体"/>
                <w:kern w:val="0"/>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14:paraId="1906AE98">
            <w:pPr>
              <w:widowControl/>
              <w:spacing w:line="240" w:lineRule="exact"/>
              <w:jc w:val="left"/>
              <w:rPr>
                <w:rFonts w:ascii="宋体" w:hAnsi="宋体" w:eastAsia="宋体" w:cs="宋体"/>
                <w:kern w:val="0"/>
                <w:sz w:val="18"/>
                <w:szCs w:val="18"/>
              </w:rPr>
            </w:pPr>
          </w:p>
        </w:tc>
        <w:tc>
          <w:tcPr>
            <w:tcW w:w="567" w:type="dxa"/>
            <w:vMerge w:val="continue"/>
            <w:tcBorders>
              <w:top w:val="nil"/>
              <w:left w:val="single" w:color="auto" w:sz="4" w:space="0"/>
              <w:bottom w:val="single" w:color="auto" w:sz="4" w:space="0"/>
              <w:right w:val="single" w:color="auto" w:sz="4" w:space="0"/>
            </w:tcBorders>
            <w:vAlign w:val="center"/>
          </w:tcPr>
          <w:p w14:paraId="4E0F1C9E">
            <w:pPr>
              <w:widowControl/>
              <w:spacing w:line="240" w:lineRule="exact"/>
              <w:jc w:val="left"/>
              <w:rPr>
                <w:rFonts w:ascii="宋体" w:hAnsi="宋体" w:eastAsia="宋体" w:cs="宋体"/>
                <w:kern w:val="0"/>
                <w:sz w:val="18"/>
                <w:szCs w:val="18"/>
              </w:rPr>
            </w:pPr>
          </w:p>
        </w:tc>
        <w:tc>
          <w:tcPr>
            <w:tcW w:w="1804" w:type="dxa"/>
            <w:vMerge w:val="continue"/>
            <w:tcBorders>
              <w:top w:val="nil"/>
              <w:left w:val="single" w:color="auto" w:sz="4" w:space="0"/>
              <w:bottom w:val="single" w:color="auto" w:sz="4" w:space="0"/>
              <w:right w:val="single" w:color="auto" w:sz="4" w:space="0"/>
            </w:tcBorders>
            <w:vAlign w:val="center"/>
          </w:tcPr>
          <w:p w14:paraId="36569A65">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auto" w:sz="4" w:space="0"/>
              <w:right w:val="single" w:color="auto" w:sz="4" w:space="0"/>
            </w:tcBorders>
            <w:vAlign w:val="center"/>
          </w:tcPr>
          <w:p w14:paraId="3D8FE683">
            <w:pPr>
              <w:widowControl/>
              <w:spacing w:line="240" w:lineRule="exact"/>
              <w:jc w:val="left"/>
              <w:rPr>
                <w:rFonts w:ascii="宋体" w:hAnsi="宋体" w:eastAsia="宋体" w:cs="宋体"/>
                <w:kern w:val="0"/>
                <w:sz w:val="18"/>
                <w:szCs w:val="18"/>
              </w:rPr>
            </w:pPr>
          </w:p>
        </w:tc>
        <w:tc>
          <w:tcPr>
            <w:tcW w:w="456" w:type="dxa"/>
            <w:vMerge w:val="continue"/>
            <w:tcBorders>
              <w:top w:val="nil"/>
              <w:left w:val="single" w:color="auto" w:sz="4" w:space="0"/>
              <w:bottom w:val="single" w:color="000000" w:sz="4" w:space="0"/>
              <w:right w:val="single" w:color="auto" w:sz="4" w:space="0"/>
            </w:tcBorders>
            <w:vAlign w:val="center"/>
          </w:tcPr>
          <w:p w14:paraId="6977C4D7">
            <w:pPr>
              <w:widowControl/>
              <w:spacing w:line="240" w:lineRule="exact"/>
              <w:jc w:val="left"/>
              <w:rPr>
                <w:rFonts w:ascii="宋体" w:hAnsi="宋体" w:eastAsia="宋体" w:cs="宋体"/>
                <w:kern w:val="0"/>
                <w:sz w:val="18"/>
                <w:szCs w:val="18"/>
              </w:rPr>
            </w:pPr>
          </w:p>
        </w:tc>
      </w:tr>
      <w:tr w14:paraId="6A05ED92">
        <w:tblPrEx>
          <w:tblCellMar>
            <w:top w:w="0" w:type="dxa"/>
            <w:left w:w="108" w:type="dxa"/>
            <w:bottom w:w="0" w:type="dxa"/>
            <w:right w:w="108" w:type="dxa"/>
          </w:tblCellMar>
        </w:tblPrEx>
        <w:trPr>
          <w:trHeight w:val="1710" w:hRule="atLeast"/>
        </w:trPr>
        <w:tc>
          <w:tcPr>
            <w:tcW w:w="710" w:type="dxa"/>
            <w:vMerge w:val="continue"/>
            <w:tcBorders>
              <w:top w:val="nil"/>
              <w:left w:val="single" w:color="auto" w:sz="4" w:space="0"/>
              <w:bottom w:val="single" w:color="000000" w:sz="4" w:space="0"/>
              <w:right w:val="single" w:color="auto" w:sz="4" w:space="0"/>
            </w:tcBorders>
            <w:vAlign w:val="center"/>
          </w:tcPr>
          <w:p w14:paraId="05EEBB40">
            <w:pPr>
              <w:widowControl/>
              <w:spacing w:line="240" w:lineRule="exact"/>
              <w:jc w:val="left"/>
              <w:rPr>
                <w:rFonts w:ascii="宋体" w:hAnsi="宋体" w:eastAsia="宋体" w:cs="宋体"/>
                <w:b/>
                <w:bCs/>
                <w:kern w:val="0"/>
                <w:sz w:val="18"/>
                <w:szCs w:val="18"/>
              </w:rPr>
            </w:pP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212257D4">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预算管理</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（25分）</w:t>
            </w:r>
          </w:p>
        </w:tc>
        <w:tc>
          <w:tcPr>
            <w:tcW w:w="2127" w:type="dxa"/>
            <w:tcBorders>
              <w:top w:val="nil"/>
              <w:left w:val="nil"/>
              <w:bottom w:val="single" w:color="auto" w:sz="4" w:space="0"/>
              <w:right w:val="single" w:color="auto" w:sz="4" w:space="0"/>
            </w:tcBorders>
            <w:shd w:val="clear" w:color="auto" w:fill="auto"/>
            <w:vAlign w:val="center"/>
          </w:tcPr>
          <w:p w14:paraId="032096D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预算编制质量</w:t>
            </w:r>
          </w:p>
        </w:tc>
        <w:tc>
          <w:tcPr>
            <w:tcW w:w="708" w:type="dxa"/>
            <w:tcBorders>
              <w:top w:val="nil"/>
              <w:left w:val="nil"/>
              <w:bottom w:val="single" w:color="auto" w:sz="4" w:space="0"/>
              <w:right w:val="single" w:color="auto" w:sz="4" w:space="0"/>
            </w:tcBorders>
            <w:shd w:val="clear" w:color="auto" w:fill="auto"/>
            <w:vAlign w:val="center"/>
          </w:tcPr>
          <w:p w14:paraId="2DA6147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1701" w:type="dxa"/>
            <w:tcBorders>
              <w:top w:val="nil"/>
              <w:left w:val="nil"/>
              <w:bottom w:val="single" w:color="auto" w:sz="4" w:space="0"/>
              <w:right w:val="single" w:color="auto" w:sz="4" w:space="0"/>
            </w:tcBorders>
            <w:shd w:val="clear" w:color="auto" w:fill="auto"/>
            <w:vAlign w:val="center"/>
          </w:tcPr>
          <w:p w14:paraId="78847CF9">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部门是否严格按要求编制年初部门预算，年初预算编制的科学性和准确性</w:t>
            </w:r>
          </w:p>
        </w:tc>
        <w:tc>
          <w:tcPr>
            <w:tcW w:w="567" w:type="dxa"/>
            <w:tcBorders>
              <w:top w:val="nil"/>
              <w:left w:val="nil"/>
              <w:bottom w:val="single" w:color="auto" w:sz="4" w:space="0"/>
              <w:right w:val="single" w:color="auto" w:sz="4" w:space="0"/>
            </w:tcBorders>
            <w:shd w:val="clear" w:color="auto" w:fill="auto"/>
            <w:vAlign w:val="center"/>
          </w:tcPr>
          <w:p w14:paraId="6DD7CBB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4578C336">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预算编制审核过程中，未按要求编制部门预算（含基本支出）的，财政退回一次扣0.1分，直至扣完。如预算项目未细化预算，未与绩效目标相对应；绩效目标编制不细化量化，未根据实际需求编制预算项目，未进行事前绩效评估等。</w:t>
            </w:r>
          </w:p>
        </w:tc>
        <w:tc>
          <w:tcPr>
            <w:tcW w:w="456" w:type="dxa"/>
            <w:tcBorders>
              <w:top w:val="nil"/>
              <w:left w:val="nil"/>
              <w:bottom w:val="single" w:color="auto" w:sz="4" w:space="0"/>
              <w:right w:val="single" w:color="auto" w:sz="4" w:space="0"/>
            </w:tcBorders>
            <w:shd w:val="clear" w:color="auto" w:fill="auto"/>
            <w:vAlign w:val="center"/>
          </w:tcPr>
          <w:p w14:paraId="21385BF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456" w:type="dxa"/>
            <w:tcBorders>
              <w:top w:val="nil"/>
              <w:left w:val="nil"/>
              <w:bottom w:val="single" w:color="auto" w:sz="4" w:space="0"/>
              <w:right w:val="single" w:color="auto" w:sz="4" w:space="0"/>
            </w:tcBorders>
            <w:shd w:val="clear" w:color="auto" w:fill="auto"/>
            <w:vAlign w:val="center"/>
          </w:tcPr>
          <w:p w14:paraId="088C545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6302FD1E">
        <w:tblPrEx>
          <w:tblCellMar>
            <w:top w:w="0" w:type="dxa"/>
            <w:left w:w="108" w:type="dxa"/>
            <w:bottom w:w="0" w:type="dxa"/>
            <w:right w:w="108" w:type="dxa"/>
          </w:tblCellMar>
        </w:tblPrEx>
        <w:trPr>
          <w:trHeight w:val="2310" w:hRule="atLeast"/>
        </w:trPr>
        <w:tc>
          <w:tcPr>
            <w:tcW w:w="710" w:type="dxa"/>
            <w:vMerge w:val="continue"/>
            <w:tcBorders>
              <w:top w:val="nil"/>
              <w:left w:val="single" w:color="auto" w:sz="4" w:space="0"/>
              <w:bottom w:val="single" w:color="000000" w:sz="4" w:space="0"/>
              <w:right w:val="single" w:color="auto" w:sz="4" w:space="0"/>
            </w:tcBorders>
            <w:vAlign w:val="center"/>
          </w:tcPr>
          <w:p w14:paraId="67A99787">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34B3AF4D">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5EBE4D9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非税收入</w:t>
            </w:r>
          </w:p>
        </w:tc>
        <w:tc>
          <w:tcPr>
            <w:tcW w:w="708" w:type="dxa"/>
            <w:tcBorders>
              <w:top w:val="nil"/>
              <w:left w:val="nil"/>
              <w:bottom w:val="single" w:color="auto" w:sz="4" w:space="0"/>
              <w:right w:val="single" w:color="auto" w:sz="4" w:space="0"/>
            </w:tcBorders>
            <w:shd w:val="clear" w:color="auto" w:fill="auto"/>
            <w:vAlign w:val="center"/>
          </w:tcPr>
          <w:p w14:paraId="1DC9310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71D85399">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主要考核部门非税收入的执行进度</w:t>
            </w:r>
          </w:p>
        </w:tc>
        <w:tc>
          <w:tcPr>
            <w:tcW w:w="567" w:type="dxa"/>
            <w:tcBorders>
              <w:top w:val="nil"/>
              <w:left w:val="nil"/>
              <w:bottom w:val="single" w:color="auto" w:sz="4" w:space="0"/>
              <w:right w:val="single" w:color="auto" w:sz="4" w:space="0"/>
            </w:tcBorders>
            <w:shd w:val="clear" w:color="auto" w:fill="auto"/>
            <w:vAlign w:val="center"/>
          </w:tcPr>
          <w:p w14:paraId="41B51B9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24C02C74">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1.该项指标得分=1至12月完成数÷年初计划×3，受季节、政策或一次性因素影响的酌情考虑。</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2.每年7月、10月、11月、12月开始后七日内，报送《非税收入征缴情况统计表》，漏报一次扣0.2分。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3.年度终了后，次年1月15日前报送全年非税收缴执行情况正式文件报告，得0.2分。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累计不超过4分。</w:t>
            </w:r>
          </w:p>
        </w:tc>
        <w:tc>
          <w:tcPr>
            <w:tcW w:w="456" w:type="dxa"/>
            <w:tcBorders>
              <w:top w:val="nil"/>
              <w:left w:val="nil"/>
              <w:bottom w:val="single" w:color="auto" w:sz="4" w:space="0"/>
              <w:right w:val="single" w:color="auto" w:sz="4" w:space="0"/>
            </w:tcBorders>
            <w:shd w:val="clear" w:color="auto" w:fill="auto"/>
            <w:vAlign w:val="center"/>
          </w:tcPr>
          <w:p w14:paraId="282499C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456" w:type="dxa"/>
            <w:tcBorders>
              <w:top w:val="nil"/>
              <w:left w:val="nil"/>
              <w:bottom w:val="single" w:color="auto" w:sz="4" w:space="0"/>
              <w:right w:val="single" w:color="auto" w:sz="4" w:space="0"/>
            </w:tcBorders>
            <w:shd w:val="clear" w:color="auto" w:fill="auto"/>
            <w:vAlign w:val="center"/>
          </w:tcPr>
          <w:p w14:paraId="115151D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04889489">
        <w:tblPrEx>
          <w:tblCellMar>
            <w:top w:w="0" w:type="dxa"/>
            <w:left w:w="108" w:type="dxa"/>
            <w:bottom w:w="0" w:type="dxa"/>
            <w:right w:w="108" w:type="dxa"/>
          </w:tblCellMar>
        </w:tblPrEx>
        <w:trPr>
          <w:trHeight w:val="1560" w:hRule="atLeast"/>
        </w:trPr>
        <w:tc>
          <w:tcPr>
            <w:tcW w:w="710" w:type="dxa"/>
            <w:vMerge w:val="continue"/>
            <w:tcBorders>
              <w:top w:val="nil"/>
              <w:left w:val="single" w:color="auto" w:sz="4" w:space="0"/>
              <w:bottom w:val="single" w:color="000000" w:sz="4" w:space="0"/>
              <w:right w:val="single" w:color="auto" w:sz="4" w:space="0"/>
            </w:tcBorders>
            <w:vAlign w:val="center"/>
          </w:tcPr>
          <w:p w14:paraId="1D0AF193">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06C11BFF">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49A91DA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政府购买服务政策执行</w:t>
            </w:r>
          </w:p>
        </w:tc>
        <w:tc>
          <w:tcPr>
            <w:tcW w:w="708" w:type="dxa"/>
            <w:tcBorders>
              <w:top w:val="nil"/>
              <w:left w:val="nil"/>
              <w:bottom w:val="single" w:color="auto" w:sz="4" w:space="0"/>
              <w:right w:val="single" w:color="auto" w:sz="4" w:space="0"/>
            </w:tcBorders>
            <w:shd w:val="clear" w:color="auto" w:fill="auto"/>
            <w:vAlign w:val="center"/>
          </w:tcPr>
          <w:p w14:paraId="67DF6FC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701" w:type="dxa"/>
            <w:tcBorders>
              <w:top w:val="nil"/>
              <w:left w:val="nil"/>
              <w:bottom w:val="single" w:color="auto" w:sz="4" w:space="0"/>
              <w:right w:val="single" w:color="auto" w:sz="4" w:space="0"/>
            </w:tcBorders>
            <w:shd w:val="clear" w:color="auto" w:fill="auto"/>
            <w:vAlign w:val="center"/>
          </w:tcPr>
          <w:p w14:paraId="45ED2CD5">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根据政府购买服务指导性目录结合单位实际编制预算，无预算不购买。按政府采购相关程序实施。</w:t>
            </w:r>
          </w:p>
        </w:tc>
        <w:tc>
          <w:tcPr>
            <w:tcW w:w="567" w:type="dxa"/>
            <w:tcBorders>
              <w:top w:val="nil"/>
              <w:left w:val="nil"/>
              <w:bottom w:val="single" w:color="auto" w:sz="4" w:space="0"/>
              <w:right w:val="single" w:color="auto" w:sz="4" w:space="0"/>
            </w:tcBorders>
            <w:shd w:val="clear" w:color="auto" w:fill="auto"/>
            <w:vAlign w:val="center"/>
          </w:tcPr>
          <w:p w14:paraId="410AFB5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6D86AAAE">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1.根据单位实际，根据政府购买服务指导性目录编制预算，得1分。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2.符合政府采购规定的，按政府采购相关程序实施，0.5分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3.政府购买服务项目实行全过程绩效管理，得0.5分。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如未编制政府购买服务预算，不得分。</w:t>
            </w:r>
          </w:p>
        </w:tc>
        <w:tc>
          <w:tcPr>
            <w:tcW w:w="456" w:type="dxa"/>
            <w:tcBorders>
              <w:top w:val="nil"/>
              <w:left w:val="nil"/>
              <w:bottom w:val="single" w:color="auto" w:sz="4" w:space="0"/>
              <w:right w:val="single" w:color="auto" w:sz="4" w:space="0"/>
            </w:tcBorders>
            <w:shd w:val="clear" w:color="auto" w:fill="auto"/>
            <w:vAlign w:val="center"/>
          </w:tcPr>
          <w:p w14:paraId="36717F1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456" w:type="dxa"/>
            <w:tcBorders>
              <w:top w:val="nil"/>
              <w:left w:val="nil"/>
              <w:bottom w:val="single" w:color="auto" w:sz="4" w:space="0"/>
              <w:right w:val="single" w:color="auto" w:sz="4" w:space="0"/>
            </w:tcBorders>
            <w:shd w:val="clear" w:color="auto" w:fill="auto"/>
            <w:vAlign w:val="center"/>
          </w:tcPr>
          <w:p w14:paraId="103A1FD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05DF790C">
        <w:tblPrEx>
          <w:tblCellMar>
            <w:top w:w="0" w:type="dxa"/>
            <w:left w:w="108" w:type="dxa"/>
            <w:bottom w:w="0" w:type="dxa"/>
            <w:right w:w="108" w:type="dxa"/>
          </w:tblCellMar>
        </w:tblPrEx>
        <w:trPr>
          <w:trHeight w:val="1245" w:hRule="atLeast"/>
        </w:trPr>
        <w:tc>
          <w:tcPr>
            <w:tcW w:w="710" w:type="dxa"/>
            <w:vMerge w:val="continue"/>
            <w:tcBorders>
              <w:top w:val="nil"/>
              <w:left w:val="single" w:color="auto" w:sz="4" w:space="0"/>
              <w:bottom w:val="single" w:color="000000" w:sz="4" w:space="0"/>
              <w:right w:val="single" w:color="auto" w:sz="4" w:space="0"/>
            </w:tcBorders>
            <w:vAlign w:val="center"/>
          </w:tcPr>
          <w:p w14:paraId="3782FF52">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3B5DFB09">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392CB24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支出执行情况</w:t>
            </w:r>
          </w:p>
        </w:tc>
        <w:tc>
          <w:tcPr>
            <w:tcW w:w="708" w:type="dxa"/>
            <w:tcBorders>
              <w:top w:val="nil"/>
              <w:left w:val="nil"/>
              <w:bottom w:val="single" w:color="auto" w:sz="4" w:space="0"/>
              <w:right w:val="single" w:color="auto" w:sz="4" w:space="0"/>
            </w:tcBorders>
            <w:shd w:val="clear" w:color="auto" w:fill="auto"/>
            <w:vAlign w:val="center"/>
          </w:tcPr>
          <w:p w14:paraId="6A3EB0E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27B03541">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部门1至6月、7至12月预算执行情况</w:t>
            </w:r>
          </w:p>
        </w:tc>
        <w:tc>
          <w:tcPr>
            <w:tcW w:w="567" w:type="dxa"/>
            <w:tcBorders>
              <w:top w:val="nil"/>
              <w:left w:val="nil"/>
              <w:bottom w:val="single" w:color="auto" w:sz="4" w:space="0"/>
              <w:right w:val="single" w:color="auto" w:sz="4" w:space="0"/>
            </w:tcBorders>
            <w:shd w:val="clear" w:color="auto" w:fill="auto"/>
            <w:vAlign w:val="center"/>
          </w:tcPr>
          <w:p w14:paraId="1183D15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3C295AB0">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该项指标得分=（1-1至6月支出预警金额占比×0.8-1至6月支出违规金额占比×0.2）×2+（1-7至12月支出预警金额占比×0.8-7至12月支出违规金额占比×0.2）×2。</w:t>
            </w:r>
          </w:p>
        </w:tc>
        <w:tc>
          <w:tcPr>
            <w:tcW w:w="456" w:type="dxa"/>
            <w:tcBorders>
              <w:top w:val="nil"/>
              <w:left w:val="nil"/>
              <w:bottom w:val="single" w:color="auto" w:sz="4" w:space="0"/>
              <w:right w:val="single" w:color="auto" w:sz="4" w:space="0"/>
            </w:tcBorders>
            <w:shd w:val="clear" w:color="auto" w:fill="auto"/>
            <w:vAlign w:val="center"/>
          </w:tcPr>
          <w:p w14:paraId="06EA2A9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0D98331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066F2B3B">
        <w:tblPrEx>
          <w:tblCellMar>
            <w:top w:w="0" w:type="dxa"/>
            <w:left w:w="108" w:type="dxa"/>
            <w:bottom w:w="0" w:type="dxa"/>
            <w:right w:w="108" w:type="dxa"/>
          </w:tblCellMar>
        </w:tblPrEx>
        <w:trPr>
          <w:trHeight w:val="1275" w:hRule="atLeast"/>
        </w:trPr>
        <w:tc>
          <w:tcPr>
            <w:tcW w:w="710" w:type="dxa"/>
            <w:vMerge w:val="continue"/>
            <w:tcBorders>
              <w:top w:val="nil"/>
              <w:left w:val="single" w:color="auto" w:sz="4" w:space="0"/>
              <w:bottom w:val="single" w:color="000000" w:sz="4" w:space="0"/>
              <w:right w:val="single" w:color="auto" w:sz="4" w:space="0"/>
            </w:tcBorders>
            <w:vAlign w:val="center"/>
          </w:tcPr>
          <w:p w14:paraId="6BBB8B08">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0A7AC151">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71FA633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预算分配进度</w:t>
            </w:r>
          </w:p>
        </w:tc>
        <w:tc>
          <w:tcPr>
            <w:tcW w:w="708" w:type="dxa"/>
            <w:tcBorders>
              <w:top w:val="nil"/>
              <w:left w:val="nil"/>
              <w:bottom w:val="single" w:color="auto" w:sz="4" w:space="0"/>
              <w:right w:val="single" w:color="auto" w:sz="4" w:space="0"/>
            </w:tcBorders>
            <w:shd w:val="clear" w:color="auto" w:fill="auto"/>
            <w:vAlign w:val="center"/>
          </w:tcPr>
          <w:p w14:paraId="405380B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5ACC0CCD">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上级资金分配和支付进度</w:t>
            </w:r>
          </w:p>
        </w:tc>
        <w:tc>
          <w:tcPr>
            <w:tcW w:w="567" w:type="dxa"/>
            <w:tcBorders>
              <w:top w:val="nil"/>
              <w:left w:val="nil"/>
              <w:bottom w:val="single" w:color="auto" w:sz="4" w:space="0"/>
              <w:right w:val="single" w:color="auto" w:sz="4" w:space="0"/>
            </w:tcBorders>
            <w:shd w:val="clear" w:color="auto" w:fill="auto"/>
            <w:vAlign w:val="center"/>
          </w:tcPr>
          <w:p w14:paraId="560114C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7D484CCE">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1.上级资金下达本级后主管部门在一个月内细化方案并完成分配下达，得2分。每超出规定时限1个月的，扣0.2分，直至扣完。</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2.考核上级资金支付进度，得分=支付数÷下达计划数*2。</w:t>
            </w:r>
          </w:p>
        </w:tc>
        <w:tc>
          <w:tcPr>
            <w:tcW w:w="456" w:type="dxa"/>
            <w:tcBorders>
              <w:top w:val="nil"/>
              <w:left w:val="nil"/>
              <w:bottom w:val="single" w:color="auto" w:sz="4" w:space="0"/>
              <w:right w:val="single" w:color="auto" w:sz="4" w:space="0"/>
            </w:tcBorders>
            <w:shd w:val="clear" w:color="auto" w:fill="auto"/>
            <w:vAlign w:val="center"/>
          </w:tcPr>
          <w:p w14:paraId="0B8BB72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301F4B1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614B7121">
        <w:tblPrEx>
          <w:tblCellMar>
            <w:top w:w="0" w:type="dxa"/>
            <w:left w:w="108" w:type="dxa"/>
            <w:bottom w:w="0" w:type="dxa"/>
            <w:right w:w="108" w:type="dxa"/>
          </w:tblCellMar>
        </w:tblPrEx>
        <w:trPr>
          <w:trHeight w:val="1980" w:hRule="atLeast"/>
        </w:trPr>
        <w:tc>
          <w:tcPr>
            <w:tcW w:w="710" w:type="dxa"/>
            <w:vMerge w:val="continue"/>
            <w:tcBorders>
              <w:top w:val="nil"/>
              <w:left w:val="single" w:color="auto" w:sz="4" w:space="0"/>
              <w:bottom w:val="single" w:color="000000" w:sz="4" w:space="0"/>
              <w:right w:val="single" w:color="auto" w:sz="4" w:space="0"/>
            </w:tcBorders>
            <w:vAlign w:val="center"/>
          </w:tcPr>
          <w:p w14:paraId="3047EDCB">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3DF6B141">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3C3F7C7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严控一般性支出</w:t>
            </w:r>
          </w:p>
        </w:tc>
        <w:tc>
          <w:tcPr>
            <w:tcW w:w="708" w:type="dxa"/>
            <w:tcBorders>
              <w:top w:val="nil"/>
              <w:left w:val="nil"/>
              <w:bottom w:val="single" w:color="auto" w:sz="4" w:space="0"/>
              <w:right w:val="single" w:color="auto" w:sz="4" w:space="0"/>
            </w:tcBorders>
            <w:shd w:val="clear" w:color="auto" w:fill="auto"/>
            <w:vAlign w:val="center"/>
          </w:tcPr>
          <w:p w14:paraId="52D1E5C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701" w:type="dxa"/>
            <w:tcBorders>
              <w:top w:val="nil"/>
              <w:left w:val="nil"/>
              <w:bottom w:val="single" w:color="auto" w:sz="4" w:space="0"/>
              <w:right w:val="single" w:color="auto" w:sz="4" w:space="0"/>
            </w:tcBorders>
            <w:shd w:val="clear" w:color="auto" w:fill="auto"/>
            <w:vAlign w:val="center"/>
          </w:tcPr>
          <w:p w14:paraId="0620D6D7">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部门严控“三公”经费、会议、培训、差旅、办节办展、办公设备购置、信息网络及软件购置更新、课题经费等8项一般性支出情况</w:t>
            </w:r>
          </w:p>
        </w:tc>
        <w:tc>
          <w:tcPr>
            <w:tcW w:w="567" w:type="dxa"/>
            <w:tcBorders>
              <w:top w:val="nil"/>
              <w:left w:val="nil"/>
              <w:bottom w:val="single" w:color="auto" w:sz="4" w:space="0"/>
              <w:right w:val="single" w:color="auto" w:sz="4" w:space="0"/>
            </w:tcBorders>
            <w:shd w:val="clear" w:color="auto" w:fill="auto"/>
            <w:vAlign w:val="center"/>
          </w:tcPr>
          <w:p w14:paraId="164C198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nil"/>
              <w:right w:val="nil"/>
            </w:tcBorders>
            <w:shd w:val="clear" w:color="auto" w:fill="auto"/>
            <w:vAlign w:val="center"/>
          </w:tcPr>
          <w:p w14:paraId="2A32AA21">
            <w:pPr>
              <w:widowControl/>
              <w:spacing w:line="240" w:lineRule="exact"/>
              <w:rPr>
                <w:rFonts w:ascii="宋体" w:hAnsi="宋体" w:eastAsia="宋体" w:cs="宋体"/>
                <w:kern w:val="0"/>
                <w:sz w:val="18"/>
                <w:szCs w:val="18"/>
              </w:rPr>
            </w:pPr>
            <w:r>
              <w:rPr>
                <w:rFonts w:hint="eastAsia" w:ascii="宋体" w:hAnsi="宋体" w:eastAsia="宋体" w:cs="宋体"/>
                <w:kern w:val="0"/>
                <w:sz w:val="18"/>
                <w:szCs w:val="18"/>
              </w:rPr>
              <w:t>该项指标得分=基础分值+加分值。</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1.基础分值。一般性支出财政拨款年初预算较上年实现压减得1分；一般性支出财政拨款预算执行较上年实现压减得1分。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2.加分值。一般性支出财政拨款年初预算较上年每压减1%得0.2分，累计不超过1分；一般性支出财政拨款预算执行较上年每压减1%得0.4分，累计不超过2分。</w:t>
            </w:r>
          </w:p>
        </w:tc>
        <w:tc>
          <w:tcPr>
            <w:tcW w:w="456" w:type="dxa"/>
            <w:tcBorders>
              <w:top w:val="nil"/>
              <w:left w:val="single" w:color="auto" w:sz="4" w:space="0"/>
              <w:bottom w:val="single" w:color="auto" w:sz="4" w:space="0"/>
              <w:right w:val="single" w:color="auto" w:sz="4" w:space="0"/>
            </w:tcBorders>
            <w:shd w:val="clear" w:color="auto" w:fill="auto"/>
            <w:vAlign w:val="center"/>
          </w:tcPr>
          <w:p w14:paraId="6406B23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456" w:type="dxa"/>
            <w:tcBorders>
              <w:top w:val="nil"/>
              <w:left w:val="nil"/>
              <w:bottom w:val="single" w:color="auto" w:sz="4" w:space="0"/>
              <w:right w:val="single" w:color="auto" w:sz="4" w:space="0"/>
            </w:tcBorders>
            <w:shd w:val="clear" w:color="auto" w:fill="auto"/>
            <w:vAlign w:val="center"/>
          </w:tcPr>
          <w:p w14:paraId="5B0CEA5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71C9F580">
        <w:tblPrEx>
          <w:tblCellMar>
            <w:top w:w="0" w:type="dxa"/>
            <w:left w:w="108" w:type="dxa"/>
            <w:bottom w:w="0" w:type="dxa"/>
            <w:right w:w="108" w:type="dxa"/>
          </w:tblCellMar>
        </w:tblPrEx>
        <w:trPr>
          <w:trHeight w:val="2772" w:hRule="atLeast"/>
        </w:trPr>
        <w:tc>
          <w:tcPr>
            <w:tcW w:w="710" w:type="dxa"/>
            <w:vMerge w:val="continue"/>
            <w:tcBorders>
              <w:top w:val="nil"/>
              <w:left w:val="single" w:color="auto" w:sz="4" w:space="0"/>
              <w:bottom w:val="single" w:color="000000" w:sz="4" w:space="0"/>
              <w:right w:val="single" w:color="auto" w:sz="4" w:space="0"/>
            </w:tcBorders>
            <w:vAlign w:val="center"/>
          </w:tcPr>
          <w:p w14:paraId="1F76CF8F">
            <w:pPr>
              <w:widowControl/>
              <w:spacing w:line="240" w:lineRule="exact"/>
              <w:jc w:val="left"/>
              <w:rPr>
                <w:rFonts w:ascii="宋体" w:hAnsi="宋体" w:eastAsia="宋体" w:cs="宋体"/>
                <w:b/>
                <w:bCs/>
                <w:kern w:val="0"/>
                <w:sz w:val="18"/>
                <w:szCs w:val="18"/>
              </w:rPr>
            </w:pPr>
          </w:p>
        </w:tc>
        <w:tc>
          <w:tcPr>
            <w:tcW w:w="708" w:type="dxa"/>
            <w:tcBorders>
              <w:top w:val="nil"/>
              <w:left w:val="nil"/>
              <w:bottom w:val="nil"/>
              <w:right w:val="single" w:color="auto" w:sz="4" w:space="0"/>
            </w:tcBorders>
            <w:shd w:val="clear" w:color="auto" w:fill="auto"/>
            <w:vAlign w:val="center"/>
          </w:tcPr>
          <w:p w14:paraId="1D64E054">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内控管理</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（5分）</w:t>
            </w:r>
          </w:p>
        </w:tc>
        <w:tc>
          <w:tcPr>
            <w:tcW w:w="2127" w:type="dxa"/>
            <w:tcBorders>
              <w:top w:val="nil"/>
              <w:left w:val="nil"/>
              <w:bottom w:val="single" w:color="auto" w:sz="4" w:space="0"/>
              <w:right w:val="single" w:color="auto" w:sz="4" w:space="0"/>
            </w:tcBorders>
            <w:shd w:val="clear" w:color="auto" w:fill="auto"/>
            <w:vAlign w:val="center"/>
          </w:tcPr>
          <w:p w14:paraId="2EC963D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内控制度</w:t>
            </w:r>
          </w:p>
        </w:tc>
        <w:tc>
          <w:tcPr>
            <w:tcW w:w="708" w:type="dxa"/>
            <w:tcBorders>
              <w:top w:val="nil"/>
              <w:left w:val="nil"/>
              <w:bottom w:val="single" w:color="auto" w:sz="4" w:space="0"/>
              <w:right w:val="single" w:color="auto" w:sz="4" w:space="0"/>
            </w:tcBorders>
            <w:shd w:val="clear" w:color="auto" w:fill="auto"/>
            <w:vAlign w:val="center"/>
          </w:tcPr>
          <w:p w14:paraId="0B8D8D0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701" w:type="dxa"/>
            <w:tcBorders>
              <w:top w:val="nil"/>
              <w:left w:val="nil"/>
              <w:bottom w:val="single" w:color="auto" w:sz="4" w:space="0"/>
              <w:right w:val="single" w:color="auto" w:sz="4" w:space="0"/>
            </w:tcBorders>
            <w:shd w:val="clear" w:color="auto" w:fill="auto"/>
            <w:vAlign w:val="center"/>
          </w:tcPr>
          <w:p w14:paraId="699910E2">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按照要求建立健全内控制度。</w:t>
            </w:r>
          </w:p>
        </w:tc>
        <w:tc>
          <w:tcPr>
            <w:tcW w:w="567" w:type="dxa"/>
            <w:tcBorders>
              <w:top w:val="nil"/>
              <w:left w:val="nil"/>
              <w:bottom w:val="single" w:color="auto" w:sz="4" w:space="0"/>
              <w:right w:val="single" w:color="auto" w:sz="4" w:space="0"/>
            </w:tcBorders>
            <w:shd w:val="clear" w:color="auto" w:fill="auto"/>
            <w:vAlign w:val="center"/>
          </w:tcPr>
          <w:p w14:paraId="0F5B297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single" w:color="auto" w:sz="4" w:space="0"/>
              <w:left w:val="nil"/>
              <w:bottom w:val="single" w:color="auto" w:sz="4" w:space="0"/>
              <w:right w:val="single" w:color="auto" w:sz="4" w:space="0"/>
            </w:tcBorders>
            <w:shd w:val="clear" w:color="auto" w:fill="auto"/>
            <w:vAlign w:val="center"/>
          </w:tcPr>
          <w:p w14:paraId="54337AC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1.未结合单位实际建立健全内控制度，包括但不限于重大经济事项集体决策、财务管理、资产管理、采购管理、绩效管理等制度，每缺失一项扣0.1分。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2.未结合单位实际明确重大经济事项标准，或者标准过高与单位实际不符的，扣0.1分。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3.按照单位集体决策制度规定，应当经过集体决策而未经过集体决策的重大经济事项，每发现一项扣0.1分，最高1分。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4.抽查经济业务事项审签落实情况，每发现一项未落实扣0.1分，最高2分。</w:t>
            </w:r>
          </w:p>
        </w:tc>
        <w:tc>
          <w:tcPr>
            <w:tcW w:w="456" w:type="dxa"/>
            <w:tcBorders>
              <w:top w:val="nil"/>
              <w:left w:val="nil"/>
              <w:bottom w:val="single" w:color="auto" w:sz="4" w:space="0"/>
              <w:right w:val="single" w:color="auto" w:sz="4" w:space="0"/>
            </w:tcBorders>
            <w:shd w:val="clear" w:color="auto" w:fill="auto"/>
            <w:vAlign w:val="center"/>
          </w:tcPr>
          <w:p w14:paraId="7D4284D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456" w:type="dxa"/>
            <w:tcBorders>
              <w:top w:val="nil"/>
              <w:left w:val="nil"/>
              <w:bottom w:val="nil"/>
              <w:right w:val="single" w:color="auto" w:sz="4" w:space="0"/>
            </w:tcBorders>
            <w:shd w:val="clear" w:color="auto" w:fill="auto"/>
            <w:vAlign w:val="center"/>
          </w:tcPr>
          <w:p w14:paraId="49566E6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487E18EF">
        <w:tblPrEx>
          <w:tblCellMar>
            <w:top w:w="0" w:type="dxa"/>
            <w:left w:w="108" w:type="dxa"/>
            <w:bottom w:w="0" w:type="dxa"/>
            <w:right w:w="108" w:type="dxa"/>
          </w:tblCellMar>
        </w:tblPrEx>
        <w:trPr>
          <w:trHeight w:val="1039" w:hRule="atLeast"/>
        </w:trPr>
        <w:tc>
          <w:tcPr>
            <w:tcW w:w="710" w:type="dxa"/>
            <w:vMerge w:val="continue"/>
            <w:tcBorders>
              <w:top w:val="nil"/>
              <w:left w:val="single" w:color="auto" w:sz="4" w:space="0"/>
              <w:bottom w:val="single" w:color="000000" w:sz="4" w:space="0"/>
              <w:right w:val="single" w:color="auto" w:sz="4" w:space="0"/>
            </w:tcBorders>
            <w:vAlign w:val="center"/>
          </w:tcPr>
          <w:p w14:paraId="7168FE3F">
            <w:pPr>
              <w:widowControl/>
              <w:spacing w:line="240" w:lineRule="exact"/>
              <w:jc w:val="left"/>
              <w:rPr>
                <w:rFonts w:ascii="宋体" w:hAnsi="宋体" w:eastAsia="宋体" w:cs="宋体"/>
                <w:b/>
                <w:bCs/>
                <w:kern w:val="0"/>
                <w:sz w:val="18"/>
                <w:szCs w:val="18"/>
              </w:rPr>
            </w:pP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ADE656">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财务管理</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（6分）</w:t>
            </w:r>
          </w:p>
        </w:tc>
        <w:tc>
          <w:tcPr>
            <w:tcW w:w="2127" w:type="dxa"/>
            <w:tcBorders>
              <w:top w:val="nil"/>
              <w:left w:val="nil"/>
              <w:bottom w:val="single" w:color="auto" w:sz="4" w:space="0"/>
              <w:right w:val="single" w:color="auto" w:sz="4" w:space="0"/>
            </w:tcBorders>
            <w:shd w:val="clear" w:color="auto" w:fill="auto"/>
            <w:vAlign w:val="center"/>
          </w:tcPr>
          <w:p w14:paraId="102D0B9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财务岗位设置</w:t>
            </w:r>
          </w:p>
        </w:tc>
        <w:tc>
          <w:tcPr>
            <w:tcW w:w="708" w:type="dxa"/>
            <w:tcBorders>
              <w:top w:val="nil"/>
              <w:left w:val="nil"/>
              <w:bottom w:val="single" w:color="auto" w:sz="4" w:space="0"/>
              <w:right w:val="single" w:color="auto" w:sz="4" w:space="0"/>
            </w:tcBorders>
            <w:shd w:val="clear" w:color="auto" w:fill="auto"/>
            <w:vAlign w:val="center"/>
          </w:tcPr>
          <w:p w14:paraId="44D7DE0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701" w:type="dxa"/>
            <w:tcBorders>
              <w:top w:val="nil"/>
              <w:left w:val="nil"/>
              <w:bottom w:val="single" w:color="auto" w:sz="4" w:space="0"/>
              <w:right w:val="single" w:color="auto" w:sz="4" w:space="0"/>
            </w:tcBorders>
            <w:shd w:val="clear" w:color="auto" w:fill="auto"/>
            <w:vAlign w:val="center"/>
          </w:tcPr>
          <w:p w14:paraId="2CBB55A7">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部门财务岗位设置是否符合相关财务管理制度要求</w:t>
            </w:r>
          </w:p>
        </w:tc>
        <w:tc>
          <w:tcPr>
            <w:tcW w:w="567" w:type="dxa"/>
            <w:tcBorders>
              <w:top w:val="nil"/>
              <w:left w:val="nil"/>
              <w:bottom w:val="single" w:color="auto" w:sz="4" w:space="0"/>
              <w:right w:val="single" w:color="auto" w:sz="4" w:space="0"/>
            </w:tcBorders>
            <w:shd w:val="clear" w:color="auto" w:fill="auto"/>
            <w:vAlign w:val="center"/>
          </w:tcPr>
          <w:p w14:paraId="3FB5D99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是否评分法</w:t>
            </w:r>
          </w:p>
        </w:tc>
        <w:tc>
          <w:tcPr>
            <w:tcW w:w="1804" w:type="dxa"/>
            <w:tcBorders>
              <w:top w:val="nil"/>
              <w:left w:val="nil"/>
              <w:bottom w:val="single" w:color="auto" w:sz="4" w:space="0"/>
              <w:right w:val="single" w:color="auto" w:sz="4" w:space="0"/>
            </w:tcBorders>
            <w:shd w:val="clear" w:color="auto" w:fill="auto"/>
            <w:vAlign w:val="center"/>
          </w:tcPr>
          <w:p w14:paraId="58F65E8B">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部门合理设置财务工作岗位，明确职责权限，并严格实行不相容岗位分离的，得2分。否则该项不得分。</w:t>
            </w:r>
          </w:p>
        </w:tc>
        <w:tc>
          <w:tcPr>
            <w:tcW w:w="456" w:type="dxa"/>
            <w:tcBorders>
              <w:top w:val="nil"/>
              <w:left w:val="nil"/>
              <w:bottom w:val="single" w:color="auto" w:sz="4" w:space="0"/>
              <w:right w:val="single" w:color="auto" w:sz="4" w:space="0"/>
            </w:tcBorders>
            <w:shd w:val="clear" w:color="auto" w:fill="auto"/>
            <w:vAlign w:val="center"/>
          </w:tcPr>
          <w:p w14:paraId="490A0D2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456" w:type="dxa"/>
            <w:tcBorders>
              <w:top w:val="single" w:color="auto" w:sz="4" w:space="0"/>
              <w:left w:val="nil"/>
              <w:bottom w:val="nil"/>
              <w:right w:val="single" w:color="auto" w:sz="4" w:space="0"/>
            </w:tcBorders>
            <w:shd w:val="clear" w:color="auto" w:fill="auto"/>
            <w:vAlign w:val="center"/>
          </w:tcPr>
          <w:p w14:paraId="70E4A65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45AF202E">
        <w:tblPrEx>
          <w:tblCellMar>
            <w:top w:w="0" w:type="dxa"/>
            <w:left w:w="108" w:type="dxa"/>
            <w:bottom w:w="0" w:type="dxa"/>
            <w:right w:w="108" w:type="dxa"/>
          </w:tblCellMar>
        </w:tblPrEx>
        <w:trPr>
          <w:trHeight w:val="1080" w:hRule="atLeast"/>
        </w:trPr>
        <w:tc>
          <w:tcPr>
            <w:tcW w:w="710" w:type="dxa"/>
            <w:vMerge w:val="continue"/>
            <w:tcBorders>
              <w:top w:val="nil"/>
              <w:left w:val="single" w:color="auto" w:sz="4" w:space="0"/>
              <w:bottom w:val="single" w:color="000000" w:sz="4" w:space="0"/>
              <w:right w:val="single" w:color="auto" w:sz="4" w:space="0"/>
            </w:tcBorders>
            <w:vAlign w:val="center"/>
          </w:tcPr>
          <w:p w14:paraId="7ADB2B75">
            <w:pPr>
              <w:widowControl/>
              <w:spacing w:line="240" w:lineRule="exact"/>
              <w:jc w:val="left"/>
              <w:rPr>
                <w:rFonts w:ascii="宋体" w:hAnsi="宋体" w:eastAsia="宋体" w:cs="宋体"/>
                <w:b/>
                <w:bCs/>
                <w:kern w:val="0"/>
                <w:sz w:val="18"/>
                <w:szCs w:val="18"/>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50479D3">
            <w:pPr>
              <w:widowControl/>
              <w:spacing w:line="240" w:lineRule="exact"/>
              <w:jc w:val="left"/>
              <w:rPr>
                <w:rFonts w:ascii="宋体" w:hAnsi="宋体" w:eastAsia="宋体" w:cs="宋体"/>
                <w:b/>
                <w:bCs/>
                <w:kern w:val="0"/>
                <w:sz w:val="18"/>
                <w:szCs w:val="18"/>
              </w:rPr>
            </w:pPr>
          </w:p>
        </w:tc>
        <w:tc>
          <w:tcPr>
            <w:tcW w:w="2127" w:type="dxa"/>
            <w:tcBorders>
              <w:top w:val="nil"/>
              <w:left w:val="nil"/>
              <w:bottom w:val="nil"/>
              <w:right w:val="single" w:color="auto" w:sz="4" w:space="0"/>
            </w:tcBorders>
            <w:shd w:val="clear" w:color="auto" w:fill="auto"/>
            <w:vAlign w:val="center"/>
          </w:tcPr>
          <w:p w14:paraId="0522E1E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财务管理规范</w:t>
            </w:r>
          </w:p>
        </w:tc>
        <w:tc>
          <w:tcPr>
            <w:tcW w:w="708" w:type="dxa"/>
            <w:tcBorders>
              <w:top w:val="nil"/>
              <w:left w:val="nil"/>
              <w:bottom w:val="nil"/>
              <w:right w:val="single" w:color="auto" w:sz="4" w:space="0"/>
            </w:tcBorders>
            <w:shd w:val="clear" w:color="auto" w:fill="auto"/>
            <w:vAlign w:val="center"/>
          </w:tcPr>
          <w:p w14:paraId="5376142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nil"/>
              <w:right w:val="single" w:color="auto" w:sz="4" w:space="0"/>
            </w:tcBorders>
            <w:shd w:val="clear" w:color="auto" w:fill="auto"/>
            <w:vAlign w:val="center"/>
          </w:tcPr>
          <w:p w14:paraId="6800F190">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部门资金使用是否符合相关财务管理制度规定</w:t>
            </w:r>
          </w:p>
        </w:tc>
        <w:tc>
          <w:tcPr>
            <w:tcW w:w="567" w:type="dxa"/>
            <w:tcBorders>
              <w:top w:val="nil"/>
              <w:left w:val="nil"/>
              <w:bottom w:val="nil"/>
              <w:right w:val="single" w:color="auto" w:sz="4" w:space="0"/>
            </w:tcBorders>
            <w:shd w:val="clear" w:color="auto" w:fill="auto"/>
            <w:vAlign w:val="center"/>
          </w:tcPr>
          <w:p w14:paraId="5C7D6FB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nil"/>
              <w:right w:val="single" w:color="auto" w:sz="4" w:space="0"/>
            </w:tcBorders>
            <w:shd w:val="clear" w:color="auto" w:fill="auto"/>
            <w:vAlign w:val="center"/>
          </w:tcPr>
          <w:p w14:paraId="0DCB10FB">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部门资金使用不符合相关财务管理制度规定的，发现一处扣0.2分，扣完为止。</w:t>
            </w:r>
          </w:p>
        </w:tc>
        <w:tc>
          <w:tcPr>
            <w:tcW w:w="456" w:type="dxa"/>
            <w:tcBorders>
              <w:top w:val="nil"/>
              <w:left w:val="nil"/>
              <w:bottom w:val="nil"/>
              <w:right w:val="single" w:color="auto" w:sz="4" w:space="0"/>
            </w:tcBorders>
            <w:shd w:val="clear" w:color="auto" w:fill="auto"/>
            <w:vAlign w:val="center"/>
          </w:tcPr>
          <w:p w14:paraId="405AABC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single" w:color="auto" w:sz="4" w:space="0"/>
              <w:left w:val="nil"/>
              <w:bottom w:val="single" w:color="auto" w:sz="4" w:space="0"/>
              <w:right w:val="single" w:color="auto" w:sz="4" w:space="0"/>
            </w:tcBorders>
            <w:shd w:val="clear" w:color="auto" w:fill="auto"/>
            <w:vAlign w:val="center"/>
          </w:tcPr>
          <w:p w14:paraId="1848C2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1084FB34">
        <w:tblPrEx>
          <w:tblCellMar>
            <w:top w:w="0" w:type="dxa"/>
            <w:left w:w="108" w:type="dxa"/>
            <w:bottom w:w="0" w:type="dxa"/>
            <w:right w:w="108" w:type="dxa"/>
          </w:tblCellMar>
        </w:tblPrEx>
        <w:trPr>
          <w:trHeight w:val="1695" w:hRule="atLeast"/>
        </w:trPr>
        <w:tc>
          <w:tcPr>
            <w:tcW w:w="710" w:type="dxa"/>
            <w:vMerge w:val="continue"/>
            <w:tcBorders>
              <w:top w:val="nil"/>
              <w:left w:val="single" w:color="auto" w:sz="4" w:space="0"/>
              <w:bottom w:val="single" w:color="000000" w:sz="4" w:space="0"/>
              <w:right w:val="single" w:color="auto" w:sz="4" w:space="0"/>
            </w:tcBorders>
            <w:vAlign w:val="center"/>
          </w:tcPr>
          <w:p w14:paraId="0C0A1A0A">
            <w:pPr>
              <w:widowControl/>
              <w:spacing w:line="240" w:lineRule="exact"/>
              <w:jc w:val="left"/>
              <w:rPr>
                <w:rFonts w:ascii="宋体" w:hAnsi="宋体" w:eastAsia="宋体" w:cs="宋体"/>
                <w:b/>
                <w:bCs/>
                <w:kern w:val="0"/>
                <w:sz w:val="18"/>
                <w:szCs w:val="18"/>
              </w:rPr>
            </w:pP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42F13353">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资产管理</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（8分）</w:t>
            </w:r>
          </w:p>
        </w:tc>
        <w:tc>
          <w:tcPr>
            <w:tcW w:w="2127" w:type="dxa"/>
            <w:tcBorders>
              <w:top w:val="single" w:color="auto" w:sz="4" w:space="0"/>
              <w:left w:val="nil"/>
              <w:bottom w:val="single" w:color="auto" w:sz="4" w:space="0"/>
              <w:right w:val="single" w:color="auto" w:sz="4" w:space="0"/>
            </w:tcBorders>
            <w:shd w:val="clear" w:color="auto" w:fill="auto"/>
            <w:vAlign w:val="center"/>
          </w:tcPr>
          <w:p w14:paraId="3BE1C9B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资产月报和年报报送</w:t>
            </w:r>
          </w:p>
        </w:tc>
        <w:tc>
          <w:tcPr>
            <w:tcW w:w="708" w:type="dxa"/>
            <w:tcBorders>
              <w:top w:val="single" w:color="auto" w:sz="4" w:space="0"/>
              <w:left w:val="nil"/>
              <w:bottom w:val="single" w:color="auto" w:sz="4" w:space="0"/>
              <w:right w:val="single" w:color="auto" w:sz="4" w:space="0"/>
            </w:tcBorders>
            <w:shd w:val="clear" w:color="auto" w:fill="auto"/>
            <w:vAlign w:val="center"/>
          </w:tcPr>
          <w:p w14:paraId="2897271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701" w:type="dxa"/>
            <w:tcBorders>
              <w:top w:val="single" w:color="auto" w:sz="4" w:space="0"/>
              <w:left w:val="nil"/>
              <w:bottom w:val="single" w:color="auto" w:sz="4" w:space="0"/>
              <w:right w:val="single" w:color="auto" w:sz="4" w:space="0"/>
            </w:tcBorders>
            <w:shd w:val="clear" w:color="auto" w:fill="auto"/>
            <w:vAlign w:val="center"/>
          </w:tcPr>
          <w:p w14:paraId="2CF65B36">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市级部门（单位）资产月报和年报报送的及时性、数据的准确性、完整性。</w:t>
            </w:r>
          </w:p>
        </w:tc>
        <w:tc>
          <w:tcPr>
            <w:tcW w:w="567" w:type="dxa"/>
            <w:tcBorders>
              <w:top w:val="single" w:color="auto" w:sz="4" w:space="0"/>
              <w:left w:val="nil"/>
              <w:bottom w:val="single" w:color="auto" w:sz="4" w:space="0"/>
              <w:right w:val="single" w:color="auto" w:sz="4" w:space="0"/>
            </w:tcBorders>
            <w:shd w:val="clear" w:color="auto" w:fill="auto"/>
            <w:vAlign w:val="center"/>
          </w:tcPr>
          <w:p w14:paraId="311BB1A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single" w:color="auto" w:sz="4" w:space="0"/>
              <w:left w:val="nil"/>
              <w:bottom w:val="single" w:color="auto" w:sz="4" w:space="0"/>
              <w:right w:val="single" w:color="auto" w:sz="4" w:space="0"/>
            </w:tcBorders>
            <w:shd w:val="clear" w:color="auto" w:fill="auto"/>
            <w:vAlign w:val="center"/>
          </w:tcPr>
          <w:p w14:paraId="17470813">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1.月报报送每月8日前未报送的一次扣0.1分，最多扣1.2分；年报报送延期1天扣0.1分，最多扣0.3分。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2.报表数据前后期增幅异常、指标极值且无合理解释，或数据出现重大错误的，每处扣0.1分，最多扣0.5分。</w:t>
            </w:r>
          </w:p>
        </w:tc>
        <w:tc>
          <w:tcPr>
            <w:tcW w:w="456" w:type="dxa"/>
            <w:tcBorders>
              <w:top w:val="single" w:color="auto" w:sz="4" w:space="0"/>
              <w:left w:val="nil"/>
              <w:bottom w:val="single" w:color="auto" w:sz="4" w:space="0"/>
              <w:right w:val="single" w:color="auto" w:sz="4" w:space="0"/>
            </w:tcBorders>
            <w:shd w:val="clear" w:color="auto" w:fill="auto"/>
            <w:vAlign w:val="center"/>
          </w:tcPr>
          <w:p w14:paraId="2A38160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14:paraId="0B8E22D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337581EF">
        <w:tblPrEx>
          <w:tblCellMar>
            <w:top w:w="0" w:type="dxa"/>
            <w:left w:w="108" w:type="dxa"/>
            <w:bottom w:w="0" w:type="dxa"/>
            <w:right w:w="108" w:type="dxa"/>
          </w:tblCellMar>
        </w:tblPrEx>
        <w:trPr>
          <w:trHeight w:val="1650" w:hRule="atLeast"/>
        </w:trPr>
        <w:tc>
          <w:tcPr>
            <w:tcW w:w="710" w:type="dxa"/>
            <w:vMerge w:val="continue"/>
            <w:tcBorders>
              <w:top w:val="nil"/>
              <w:left w:val="single" w:color="auto" w:sz="4" w:space="0"/>
              <w:bottom w:val="single" w:color="000000" w:sz="4" w:space="0"/>
              <w:right w:val="single" w:color="auto" w:sz="4" w:space="0"/>
            </w:tcBorders>
            <w:vAlign w:val="center"/>
          </w:tcPr>
          <w:p w14:paraId="72A1162B">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44FC6773">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0508DBA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账账相符</w:t>
            </w:r>
          </w:p>
        </w:tc>
        <w:tc>
          <w:tcPr>
            <w:tcW w:w="708" w:type="dxa"/>
            <w:tcBorders>
              <w:top w:val="nil"/>
              <w:left w:val="nil"/>
              <w:bottom w:val="single" w:color="auto" w:sz="4" w:space="0"/>
              <w:right w:val="single" w:color="auto" w:sz="4" w:space="0"/>
            </w:tcBorders>
            <w:shd w:val="clear" w:color="auto" w:fill="auto"/>
            <w:vAlign w:val="center"/>
          </w:tcPr>
          <w:p w14:paraId="2B28F5A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701" w:type="dxa"/>
            <w:tcBorders>
              <w:top w:val="nil"/>
              <w:left w:val="nil"/>
              <w:bottom w:val="single" w:color="auto" w:sz="4" w:space="0"/>
              <w:right w:val="single" w:color="auto" w:sz="4" w:space="0"/>
            </w:tcBorders>
            <w:shd w:val="clear" w:color="auto" w:fill="auto"/>
            <w:vAlign w:val="center"/>
          </w:tcPr>
          <w:p w14:paraId="3811313E">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市级部门（单位）资产账与财务账的一致性。</w:t>
            </w:r>
          </w:p>
        </w:tc>
        <w:tc>
          <w:tcPr>
            <w:tcW w:w="567" w:type="dxa"/>
            <w:tcBorders>
              <w:top w:val="nil"/>
              <w:left w:val="nil"/>
              <w:bottom w:val="single" w:color="auto" w:sz="4" w:space="0"/>
              <w:right w:val="single" w:color="auto" w:sz="4" w:space="0"/>
            </w:tcBorders>
            <w:shd w:val="clear" w:color="auto" w:fill="auto"/>
            <w:vAlign w:val="center"/>
          </w:tcPr>
          <w:p w14:paraId="77C2AD5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341AB09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账账相符率=年末资产管理系统固定资产总额÷政府综合报告固定资产总额*100%。设部门账账相符率为X，市级部门平均账账相符率为N，则：1.X=1,得2分;2.1-｜1-N｜≤X≤1+｜1-N｜，且X≠1,得1分；2.X﹤1-｜1-N｜或X&gt;1+｜1-N｜，不得分。</w:t>
            </w:r>
          </w:p>
        </w:tc>
        <w:tc>
          <w:tcPr>
            <w:tcW w:w="456" w:type="dxa"/>
            <w:tcBorders>
              <w:top w:val="nil"/>
              <w:left w:val="nil"/>
              <w:bottom w:val="single" w:color="auto" w:sz="4" w:space="0"/>
              <w:right w:val="single" w:color="auto" w:sz="4" w:space="0"/>
            </w:tcBorders>
            <w:shd w:val="clear" w:color="auto" w:fill="auto"/>
            <w:vAlign w:val="center"/>
          </w:tcPr>
          <w:p w14:paraId="7C9AB01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456" w:type="dxa"/>
            <w:vMerge w:val="continue"/>
            <w:tcBorders>
              <w:top w:val="nil"/>
              <w:left w:val="single" w:color="auto" w:sz="4" w:space="0"/>
              <w:bottom w:val="single" w:color="auto" w:sz="4" w:space="0"/>
              <w:right w:val="single" w:color="auto" w:sz="4" w:space="0"/>
            </w:tcBorders>
            <w:vAlign w:val="center"/>
          </w:tcPr>
          <w:p w14:paraId="7A336363">
            <w:pPr>
              <w:widowControl/>
              <w:spacing w:line="240" w:lineRule="exact"/>
              <w:jc w:val="left"/>
              <w:rPr>
                <w:rFonts w:ascii="宋体" w:hAnsi="宋体" w:eastAsia="宋体" w:cs="宋体"/>
                <w:kern w:val="0"/>
                <w:sz w:val="18"/>
                <w:szCs w:val="18"/>
              </w:rPr>
            </w:pPr>
          </w:p>
        </w:tc>
      </w:tr>
      <w:tr w14:paraId="02D4C489">
        <w:tblPrEx>
          <w:tblCellMar>
            <w:top w:w="0" w:type="dxa"/>
            <w:left w:w="108" w:type="dxa"/>
            <w:bottom w:w="0" w:type="dxa"/>
            <w:right w:w="108" w:type="dxa"/>
          </w:tblCellMar>
        </w:tblPrEx>
        <w:trPr>
          <w:trHeight w:val="799" w:hRule="atLeast"/>
        </w:trPr>
        <w:tc>
          <w:tcPr>
            <w:tcW w:w="710" w:type="dxa"/>
            <w:vMerge w:val="continue"/>
            <w:tcBorders>
              <w:top w:val="nil"/>
              <w:left w:val="single" w:color="auto" w:sz="4" w:space="0"/>
              <w:bottom w:val="single" w:color="000000" w:sz="4" w:space="0"/>
              <w:right w:val="single" w:color="auto" w:sz="4" w:space="0"/>
            </w:tcBorders>
            <w:vAlign w:val="center"/>
          </w:tcPr>
          <w:p w14:paraId="42CA12BB">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7B513A60">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11F3248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资产管理规范</w:t>
            </w:r>
          </w:p>
        </w:tc>
        <w:tc>
          <w:tcPr>
            <w:tcW w:w="708" w:type="dxa"/>
            <w:tcBorders>
              <w:top w:val="nil"/>
              <w:left w:val="nil"/>
              <w:bottom w:val="single" w:color="auto" w:sz="4" w:space="0"/>
              <w:right w:val="single" w:color="auto" w:sz="4" w:space="0"/>
            </w:tcBorders>
            <w:shd w:val="clear" w:color="auto" w:fill="auto"/>
            <w:vAlign w:val="center"/>
          </w:tcPr>
          <w:p w14:paraId="2D3B488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1FA49053">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资产配置工作规范性</w:t>
            </w:r>
          </w:p>
        </w:tc>
        <w:tc>
          <w:tcPr>
            <w:tcW w:w="567" w:type="dxa"/>
            <w:tcBorders>
              <w:top w:val="nil"/>
              <w:left w:val="nil"/>
              <w:bottom w:val="single" w:color="auto" w:sz="4" w:space="0"/>
              <w:right w:val="single" w:color="auto" w:sz="4" w:space="0"/>
            </w:tcBorders>
            <w:shd w:val="clear" w:color="auto" w:fill="auto"/>
            <w:vAlign w:val="center"/>
          </w:tcPr>
          <w:p w14:paraId="219B495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46F44AF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按照“六个不得 一个暂停”要求，出现一个问题的扣0.2分。</w:t>
            </w:r>
          </w:p>
        </w:tc>
        <w:tc>
          <w:tcPr>
            <w:tcW w:w="456" w:type="dxa"/>
            <w:tcBorders>
              <w:top w:val="nil"/>
              <w:left w:val="nil"/>
              <w:bottom w:val="single" w:color="auto" w:sz="4" w:space="0"/>
              <w:right w:val="single" w:color="auto" w:sz="4" w:space="0"/>
            </w:tcBorders>
            <w:shd w:val="clear" w:color="auto" w:fill="auto"/>
            <w:vAlign w:val="center"/>
          </w:tcPr>
          <w:p w14:paraId="2502FEF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vMerge w:val="continue"/>
            <w:tcBorders>
              <w:top w:val="nil"/>
              <w:left w:val="single" w:color="auto" w:sz="4" w:space="0"/>
              <w:bottom w:val="single" w:color="auto" w:sz="4" w:space="0"/>
              <w:right w:val="single" w:color="auto" w:sz="4" w:space="0"/>
            </w:tcBorders>
            <w:vAlign w:val="center"/>
          </w:tcPr>
          <w:p w14:paraId="38B53594">
            <w:pPr>
              <w:widowControl/>
              <w:spacing w:line="240" w:lineRule="exact"/>
              <w:jc w:val="left"/>
              <w:rPr>
                <w:rFonts w:ascii="宋体" w:hAnsi="宋体" w:eastAsia="宋体" w:cs="宋体"/>
                <w:kern w:val="0"/>
                <w:sz w:val="18"/>
                <w:szCs w:val="18"/>
              </w:rPr>
            </w:pPr>
          </w:p>
        </w:tc>
      </w:tr>
      <w:tr w14:paraId="66EEC1CC">
        <w:tblPrEx>
          <w:tblCellMar>
            <w:top w:w="0" w:type="dxa"/>
            <w:left w:w="108" w:type="dxa"/>
            <w:bottom w:w="0" w:type="dxa"/>
            <w:right w:w="108" w:type="dxa"/>
          </w:tblCellMar>
        </w:tblPrEx>
        <w:trPr>
          <w:trHeight w:val="900" w:hRule="atLeast"/>
        </w:trPr>
        <w:tc>
          <w:tcPr>
            <w:tcW w:w="710" w:type="dxa"/>
            <w:vMerge w:val="continue"/>
            <w:tcBorders>
              <w:top w:val="nil"/>
              <w:left w:val="single" w:color="auto" w:sz="4" w:space="0"/>
              <w:bottom w:val="single" w:color="000000" w:sz="4" w:space="0"/>
              <w:right w:val="single" w:color="auto" w:sz="4" w:space="0"/>
            </w:tcBorders>
            <w:vAlign w:val="center"/>
          </w:tcPr>
          <w:p w14:paraId="14C2681B">
            <w:pPr>
              <w:widowControl/>
              <w:spacing w:line="240" w:lineRule="exact"/>
              <w:jc w:val="left"/>
              <w:rPr>
                <w:rFonts w:ascii="宋体" w:hAnsi="宋体" w:eastAsia="宋体" w:cs="宋体"/>
                <w:b/>
                <w:bCs/>
                <w:kern w:val="0"/>
                <w:sz w:val="18"/>
                <w:szCs w:val="18"/>
              </w:rPr>
            </w:pP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328C68ED">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采购管理</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（6分）</w:t>
            </w:r>
          </w:p>
        </w:tc>
        <w:tc>
          <w:tcPr>
            <w:tcW w:w="2127" w:type="dxa"/>
            <w:tcBorders>
              <w:top w:val="nil"/>
              <w:left w:val="nil"/>
              <w:bottom w:val="single" w:color="auto" w:sz="4" w:space="0"/>
              <w:right w:val="single" w:color="auto" w:sz="4" w:space="0"/>
            </w:tcBorders>
            <w:shd w:val="clear" w:color="auto" w:fill="auto"/>
            <w:vAlign w:val="center"/>
          </w:tcPr>
          <w:p w14:paraId="4756EE1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支持中小企业发展</w:t>
            </w:r>
          </w:p>
        </w:tc>
        <w:tc>
          <w:tcPr>
            <w:tcW w:w="708" w:type="dxa"/>
            <w:tcBorders>
              <w:top w:val="nil"/>
              <w:left w:val="nil"/>
              <w:bottom w:val="single" w:color="auto" w:sz="4" w:space="0"/>
              <w:right w:val="single" w:color="auto" w:sz="4" w:space="0"/>
            </w:tcBorders>
            <w:shd w:val="clear" w:color="auto" w:fill="auto"/>
            <w:vAlign w:val="center"/>
          </w:tcPr>
          <w:p w14:paraId="3936601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701" w:type="dxa"/>
            <w:tcBorders>
              <w:top w:val="nil"/>
              <w:left w:val="nil"/>
              <w:bottom w:val="single" w:color="auto" w:sz="4" w:space="0"/>
              <w:right w:val="single" w:color="auto" w:sz="4" w:space="0"/>
            </w:tcBorders>
            <w:shd w:val="clear" w:color="auto" w:fill="auto"/>
            <w:vAlign w:val="center"/>
          </w:tcPr>
          <w:p w14:paraId="413F2A63">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部门是否严格执行政府采购促进中小企业发展相关管理办法</w:t>
            </w:r>
          </w:p>
        </w:tc>
        <w:tc>
          <w:tcPr>
            <w:tcW w:w="567" w:type="dxa"/>
            <w:tcBorders>
              <w:top w:val="nil"/>
              <w:left w:val="nil"/>
              <w:bottom w:val="single" w:color="auto" w:sz="4" w:space="0"/>
              <w:right w:val="single" w:color="auto" w:sz="4" w:space="0"/>
            </w:tcBorders>
            <w:shd w:val="clear" w:color="auto" w:fill="auto"/>
            <w:vAlign w:val="center"/>
          </w:tcPr>
          <w:p w14:paraId="227152D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是否评分法</w:t>
            </w:r>
          </w:p>
        </w:tc>
        <w:tc>
          <w:tcPr>
            <w:tcW w:w="1804" w:type="dxa"/>
            <w:tcBorders>
              <w:top w:val="nil"/>
              <w:left w:val="nil"/>
              <w:bottom w:val="single" w:color="auto" w:sz="4" w:space="0"/>
              <w:right w:val="single" w:color="auto" w:sz="4" w:space="0"/>
            </w:tcBorders>
            <w:shd w:val="clear" w:color="auto" w:fill="auto"/>
            <w:vAlign w:val="center"/>
          </w:tcPr>
          <w:p w14:paraId="6655EA1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对适宜由中小企业提供的采购项目和采购包，预留采购份额专门面向中小企业采购，并在采购预算中单独列示，不符合要求的扣2分。</w:t>
            </w:r>
          </w:p>
        </w:tc>
        <w:tc>
          <w:tcPr>
            <w:tcW w:w="456" w:type="dxa"/>
            <w:tcBorders>
              <w:top w:val="nil"/>
              <w:left w:val="nil"/>
              <w:bottom w:val="single" w:color="auto" w:sz="4" w:space="0"/>
              <w:right w:val="single" w:color="auto" w:sz="4" w:space="0"/>
            </w:tcBorders>
            <w:shd w:val="clear" w:color="auto" w:fill="auto"/>
            <w:vAlign w:val="center"/>
          </w:tcPr>
          <w:p w14:paraId="7220D7E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14:paraId="1E27671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2CF92C40">
        <w:tblPrEx>
          <w:tblCellMar>
            <w:top w:w="0" w:type="dxa"/>
            <w:left w:w="108" w:type="dxa"/>
            <w:bottom w:w="0" w:type="dxa"/>
            <w:right w:w="108" w:type="dxa"/>
          </w:tblCellMar>
        </w:tblPrEx>
        <w:trPr>
          <w:trHeight w:val="1785" w:hRule="atLeast"/>
        </w:trPr>
        <w:tc>
          <w:tcPr>
            <w:tcW w:w="710" w:type="dxa"/>
            <w:vMerge w:val="continue"/>
            <w:tcBorders>
              <w:top w:val="nil"/>
              <w:left w:val="single" w:color="auto" w:sz="4" w:space="0"/>
              <w:bottom w:val="single" w:color="000000" w:sz="4" w:space="0"/>
              <w:right w:val="single" w:color="auto" w:sz="4" w:space="0"/>
            </w:tcBorders>
            <w:vAlign w:val="center"/>
          </w:tcPr>
          <w:p w14:paraId="0CF372CA">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single" w:color="auto" w:sz="4" w:space="0"/>
              <w:right w:val="single" w:color="auto" w:sz="4" w:space="0"/>
            </w:tcBorders>
            <w:vAlign w:val="center"/>
          </w:tcPr>
          <w:p w14:paraId="174DE3B8">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3E23AD4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采购管理规范</w:t>
            </w:r>
          </w:p>
        </w:tc>
        <w:tc>
          <w:tcPr>
            <w:tcW w:w="708" w:type="dxa"/>
            <w:tcBorders>
              <w:top w:val="nil"/>
              <w:left w:val="nil"/>
              <w:bottom w:val="single" w:color="auto" w:sz="4" w:space="0"/>
              <w:right w:val="single" w:color="auto" w:sz="4" w:space="0"/>
            </w:tcBorders>
            <w:shd w:val="clear" w:color="auto" w:fill="auto"/>
            <w:vAlign w:val="center"/>
          </w:tcPr>
          <w:p w14:paraId="408E6B8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7C85FC2F">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未按政府采购法及实施条例规定实施政府采购</w:t>
            </w:r>
          </w:p>
        </w:tc>
        <w:tc>
          <w:tcPr>
            <w:tcW w:w="567" w:type="dxa"/>
            <w:tcBorders>
              <w:top w:val="nil"/>
              <w:left w:val="nil"/>
              <w:bottom w:val="single" w:color="auto" w:sz="4" w:space="0"/>
              <w:right w:val="single" w:color="auto" w:sz="4" w:space="0"/>
            </w:tcBorders>
            <w:shd w:val="clear" w:color="auto" w:fill="auto"/>
            <w:vAlign w:val="center"/>
          </w:tcPr>
          <w:p w14:paraId="15AD353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59864CA9">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1.对采购文件投诉成立的，每一项扣0.5分；对有政府采购违法行为，被责令整改的，每项扣0.2分，不予处罚的每项扣0.5分，给予警告以上行政处罚的每项扣1分。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2.绩效监督检查发现政府采购问题的，每一项扣0.2分。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属于同一事项的不重复扣分，以最高扣分项扣分。扣完为止。</w:t>
            </w:r>
          </w:p>
        </w:tc>
        <w:tc>
          <w:tcPr>
            <w:tcW w:w="456" w:type="dxa"/>
            <w:tcBorders>
              <w:top w:val="nil"/>
              <w:left w:val="nil"/>
              <w:bottom w:val="single" w:color="auto" w:sz="4" w:space="0"/>
              <w:right w:val="single" w:color="auto" w:sz="4" w:space="0"/>
            </w:tcBorders>
            <w:shd w:val="clear" w:color="auto" w:fill="auto"/>
            <w:vAlign w:val="center"/>
          </w:tcPr>
          <w:p w14:paraId="6C11751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vMerge w:val="continue"/>
            <w:tcBorders>
              <w:top w:val="nil"/>
              <w:left w:val="single" w:color="auto" w:sz="4" w:space="0"/>
              <w:bottom w:val="single" w:color="auto" w:sz="4" w:space="0"/>
              <w:right w:val="single" w:color="auto" w:sz="4" w:space="0"/>
            </w:tcBorders>
            <w:vAlign w:val="center"/>
          </w:tcPr>
          <w:p w14:paraId="1DC44072">
            <w:pPr>
              <w:widowControl/>
              <w:spacing w:line="240" w:lineRule="exact"/>
              <w:jc w:val="left"/>
              <w:rPr>
                <w:rFonts w:ascii="宋体" w:hAnsi="宋体" w:eastAsia="宋体" w:cs="宋体"/>
                <w:kern w:val="0"/>
                <w:sz w:val="18"/>
                <w:szCs w:val="18"/>
              </w:rPr>
            </w:pPr>
          </w:p>
        </w:tc>
      </w:tr>
      <w:tr w14:paraId="216A36F9">
        <w:tblPrEx>
          <w:tblCellMar>
            <w:top w:w="0" w:type="dxa"/>
            <w:left w:w="108" w:type="dxa"/>
            <w:bottom w:w="0" w:type="dxa"/>
            <w:right w:w="108" w:type="dxa"/>
          </w:tblCellMar>
        </w:tblPrEx>
        <w:trPr>
          <w:trHeight w:val="2130" w:hRule="atLeast"/>
        </w:trPr>
        <w:tc>
          <w:tcPr>
            <w:tcW w:w="710" w:type="dxa"/>
            <w:vMerge w:val="restart"/>
            <w:tcBorders>
              <w:top w:val="nil"/>
              <w:left w:val="single" w:color="auto" w:sz="4" w:space="0"/>
              <w:bottom w:val="single" w:color="auto" w:sz="4" w:space="0"/>
              <w:right w:val="single" w:color="auto" w:sz="4" w:space="0"/>
            </w:tcBorders>
            <w:shd w:val="clear" w:color="auto" w:fill="auto"/>
            <w:vAlign w:val="center"/>
          </w:tcPr>
          <w:p w14:paraId="766D79FC">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项目绩效</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（35分）</w:t>
            </w:r>
          </w:p>
        </w:tc>
        <w:tc>
          <w:tcPr>
            <w:tcW w:w="708" w:type="dxa"/>
            <w:vMerge w:val="restart"/>
            <w:tcBorders>
              <w:top w:val="nil"/>
              <w:left w:val="single" w:color="auto" w:sz="4" w:space="0"/>
              <w:bottom w:val="nil"/>
              <w:right w:val="single" w:color="auto" w:sz="4" w:space="0"/>
            </w:tcBorders>
            <w:shd w:val="clear" w:color="auto" w:fill="auto"/>
            <w:vAlign w:val="center"/>
          </w:tcPr>
          <w:p w14:paraId="1F72281E">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项目决策</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（12分）</w:t>
            </w:r>
          </w:p>
        </w:tc>
        <w:tc>
          <w:tcPr>
            <w:tcW w:w="2127" w:type="dxa"/>
            <w:tcBorders>
              <w:top w:val="nil"/>
              <w:left w:val="nil"/>
              <w:bottom w:val="single" w:color="auto" w:sz="4" w:space="0"/>
              <w:right w:val="single" w:color="auto" w:sz="4" w:space="0"/>
            </w:tcBorders>
            <w:shd w:val="clear" w:color="auto" w:fill="auto"/>
            <w:vAlign w:val="center"/>
          </w:tcPr>
          <w:p w14:paraId="60B50D3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决策程序</w:t>
            </w:r>
          </w:p>
        </w:tc>
        <w:tc>
          <w:tcPr>
            <w:tcW w:w="708" w:type="dxa"/>
            <w:tcBorders>
              <w:top w:val="nil"/>
              <w:left w:val="nil"/>
              <w:bottom w:val="single" w:color="auto" w:sz="4" w:space="0"/>
              <w:right w:val="single" w:color="auto" w:sz="4" w:space="0"/>
            </w:tcBorders>
            <w:shd w:val="clear" w:color="auto" w:fill="auto"/>
            <w:vAlign w:val="center"/>
          </w:tcPr>
          <w:p w14:paraId="48CC55A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428761D2">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部门预算项目设立是否按规定履行评估论证、申报程序</w:t>
            </w:r>
          </w:p>
        </w:tc>
        <w:tc>
          <w:tcPr>
            <w:tcW w:w="567" w:type="dxa"/>
            <w:tcBorders>
              <w:top w:val="nil"/>
              <w:left w:val="nil"/>
              <w:bottom w:val="single" w:color="auto" w:sz="4" w:space="0"/>
              <w:right w:val="single" w:color="auto" w:sz="4" w:space="0"/>
            </w:tcBorders>
            <w:shd w:val="clear" w:color="auto" w:fill="auto"/>
            <w:vAlign w:val="center"/>
          </w:tcPr>
          <w:p w14:paraId="627E355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4282F77B">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4-部门未履行事前评估程序的部门预算阶段项目（含一次性项目）数量÷部门预算阶段项目（含一次性项目）总数×100%×4。抽评的部门预算阶段项目（含一次性项目）总数10个以下的全部纳入，每增加5个多纳入1个，最多不超过30个，下同。若无部门预算阶段项目（含一次性项目），则主要查看部门预算项目整体决策程序。</w:t>
            </w:r>
          </w:p>
        </w:tc>
        <w:tc>
          <w:tcPr>
            <w:tcW w:w="456" w:type="dxa"/>
            <w:tcBorders>
              <w:top w:val="nil"/>
              <w:left w:val="nil"/>
              <w:bottom w:val="single" w:color="auto" w:sz="4" w:space="0"/>
              <w:right w:val="single" w:color="auto" w:sz="4" w:space="0"/>
            </w:tcBorders>
            <w:shd w:val="clear" w:color="auto" w:fill="auto"/>
            <w:vAlign w:val="center"/>
          </w:tcPr>
          <w:p w14:paraId="640E0E5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5ED70C0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147B5933">
        <w:tblPrEx>
          <w:tblCellMar>
            <w:top w:w="0" w:type="dxa"/>
            <w:left w:w="108" w:type="dxa"/>
            <w:bottom w:w="0" w:type="dxa"/>
            <w:right w:w="108" w:type="dxa"/>
          </w:tblCellMar>
        </w:tblPrEx>
        <w:trPr>
          <w:trHeight w:val="1830" w:hRule="atLeast"/>
        </w:trPr>
        <w:tc>
          <w:tcPr>
            <w:tcW w:w="710" w:type="dxa"/>
            <w:vMerge w:val="continue"/>
            <w:tcBorders>
              <w:top w:val="nil"/>
              <w:left w:val="single" w:color="auto" w:sz="4" w:space="0"/>
              <w:bottom w:val="single" w:color="auto" w:sz="4" w:space="0"/>
              <w:right w:val="single" w:color="auto" w:sz="4" w:space="0"/>
            </w:tcBorders>
            <w:vAlign w:val="center"/>
          </w:tcPr>
          <w:p w14:paraId="4670CB33">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nil"/>
              <w:right w:val="single" w:color="auto" w:sz="4" w:space="0"/>
            </w:tcBorders>
            <w:vAlign w:val="center"/>
          </w:tcPr>
          <w:p w14:paraId="5A4767DE">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0FB4DC3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目标设置</w:t>
            </w:r>
          </w:p>
        </w:tc>
        <w:tc>
          <w:tcPr>
            <w:tcW w:w="708" w:type="dxa"/>
            <w:tcBorders>
              <w:top w:val="nil"/>
              <w:left w:val="nil"/>
              <w:bottom w:val="single" w:color="auto" w:sz="4" w:space="0"/>
              <w:right w:val="single" w:color="auto" w:sz="4" w:space="0"/>
            </w:tcBorders>
            <w:shd w:val="clear" w:color="auto" w:fill="auto"/>
            <w:vAlign w:val="center"/>
          </w:tcPr>
          <w:p w14:paraId="6C4CC30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3513733C">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部门预算项目绩效目标与计划期内的任务量、预算安排的资金量匹配情况，绩效目标设置是否科学合理、规范完整、量化细化、预算匹配</w:t>
            </w:r>
          </w:p>
        </w:tc>
        <w:tc>
          <w:tcPr>
            <w:tcW w:w="567" w:type="dxa"/>
            <w:tcBorders>
              <w:top w:val="nil"/>
              <w:left w:val="nil"/>
              <w:bottom w:val="single" w:color="auto" w:sz="4" w:space="0"/>
              <w:right w:val="single" w:color="auto" w:sz="4" w:space="0"/>
            </w:tcBorders>
            <w:shd w:val="clear" w:color="auto" w:fill="auto"/>
            <w:vAlign w:val="center"/>
          </w:tcPr>
          <w:p w14:paraId="48BD760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57721E55">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4-绩效目标与计划期内的任务量、预算安排不相匹配的部门预算阶段项目（含一次性项目）数量÷部门预算阶段项目（含一次性项目）总数×100%×4。若无部门预算阶段项目（含一次性项目），则抽评涉及核心业务、资金量大的其他部门预算项目，下同。</w:t>
            </w:r>
          </w:p>
        </w:tc>
        <w:tc>
          <w:tcPr>
            <w:tcW w:w="456" w:type="dxa"/>
            <w:tcBorders>
              <w:top w:val="nil"/>
              <w:left w:val="nil"/>
              <w:bottom w:val="single" w:color="auto" w:sz="4" w:space="0"/>
              <w:right w:val="single" w:color="auto" w:sz="4" w:space="0"/>
            </w:tcBorders>
            <w:shd w:val="clear" w:color="auto" w:fill="auto"/>
            <w:vAlign w:val="center"/>
          </w:tcPr>
          <w:p w14:paraId="4B3603D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6C98894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5A8E3A19">
        <w:tblPrEx>
          <w:tblCellMar>
            <w:top w:w="0" w:type="dxa"/>
            <w:left w:w="108" w:type="dxa"/>
            <w:bottom w:w="0" w:type="dxa"/>
            <w:right w:w="108" w:type="dxa"/>
          </w:tblCellMar>
        </w:tblPrEx>
        <w:trPr>
          <w:trHeight w:val="1242" w:hRule="atLeast"/>
        </w:trPr>
        <w:tc>
          <w:tcPr>
            <w:tcW w:w="710" w:type="dxa"/>
            <w:vMerge w:val="continue"/>
            <w:tcBorders>
              <w:top w:val="nil"/>
              <w:left w:val="single" w:color="auto" w:sz="4" w:space="0"/>
              <w:bottom w:val="single" w:color="auto" w:sz="4" w:space="0"/>
              <w:right w:val="single" w:color="auto" w:sz="4" w:space="0"/>
            </w:tcBorders>
            <w:vAlign w:val="center"/>
          </w:tcPr>
          <w:p w14:paraId="43F666BB">
            <w:pPr>
              <w:widowControl/>
              <w:spacing w:line="240" w:lineRule="exact"/>
              <w:jc w:val="left"/>
              <w:rPr>
                <w:rFonts w:ascii="宋体" w:hAnsi="宋体" w:eastAsia="宋体" w:cs="宋体"/>
                <w:b/>
                <w:bCs/>
                <w:kern w:val="0"/>
                <w:sz w:val="18"/>
                <w:szCs w:val="18"/>
              </w:rPr>
            </w:pPr>
          </w:p>
        </w:tc>
        <w:tc>
          <w:tcPr>
            <w:tcW w:w="708" w:type="dxa"/>
            <w:vMerge w:val="continue"/>
            <w:tcBorders>
              <w:top w:val="nil"/>
              <w:left w:val="single" w:color="auto" w:sz="4" w:space="0"/>
              <w:bottom w:val="nil"/>
              <w:right w:val="single" w:color="auto" w:sz="4" w:space="0"/>
            </w:tcBorders>
            <w:vAlign w:val="center"/>
          </w:tcPr>
          <w:p w14:paraId="3098C34B">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27219D1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项目入库</w:t>
            </w:r>
          </w:p>
        </w:tc>
        <w:tc>
          <w:tcPr>
            <w:tcW w:w="708" w:type="dxa"/>
            <w:tcBorders>
              <w:top w:val="nil"/>
              <w:left w:val="nil"/>
              <w:bottom w:val="single" w:color="auto" w:sz="4" w:space="0"/>
              <w:right w:val="single" w:color="auto" w:sz="4" w:space="0"/>
            </w:tcBorders>
            <w:shd w:val="clear" w:color="auto" w:fill="auto"/>
            <w:vAlign w:val="center"/>
          </w:tcPr>
          <w:p w14:paraId="6360CC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5E4B7B09">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部门预算项目是否在规定时间完成项目入库</w:t>
            </w:r>
          </w:p>
        </w:tc>
        <w:tc>
          <w:tcPr>
            <w:tcW w:w="567" w:type="dxa"/>
            <w:tcBorders>
              <w:top w:val="nil"/>
              <w:left w:val="nil"/>
              <w:bottom w:val="single" w:color="auto" w:sz="4" w:space="0"/>
              <w:right w:val="single" w:color="auto" w:sz="4" w:space="0"/>
            </w:tcBorders>
            <w:shd w:val="clear" w:color="auto" w:fill="auto"/>
            <w:vAlign w:val="center"/>
          </w:tcPr>
          <w:p w14:paraId="3C1A5A6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4DD5460E">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该项指标得分=4-规定时间未入财政库部门预算阶段项目（含一次性项目）数量÷最终安排部门预算阶段项目（含一次性项目）总数×100%×4。规定时间以当年9月30日为准。</w:t>
            </w:r>
          </w:p>
        </w:tc>
        <w:tc>
          <w:tcPr>
            <w:tcW w:w="456" w:type="dxa"/>
            <w:tcBorders>
              <w:top w:val="nil"/>
              <w:left w:val="nil"/>
              <w:bottom w:val="single" w:color="auto" w:sz="4" w:space="0"/>
              <w:right w:val="single" w:color="auto" w:sz="4" w:space="0"/>
            </w:tcBorders>
            <w:shd w:val="clear" w:color="auto" w:fill="auto"/>
            <w:vAlign w:val="center"/>
          </w:tcPr>
          <w:p w14:paraId="716247B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679B4C7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01557427">
        <w:tblPrEx>
          <w:tblCellMar>
            <w:top w:w="0" w:type="dxa"/>
            <w:left w:w="108" w:type="dxa"/>
            <w:bottom w:w="0" w:type="dxa"/>
            <w:right w:w="108" w:type="dxa"/>
          </w:tblCellMar>
        </w:tblPrEx>
        <w:trPr>
          <w:trHeight w:val="1290" w:hRule="atLeast"/>
        </w:trPr>
        <w:tc>
          <w:tcPr>
            <w:tcW w:w="710" w:type="dxa"/>
            <w:vMerge w:val="continue"/>
            <w:tcBorders>
              <w:top w:val="nil"/>
              <w:left w:val="single" w:color="auto" w:sz="4" w:space="0"/>
              <w:bottom w:val="single" w:color="auto" w:sz="4" w:space="0"/>
              <w:right w:val="single" w:color="auto" w:sz="4" w:space="0"/>
            </w:tcBorders>
            <w:vAlign w:val="center"/>
          </w:tcPr>
          <w:p w14:paraId="0B2E34C3">
            <w:pPr>
              <w:widowControl/>
              <w:spacing w:line="240" w:lineRule="exact"/>
              <w:jc w:val="left"/>
              <w:rPr>
                <w:rFonts w:ascii="宋体" w:hAnsi="宋体" w:eastAsia="宋体" w:cs="宋体"/>
                <w:b/>
                <w:bCs/>
                <w:kern w:val="0"/>
                <w:sz w:val="18"/>
                <w:szCs w:val="18"/>
              </w:rPr>
            </w:pPr>
          </w:p>
        </w:tc>
        <w:tc>
          <w:tcPr>
            <w:tcW w:w="708" w:type="dxa"/>
            <w:vMerge w:val="restart"/>
            <w:tcBorders>
              <w:top w:val="single" w:color="auto" w:sz="4" w:space="0"/>
              <w:left w:val="single" w:color="auto" w:sz="4" w:space="0"/>
              <w:bottom w:val="nil"/>
              <w:right w:val="single" w:color="auto" w:sz="4" w:space="0"/>
            </w:tcBorders>
            <w:shd w:val="clear" w:color="auto" w:fill="auto"/>
            <w:vAlign w:val="center"/>
          </w:tcPr>
          <w:p w14:paraId="21122B88">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项目执行</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（12分）</w:t>
            </w:r>
          </w:p>
        </w:tc>
        <w:tc>
          <w:tcPr>
            <w:tcW w:w="2127" w:type="dxa"/>
            <w:tcBorders>
              <w:top w:val="nil"/>
              <w:left w:val="nil"/>
              <w:bottom w:val="single" w:color="auto" w:sz="4" w:space="0"/>
              <w:right w:val="single" w:color="auto" w:sz="4" w:space="0"/>
            </w:tcBorders>
            <w:shd w:val="clear" w:color="auto" w:fill="auto"/>
            <w:vAlign w:val="center"/>
          </w:tcPr>
          <w:p w14:paraId="690BA2B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执行同向</w:t>
            </w:r>
          </w:p>
        </w:tc>
        <w:tc>
          <w:tcPr>
            <w:tcW w:w="708" w:type="dxa"/>
            <w:tcBorders>
              <w:top w:val="nil"/>
              <w:left w:val="nil"/>
              <w:bottom w:val="single" w:color="auto" w:sz="4" w:space="0"/>
              <w:right w:val="single" w:color="auto" w:sz="4" w:space="0"/>
            </w:tcBorders>
            <w:shd w:val="clear" w:color="auto" w:fill="auto"/>
            <w:vAlign w:val="center"/>
          </w:tcPr>
          <w:p w14:paraId="79C592C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556F6A9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部门预算项目实际列支内容是否与绩效目标设置方向相符</w:t>
            </w:r>
          </w:p>
        </w:tc>
        <w:tc>
          <w:tcPr>
            <w:tcW w:w="567" w:type="dxa"/>
            <w:tcBorders>
              <w:top w:val="nil"/>
              <w:left w:val="nil"/>
              <w:bottom w:val="single" w:color="auto" w:sz="4" w:space="0"/>
              <w:right w:val="single" w:color="auto" w:sz="4" w:space="0"/>
            </w:tcBorders>
            <w:shd w:val="clear" w:color="auto" w:fill="auto"/>
            <w:vAlign w:val="center"/>
          </w:tcPr>
          <w:p w14:paraId="5C34D83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604D2CB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该项指标得分=4-实际列支内容与绩效目标设置方向不相符的部门预算阶段项目（含一次性项目）数量÷部门预算阶段项目（含一次性项目）总数×100%×4。</w:t>
            </w:r>
          </w:p>
        </w:tc>
        <w:tc>
          <w:tcPr>
            <w:tcW w:w="456" w:type="dxa"/>
            <w:tcBorders>
              <w:top w:val="nil"/>
              <w:left w:val="nil"/>
              <w:bottom w:val="single" w:color="auto" w:sz="4" w:space="0"/>
              <w:right w:val="single" w:color="auto" w:sz="4" w:space="0"/>
            </w:tcBorders>
            <w:shd w:val="clear" w:color="auto" w:fill="auto"/>
            <w:vAlign w:val="center"/>
          </w:tcPr>
          <w:p w14:paraId="2BA17CF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3FA18BE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2C664DDE">
        <w:tblPrEx>
          <w:tblCellMar>
            <w:top w:w="0" w:type="dxa"/>
            <w:left w:w="108" w:type="dxa"/>
            <w:bottom w:w="0" w:type="dxa"/>
            <w:right w:w="108" w:type="dxa"/>
          </w:tblCellMar>
        </w:tblPrEx>
        <w:trPr>
          <w:trHeight w:val="1182" w:hRule="atLeast"/>
        </w:trPr>
        <w:tc>
          <w:tcPr>
            <w:tcW w:w="710" w:type="dxa"/>
            <w:vMerge w:val="continue"/>
            <w:tcBorders>
              <w:top w:val="nil"/>
              <w:left w:val="single" w:color="auto" w:sz="4" w:space="0"/>
              <w:bottom w:val="single" w:color="auto" w:sz="4" w:space="0"/>
              <w:right w:val="single" w:color="auto" w:sz="4" w:space="0"/>
            </w:tcBorders>
            <w:vAlign w:val="center"/>
          </w:tcPr>
          <w:p w14:paraId="733FAADC">
            <w:pPr>
              <w:widowControl/>
              <w:spacing w:line="240" w:lineRule="exact"/>
              <w:jc w:val="left"/>
              <w:rPr>
                <w:rFonts w:ascii="宋体" w:hAnsi="宋体" w:eastAsia="宋体" w:cs="宋体"/>
                <w:b/>
                <w:bCs/>
                <w:kern w:val="0"/>
                <w:sz w:val="18"/>
                <w:szCs w:val="18"/>
              </w:rPr>
            </w:pPr>
          </w:p>
        </w:tc>
        <w:tc>
          <w:tcPr>
            <w:tcW w:w="708" w:type="dxa"/>
            <w:vMerge w:val="continue"/>
            <w:tcBorders>
              <w:top w:val="single" w:color="auto" w:sz="4" w:space="0"/>
              <w:left w:val="single" w:color="auto" w:sz="4" w:space="0"/>
              <w:bottom w:val="nil"/>
              <w:right w:val="single" w:color="auto" w:sz="4" w:space="0"/>
            </w:tcBorders>
            <w:vAlign w:val="center"/>
          </w:tcPr>
          <w:p w14:paraId="5CC5375D">
            <w:pPr>
              <w:widowControl/>
              <w:spacing w:line="240" w:lineRule="exact"/>
              <w:jc w:val="left"/>
              <w:rPr>
                <w:rFonts w:ascii="宋体" w:hAnsi="宋体" w:eastAsia="宋体" w:cs="宋体"/>
                <w:b/>
                <w:bCs/>
                <w:kern w:val="0"/>
                <w:sz w:val="18"/>
                <w:szCs w:val="18"/>
              </w:rPr>
            </w:pPr>
          </w:p>
        </w:tc>
        <w:tc>
          <w:tcPr>
            <w:tcW w:w="2127" w:type="dxa"/>
            <w:tcBorders>
              <w:top w:val="nil"/>
              <w:left w:val="nil"/>
              <w:bottom w:val="nil"/>
              <w:right w:val="single" w:color="auto" w:sz="4" w:space="0"/>
            </w:tcBorders>
            <w:shd w:val="clear" w:color="auto" w:fill="auto"/>
            <w:vAlign w:val="center"/>
          </w:tcPr>
          <w:p w14:paraId="0F43D03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项目调整</w:t>
            </w:r>
          </w:p>
        </w:tc>
        <w:tc>
          <w:tcPr>
            <w:tcW w:w="708" w:type="dxa"/>
            <w:tcBorders>
              <w:top w:val="nil"/>
              <w:left w:val="nil"/>
              <w:bottom w:val="single" w:color="auto" w:sz="4" w:space="0"/>
              <w:right w:val="single" w:color="auto" w:sz="4" w:space="0"/>
            </w:tcBorders>
            <w:shd w:val="clear" w:color="auto" w:fill="auto"/>
            <w:vAlign w:val="center"/>
          </w:tcPr>
          <w:p w14:paraId="0BC4497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2ACB33AD">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部门预算项目是否采取对应调整措施</w:t>
            </w:r>
          </w:p>
        </w:tc>
        <w:tc>
          <w:tcPr>
            <w:tcW w:w="567" w:type="dxa"/>
            <w:tcBorders>
              <w:top w:val="nil"/>
              <w:left w:val="nil"/>
              <w:bottom w:val="single" w:color="auto" w:sz="4" w:space="0"/>
              <w:right w:val="single" w:color="auto" w:sz="4" w:space="0"/>
            </w:tcBorders>
            <w:shd w:val="clear" w:color="auto" w:fill="auto"/>
            <w:vAlign w:val="center"/>
          </w:tcPr>
          <w:p w14:paraId="6588644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01FD9651">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该项指标得分=4-应采取未采取收回预算、调整目标等处置措施的部门预算阶段项目（含一次性项目）数量÷应采取收回预算、调整目标等处置措施的部门预算阶段项目（含一次性项目）总数×100%×4。</w:t>
            </w:r>
          </w:p>
        </w:tc>
        <w:tc>
          <w:tcPr>
            <w:tcW w:w="456" w:type="dxa"/>
            <w:tcBorders>
              <w:top w:val="nil"/>
              <w:left w:val="nil"/>
              <w:bottom w:val="single" w:color="auto" w:sz="4" w:space="0"/>
              <w:right w:val="single" w:color="auto" w:sz="4" w:space="0"/>
            </w:tcBorders>
            <w:shd w:val="clear" w:color="auto" w:fill="auto"/>
            <w:vAlign w:val="center"/>
          </w:tcPr>
          <w:p w14:paraId="7E6EE0F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152875A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3DDDAB12">
        <w:tblPrEx>
          <w:tblCellMar>
            <w:top w:w="0" w:type="dxa"/>
            <w:left w:w="108" w:type="dxa"/>
            <w:bottom w:w="0" w:type="dxa"/>
            <w:right w:w="108" w:type="dxa"/>
          </w:tblCellMar>
        </w:tblPrEx>
        <w:trPr>
          <w:trHeight w:val="810" w:hRule="atLeast"/>
        </w:trPr>
        <w:tc>
          <w:tcPr>
            <w:tcW w:w="710" w:type="dxa"/>
            <w:vMerge w:val="continue"/>
            <w:tcBorders>
              <w:top w:val="nil"/>
              <w:left w:val="single" w:color="auto" w:sz="4" w:space="0"/>
              <w:bottom w:val="single" w:color="auto" w:sz="4" w:space="0"/>
              <w:right w:val="single" w:color="auto" w:sz="4" w:space="0"/>
            </w:tcBorders>
            <w:vAlign w:val="center"/>
          </w:tcPr>
          <w:p w14:paraId="7E3FF1FA">
            <w:pPr>
              <w:widowControl/>
              <w:spacing w:line="240" w:lineRule="exact"/>
              <w:jc w:val="left"/>
              <w:rPr>
                <w:rFonts w:ascii="宋体" w:hAnsi="宋体" w:eastAsia="宋体" w:cs="宋体"/>
                <w:b/>
                <w:bCs/>
                <w:kern w:val="0"/>
                <w:sz w:val="18"/>
                <w:szCs w:val="18"/>
              </w:rPr>
            </w:pPr>
          </w:p>
        </w:tc>
        <w:tc>
          <w:tcPr>
            <w:tcW w:w="708" w:type="dxa"/>
            <w:vMerge w:val="continue"/>
            <w:tcBorders>
              <w:top w:val="single" w:color="auto" w:sz="4" w:space="0"/>
              <w:left w:val="single" w:color="auto" w:sz="4" w:space="0"/>
              <w:bottom w:val="nil"/>
              <w:right w:val="single" w:color="auto" w:sz="4" w:space="0"/>
            </w:tcBorders>
            <w:vAlign w:val="center"/>
          </w:tcPr>
          <w:p w14:paraId="7808B0D0">
            <w:pPr>
              <w:widowControl/>
              <w:spacing w:line="240" w:lineRule="exact"/>
              <w:jc w:val="left"/>
              <w:rPr>
                <w:rFonts w:ascii="宋体" w:hAnsi="宋体" w:eastAsia="宋体" w:cs="宋体"/>
                <w:b/>
                <w:bCs/>
                <w:kern w:val="0"/>
                <w:sz w:val="18"/>
                <w:szCs w:val="18"/>
              </w:rPr>
            </w:pPr>
          </w:p>
        </w:tc>
        <w:tc>
          <w:tcPr>
            <w:tcW w:w="2127" w:type="dxa"/>
            <w:tcBorders>
              <w:top w:val="single" w:color="auto" w:sz="4" w:space="0"/>
              <w:left w:val="nil"/>
              <w:bottom w:val="single" w:color="auto" w:sz="4" w:space="0"/>
              <w:right w:val="single" w:color="auto" w:sz="4" w:space="0"/>
            </w:tcBorders>
            <w:shd w:val="clear" w:color="auto" w:fill="auto"/>
            <w:vAlign w:val="center"/>
          </w:tcPr>
          <w:p w14:paraId="728645D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执行结果</w:t>
            </w:r>
          </w:p>
        </w:tc>
        <w:tc>
          <w:tcPr>
            <w:tcW w:w="708" w:type="dxa"/>
            <w:tcBorders>
              <w:top w:val="nil"/>
              <w:left w:val="nil"/>
              <w:bottom w:val="single" w:color="auto" w:sz="4" w:space="0"/>
              <w:right w:val="single" w:color="auto" w:sz="4" w:space="0"/>
            </w:tcBorders>
            <w:shd w:val="clear" w:color="auto" w:fill="auto"/>
            <w:vAlign w:val="center"/>
          </w:tcPr>
          <w:p w14:paraId="79D25D8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7A15BA12">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部门预算项目预算执行情况</w:t>
            </w:r>
          </w:p>
        </w:tc>
        <w:tc>
          <w:tcPr>
            <w:tcW w:w="567" w:type="dxa"/>
            <w:tcBorders>
              <w:top w:val="nil"/>
              <w:left w:val="nil"/>
              <w:bottom w:val="single" w:color="auto" w:sz="4" w:space="0"/>
              <w:right w:val="single" w:color="auto" w:sz="4" w:space="0"/>
            </w:tcBorders>
            <w:shd w:val="clear" w:color="auto" w:fill="auto"/>
            <w:vAlign w:val="center"/>
          </w:tcPr>
          <w:p w14:paraId="6842A50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0B0D5D93">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该项指标得分=全年单位实际支付金额÷全年下达单位计划×100%×4。</w:t>
            </w:r>
          </w:p>
        </w:tc>
        <w:tc>
          <w:tcPr>
            <w:tcW w:w="456" w:type="dxa"/>
            <w:tcBorders>
              <w:top w:val="nil"/>
              <w:left w:val="nil"/>
              <w:bottom w:val="single" w:color="auto" w:sz="4" w:space="0"/>
              <w:right w:val="single" w:color="auto" w:sz="4" w:space="0"/>
            </w:tcBorders>
            <w:shd w:val="clear" w:color="auto" w:fill="auto"/>
            <w:vAlign w:val="center"/>
          </w:tcPr>
          <w:p w14:paraId="7BF5909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17CC8E7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008C567E">
        <w:tblPrEx>
          <w:tblCellMar>
            <w:top w:w="0" w:type="dxa"/>
            <w:left w:w="108" w:type="dxa"/>
            <w:bottom w:w="0" w:type="dxa"/>
            <w:right w:w="108" w:type="dxa"/>
          </w:tblCellMar>
        </w:tblPrEx>
        <w:trPr>
          <w:trHeight w:val="2599" w:hRule="atLeast"/>
        </w:trPr>
        <w:tc>
          <w:tcPr>
            <w:tcW w:w="710" w:type="dxa"/>
            <w:vMerge w:val="continue"/>
            <w:tcBorders>
              <w:top w:val="nil"/>
              <w:left w:val="single" w:color="auto" w:sz="4" w:space="0"/>
              <w:bottom w:val="single" w:color="auto" w:sz="4" w:space="0"/>
              <w:right w:val="single" w:color="auto" w:sz="4" w:space="0"/>
            </w:tcBorders>
            <w:vAlign w:val="center"/>
          </w:tcPr>
          <w:p w14:paraId="712A8808">
            <w:pPr>
              <w:widowControl/>
              <w:spacing w:line="240" w:lineRule="exact"/>
              <w:jc w:val="left"/>
              <w:rPr>
                <w:rFonts w:ascii="宋体" w:hAnsi="宋体" w:eastAsia="宋体" w:cs="宋体"/>
                <w:b/>
                <w:bCs/>
                <w:kern w:val="0"/>
                <w:sz w:val="18"/>
                <w:szCs w:val="18"/>
              </w:rPr>
            </w:pPr>
          </w:p>
        </w:tc>
        <w:tc>
          <w:tcPr>
            <w:tcW w:w="70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7AB0B04">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目标实现</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（11分）</w:t>
            </w:r>
          </w:p>
        </w:tc>
        <w:tc>
          <w:tcPr>
            <w:tcW w:w="2127" w:type="dxa"/>
            <w:tcBorders>
              <w:top w:val="nil"/>
              <w:left w:val="nil"/>
              <w:bottom w:val="single" w:color="auto" w:sz="4" w:space="0"/>
              <w:right w:val="single" w:color="auto" w:sz="4" w:space="0"/>
            </w:tcBorders>
            <w:shd w:val="clear" w:color="auto" w:fill="auto"/>
            <w:vAlign w:val="center"/>
          </w:tcPr>
          <w:p w14:paraId="17279FA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目标完成</w:t>
            </w:r>
          </w:p>
        </w:tc>
        <w:tc>
          <w:tcPr>
            <w:tcW w:w="708" w:type="dxa"/>
            <w:tcBorders>
              <w:top w:val="nil"/>
              <w:left w:val="nil"/>
              <w:bottom w:val="single" w:color="auto" w:sz="4" w:space="0"/>
              <w:right w:val="single" w:color="auto" w:sz="4" w:space="0"/>
            </w:tcBorders>
            <w:shd w:val="clear" w:color="auto" w:fill="auto"/>
            <w:vAlign w:val="center"/>
          </w:tcPr>
          <w:p w14:paraId="71B056D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2282DCEB">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部门预算项目绩效目标数量指标完成情况</w:t>
            </w:r>
          </w:p>
        </w:tc>
        <w:tc>
          <w:tcPr>
            <w:tcW w:w="567" w:type="dxa"/>
            <w:tcBorders>
              <w:top w:val="nil"/>
              <w:left w:val="nil"/>
              <w:bottom w:val="single" w:color="auto" w:sz="4" w:space="0"/>
              <w:right w:val="single" w:color="auto" w:sz="4" w:space="0"/>
            </w:tcBorders>
            <w:shd w:val="clear" w:color="auto" w:fill="auto"/>
            <w:vAlign w:val="center"/>
          </w:tcPr>
          <w:p w14:paraId="5BE2801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7C68806F">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该项指标得分=完成绩效目标数量指标的部门预算阶段项目（含一次性项目）数量÷部门预算阶段项目（含一次性项目）总数×100%×4。</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取数口径：1.计算单个部门预算阶段项目（含一次性项目）完成比例：单个项目内已完成绩效目标的数量指标个数÷该项目绩效目标数量指标总数。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2.计算所有部门预算阶段项目（含一次性项目）完成比例：所有项目完成比例的算数平均值。</w:t>
            </w:r>
          </w:p>
        </w:tc>
        <w:tc>
          <w:tcPr>
            <w:tcW w:w="456" w:type="dxa"/>
            <w:tcBorders>
              <w:top w:val="nil"/>
              <w:left w:val="nil"/>
              <w:bottom w:val="single" w:color="auto" w:sz="4" w:space="0"/>
              <w:right w:val="single" w:color="auto" w:sz="4" w:space="0"/>
            </w:tcBorders>
            <w:shd w:val="clear" w:color="auto" w:fill="auto"/>
            <w:vAlign w:val="center"/>
          </w:tcPr>
          <w:p w14:paraId="5D5BB36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2E7DC1F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40CE3DF4">
        <w:tblPrEx>
          <w:tblCellMar>
            <w:top w:w="0" w:type="dxa"/>
            <w:left w:w="108" w:type="dxa"/>
            <w:bottom w:w="0" w:type="dxa"/>
            <w:right w:w="108" w:type="dxa"/>
          </w:tblCellMar>
        </w:tblPrEx>
        <w:trPr>
          <w:trHeight w:val="3379" w:hRule="atLeast"/>
        </w:trPr>
        <w:tc>
          <w:tcPr>
            <w:tcW w:w="710" w:type="dxa"/>
            <w:vMerge w:val="continue"/>
            <w:tcBorders>
              <w:top w:val="nil"/>
              <w:left w:val="single" w:color="auto" w:sz="4" w:space="0"/>
              <w:bottom w:val="single" w:color="auto" w:sz="4" w:space="0"/>
              <w:right w:val="single" w:color="auto" w:sz="4" w:space="0"/>
            </w:tcBorders>
            <w:vAlign w:val="center"/>
          </w:tcPr>
          <w:p w14:paraId="45DDFD3B">
            <w:pPr>
              <w:widowControl/>
              <w:spacing w:line="240" w:lineRule="exact"/>
              <w:jc w:val="left"/>
              <w:rPr>
                <w:rFonts w:ascii="宋体" w:hAnsi="宋体" w:eastAsia="宋体" w:cs="宋体"/>
                <w:b/>
                <w:bCs/>
                <w:kern w:val="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3DABA66F">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321E217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目标偏离</w:t>
            </w:r>
          </w:p>
        </w:tc>
        <w:tc>
          <w:tcPr>
            <w:tcW w:w="708" w:type="dxa"/>
            <w:tcBorders>
              <w:top w:val="nil"/>
              <w:left w:val="nil"/>
              <w:bottom w:val="single" w:color="auto" w:sz="4" w:space="0"/>
              <w:right w:val="single" w:color="auto" w:sz="4" w:space="0"/>
            </w:tcBorders>
            <w:shd w:val="clear" w:color="auto" w:fill="auto"/>
            <w:vAlign w:val="center"/>
          </w:tcPr>
          <w:p w14:paraId="525B356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701" w:type="dxa"/>
            <w:tcBorders>
              <w:top w:val="nil"/>
              <w:left w:val="nil"/>
              <w:bottom w:val="single" w:color="auto" w:sz="4" w:space="0"/>
              <w:right w:val="single" w:color="auto" w:sz="4" w:space="0"/>
            </w:tcBorders>
            <w:shd w:val="clear" w:color="auto" w:fill="auto"/>
            <w:vAlign w:val="center"/>
          </w:tcPr>
          <w:p w14:paraId="730AF0E3">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部门预算项目绩效目标数量指标实现程度与预期目标的偏离情况</w:t>
            </w:r>
          </w:p>
        </w:tc>
        <w:tc>
          <w:tcPr>
            <w:tcW w:w="567" w:type="dxa"/>
            <w:tcBorders>
              <w:top w:val="nil"/>
              <w:left w:val="nil"/>
              <w:bottom w:val="single" w:color="auto" w:sz="4" w:space="0"/>
              <w:right w:val="single" w:color="auto" w:sz="4" w:space="0"/>
            </w:tcBorders>
            <w:shd w:val="clear" w:color="auto" w:fill="auto"/>
            <w:vAlign w:val="center"/>
          </w:tcPr>
          <w:p w14:paraId="58C3DCF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2B607DF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已完成预期指标值的数量指标中偏离度在30%内的指标个数÷已完成预期指标值的数量指标个数×100%×4。偏离度=|（绩效指标实际完成值-设定预期指标值）÷设定预期指标值|。部门预算阶段项目（含一次性项目）绩效目标实际完成值偏离预期指标30%以上（含30%）的，不计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取数口径：1.计算单个部门预算阶段项目（含一次性项目）完成比例：单个项目内已完成绩效目标偏离度（正偏离）在30%内的数量指标个数÷该项目绩效目标数量指标总数。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2.计算所有部门预算阶段项目（含一次性项目）完成比例：所有项目完成比例的算数平均值。</w:t>
            </w:r>
          </w:p>
        </w:tc>
        <w:tc>
          <w:tcPr>
            <w:tcW w:w="456" w:type="dxa"/>
            <w:tcBorders>
              <w:top w:val="nil"/>
              <w:left w:val="nil"/>
              <w:bottom w:val="single" w:color="auto" w:sz="4" w:space="0"/>
              <w:right w:val="single" w:color="auto" w:sz="4" w:space="0"/>
            </w:tcBorders>
            <w:shd w:val="clear" w:color="auto" w:fill="auto"/>
            <w:vAlign w:val="center"/>
          </w:tcPr>
          <w:p w14:paraId="625FF98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56" w:type="dxa"/>
            <w:tcBorders>
              <w:top w:val="nil"/>
              <w:left w:val="nil"/>
              <w:bottom w:val="single" w:color="auto" w:sz="4" w:space="0"/>
              <w:right w:val="single" w:color="auto" w:sz="4" w:space="0"/>
            </w:tcBorders>
            <w:shd w:val="clear" w:color="auto" w:fill="auto"/>
            <w:vAlign w:val="center"/>
          </w:tcPr>
          <w:p w14:paraId="55442DD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5F7186CF">
        <w:tblPrEx>
          <w:tblCellMar>
            <w:top w:w="0" w:type="dxa"/>
            <w:left w:w="108" w:type="dxa"/>
            <w:bottom w:w="0" w:type="dxa"/>
            <w:right w:w="108" w:type="dxa"/>
          </w:tblCellMar>
        </w:tblPrEx>
        <w:trPr>
          <w:trHeight w:val="1905" w:hRule="atLeast"/>
        </w:trPr>
        <w:tc>
          <w:tcPr>
            <w:tcW w:w="710" w:type="dxa"/>
            <w:vMerge w:val="continue"/>
            <w:tcBorders>
              <w:top w:val="nil"/>
              <w:left w:val="single" w:color="auto" w:sz="4" w:space="0"/>
              <w:bottom w:val="single" w:color="auto" w:sz="4" w:space="0"/>
              <w:right w:val="single" w:color="auto" w:sz="4" w:space="0"/>
            </w:tcBorders>
            <w:vAlign w:val="center"/>
          </w:tcPr>
          <w:p w14:paraId="67BA8B98">
            <w:pPr>
              <w:widowControl/>
              <w:spacing w:line="240" w:lineRule="exact"/>
              <w:jc w:val="left"/>
              <w:rPr>
                <w:rFonts w:ascii="宋体" w:hAnsi="宋体" w:eastAsia="宋体" w:cs="宋体"/>
                <w:b/>
                <w:bCs/>
                <w:kern w:val="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6F5F544D">
            <w:pPr>
              <w:widowControl/>
              <w:spacing w:line="240" w:lineRule="exact"/>
              <w:jc w:val="left"/>
              <w:rPr>
                <w:rFonts w:ascii="宋体" w:hAnsi="宋体" w:eastAsia="宋体" w:cs="宋体"/>
                <w:b/>
                <w:bCs/>
                <w:kern w:val="0"/>
                <w:sz w:val="18"/>
                <w:szCs w:val="18"/>
              </w:rPr>
            </w:pPr>
          </w:p>
        </w:tc>
        <w:tc>
          <w:tcPr>
            <w:tcW w:w="2127" w:type="dxa"/>
            <w:tcBorders>
              <w:top w:val="nil"/>
              <w:left w:val="nil"/>
              <w:bottom w:val="single" w:color="auto" w:sz="4" w:space="0"/>
              <w:right w:val="single" w:color="auto" w:sz="4" w:space="0"/>
            </w:tcBorders>
            <w:shd w:val="clear" w:color="auto" w:fill="auto"/>
            <w:vAlign w:val="center"/>
          </w:tcPr>
          <w:p w14:paraId="72462C1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实现效果</w:t>
            </w:r>
          </w:p>
        </w:tc>
        <w:tc>
          <w:tcPr>
            <w:tcW w:w="708" w:type="dxa"/>
            <w:tcBorders>
              <w:top w:val="nil"/>
              <w:left w:val="nil"/>
              <w:bottom w:val="single" w:color="auto" w:sz="4" w:space="0"/>
              <w:right w:val="single" w:color="auto" w:sz="4" w:space="0"/>
            </w:tcBorders>
            <w:shd w:val="clear" w:color="auto" w:fill="auto"/>
            <w:vAlign w:val="center"/>
          </w:tcPr>
          <w:p w14:paraId="1E51087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701" w:type="dxa"/>
            <w:tcBorders>
              <w:top w:val="nil"/>
              <w:left w:val="nil"/>
              <w:bottom w:val="single" w:color="auto" w:sz="4" w:space="0"/>
              <w:right w:val="single" w:color="auto" w:sz="4" w:space="0"/>
            </w:tcBorders>
            <w:shd w:val="clear" w:color="auto" w:fill="auto"/>
            <w:vAlign w:val="center"/>
          </w:tcPr>
          <w:p w14:paraId="65EFAD11">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部门预算项目绩效目标效益指标实施效果</w:t>
            </w:r>
          </w:p>
        </w:tc>
        <w:tc>
          <w:tcPr>
            <w:tcW w:w="567" w:type="dxa"/>
            <w:tcBorders>
              <w:top w:val="nil"/>
              <w:left w:val="nil"/>
              <w:bottom w:val="single" w:color="auto" w:sz="4" w:space="0"/>
              <w:right w:val="single" w:color="auto" w:sz="4" w:space="0"/>
            </w:tcBorders>
            <w:shd w:val="clear" w:color="auto" w:fill="auto"/>
            <w:vAlign w:val="center"/>
          </w:tcPr>
          <w:p w14:paraId="0027AEF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比率分值法</w:t>
            </w:r>
          </w:p>
        </w:tc>
        <w:tc>
          <w:tcPr>
            <w:tcW w:w="1804" w:type="dxa"/>
            <w:tcBorders>
              <w:top w:val="nil"/>
              <w:left w:val="nil"/>
              <w:bottom w:val="single" w:color="auto" w:sz="4" w:space="0"/>
              <w:right w:val="single" w:color="auto" w:sz="4" w:space="0"/>
            </w:tcBorders>
            <w:shd w:val="clear" w:color="auto" w:fill="auto"/>
            <w:vAlign w:val="center"/>
          </w:tcPr>
          <w:p w14:paraId="4C9FA5F6">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该项指标得分=完成绩效目标效益指标的部门预算阶段项目（含一次性项目）数量÷部门预算阶段项目（含一次性项目）总数×100%×3。</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取数口径：1.计算单个部门预算阶段项目（含一次性项目）完成比例：单个项目内已完成绩效目标的效益指标个数÷该项目绩效目标效益指标总数。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2.计算所有部门预算阶段项目（含一次性项目）完成比例：所有项目完成比例的算数平均值。</w:t>
            </w:r>
          </w:p>
        </w:tc>
        <w:tc>
          <w:tcPr>
            <w:tcW w:w="456" w:type="dxa"/>
            <w:tcBorders>
              <w:top w:val="nil"/>
              <w:left w:val="nil"/>
              <w:bottom w:val="single" w:color="auto" w:sz="4" w:space="0"/>
              <w:right w:val="single" w:color="auto" w:sz="4" w:space="0"/>
            </w:tcBorders>
            <w:shd w:val="clear" w:color="auto" w:fill="auto"/>
            <w:vAlign w:val="center"/>
          </w:tcPr>
          <w:p w14:paraId="6F91295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456" w:type="dxa"/>
            <w:tcBorders>
              <w:top w:val="nil"/>
              <w:left w:val="nil"/>
              <w:bottom w:val="single" w:color="auto" w:sz="4" w:space="0"/>
              <w:right w:val="single" w:color="auto" w:sz="4" w:space="0"/>
            </w:tcBorders>
            <w:shd w:val="clear" w:color="auto" w:fill="auto"/>
            <w:vAlign w:val="center"/>
          </w:tcPr>
          <w:p w14:paraId="34E45D1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7AFEAAE6">
        <w:tblPrEx>
          <w:tblCellMar>
            <w:top w:w="0" w:type="dxa"/>
            <w:left w:w="108" w:type="dxa"/>
            <w:bottom w:w="0" w:type="dxa"/>
            <w:right w:w="108" w:type="dxa"/>
          </w:tblCellMar>
        </w:tblPrEx>
        <w:trPr>
          <w:trHeight w:val="1362" w:hRule="atLeast"/>
        </w:trPr>
        <w:tc>
          <w:tcPr>
            <w:tcW w:w="710" w:type="dxa"/>
            <w:vMerge w:val="restart"/>
            <w:tcBorders>
              <w:top w:val="nil"/>
              <w:left w:val="single" w:color="auto" w:sz="4" w:space="0"/>
              <w:bottom w:val="single" w:color="auto" w:sz="4" w:space="0"/>
              <w:right w:val="single" w:color="auto" w:sz="4" w:space="0"/>
            </w:tcBorders>
            <w:shd w:val="clear" w:color="auto" w:fill="auto"/>
            <w:vAlign w:val="center"/>
          </w:tcPr>
          <w:p w14:paraId="4D4AC511">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加分项</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（5分）</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14:paraId="26CDDE1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向上争取资金</w:t>
            </w:r>
          </w:p>
        </w:tc>
        <w:tc>
          <w:tcPr>
            <w:tcW w:w="708" w:type="dxa"/>
            <w:tcBorders>
              <w:top w:val="nil"/>
              <w:left w:val="nil"/>
              <w:bottom w:val="single" w:color="auto" w:sz="4" w:space="0"/>
              <w:right w:val="single" w:color="auto" w:sz="4" w:space="0"/>
            </w:tcBorders>
            <w:shd w:val="clear" w:color="auto" w:fill="auto"/>
            <w:vAlign w:val="center"/>
          </w:tcPr>
          <w:p w14:paraId="037E1BA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1701" w:type="dxa"/>
            <w:tcBorders>
              <w:top w:val="nil"/>
              <w:left w:val="nil"/>
              <w:bottom w:val="single" w:color="auto" w:sz="4" w:space="0"/>
              <w:right w:val="single" w:color="auto" w:sz="4" w:space="0"/>
            </w:tcBorders>
            <w:shd w:val="clear" w:color="auto" w:fill="auto"/>
            <w:vAlign w:val="center"/>
          </w:tcPr>
          <w:p w14:paraId="10564FA4">
            <w:pPr>
              <w:widowControl/>
              <w:spacing w:line="240" w:lineRule="exact"/>
              <w:rPr>
                <w:rFonts w:ascii="宋体" w:hAnsi="宋体" w:eastAsia="宋体" w:cs="宋体"/>
                <w:kern w:val="0"/>
                <w:sz w:val="18"/>
                <w:szCs w:val="18"/>
              </w:rPr>
            </w:pPr>
            <w:r>
              <w:rPr>
                <w:rFonts w:hint="eastAsia" w:ascii="宋体" w:hAnsi="宋体" w:eastAsia="宋体" w:cs="宋体"/>
                <w:kern w:val="0"/>
                <w:sz w:val="18"/>
                <w:szCs w:val="18"/>
              </w:rPr>
              <w:t>向上争取资金情况</w:t>
            </w:r>
          </w:p>
        </w:tc>
        <w:tc>
          <w:tcPr>
            <w:tcW w:w="567" w:type="dxa"/>
            <w:tcBorders>
              <w:top w:val="nil"/>
              <w:left w:val="nil"/>
              <w:bottom w:val="single" w:color="auto" w:sz="4" w:space="0"/>
              <w:right w:val="single" w:color="auto" w:sz="4" w:space="0"/>
            </w:tcBorders>
            <w:shd w:val="clear" w:color="auto" w:fill="auto"/>
            <w:vAlign w:val="center"/>
          </w:tcPr>
          <w:p w14:paraId="57936A9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3884AC4D">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积极向上申报项目资金，或省级项目资金绩效评价良好，获得更多上级资金分配，并抵减本级财力安排的，经财政复评认定后予以加分：每争取100万元加0.1分（四舍五入）最高3分。</w:t>
            </w:r>
          </w:p>
        </w:tc>
        <w:tc>
          <w:tcPr>
            <w:tcW w:w="456" w:type="dxa"/>
            <w:tcBorders>
              <w:top w:val="nil"/>
              <w:left w:val="nil"/>
              <w:bottom w:val="single" w:color="auto" w:sz="4" w:space="0"/>
              <w:right w:val="single" w:color="auto" w:sz="4" w:space="0"/>
            </w:tcBorders>
            <w:shd w:val="clear" w:color="auto" w:fill="auto"/>
            <w:vAlign w:val="center"/>
          </w:tcPr>
          <w:p w14:paraId="5680DC6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456" w:type="dxa"/>
            <w:tcBorders>
              <w:top w:val="nil"/>
              <w:left w:val="nil"/>
              <w:bottom w:val="single" w:color="auto" w:sz="4" w:space="0"/>
              <w:right w:val="single" w:color="auto" w:sz="4" w:space="0"/>
            </w:tcBorders>
            <w:shd w:val="clear" w:color="auto" w:fill="auto"/>
            <w:vAlign w:val="center"/>
          </w:tcPr>
          <w:p w14:paraId="55E16DB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264CE866">
        <w:tblPrEx>
          <w:tblCellMar>
            <w:top w:w="0" w:type="dxa"/>
            <w:left w:w="108" w:type="dxa"/>
            <w:bottom w:w="0" w:type="dxa"/>
            <w:right w:w="108" w:type="dxa"/>
          </w:tblCellMar>
        </w:tblPrEx>
        <w:trPr>
          <w:trHeight w:val="1118" w:hRule="atLeast"/>
        </w:trPr>
        <w:tc>
          <w:tcPr>
            <w:tcW w:w="710" w:type="dxa"/>
            <w:vMerge w:val="continue"/>
            <w:tcBorders>
              <w:top w:val="nil"/>
              <w:left w:val="single" w:color="auto" w:sz="4" w:space="0"/>
              <w:bottom w:val="single" w:color="auto" w:sz="4" w:space="0"/>
              <w:right w:val="single" w:color="auto" w:sz="4" w:space="0"/>
            </w:tcBorders>
            <w:vAlign w:val="center"/>
          </w:tcPr>
          <w:p w14:paraId="7F0F624A">
            <w:pPr>
              <w:widowControl/>
              <w:spacing w:line="240" w:lineRule="exact"/>
              <w:jc w:val="left"/>
              <w:rPr>
                <w:rFonts w:ascii="宋体" w:hAnsi="宋体" w:eastAsia="宋体" w:cs="宋体"/>
                <w:b/>
                <w:bCs/>
                <w:kern w:val="0"/>
                <w:sz w:val="18"/>
                <w:szCs w:val="18"/>
              </w:rPr>
            </w:pP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14:paraId="2BF5B62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项目（政策）绩效评价</w:t>
            </w:r>
          </w:p>
        </w:tc>
        <w:tc>
          <w:tcPr>
            <w:tcW w:w="708" w:type="dxa"/>
            <w:tcBorders>
              <w:top w:val="nil"/>
              <w:left w:val="nil"/>
              <w:bottom w:val="single" w:color="auto" w:sz="4" w:space="0"/>
              <w:right w:val="single" w:color="auto" w:sz="4" w:space="0"/>
            </w:tcBorders>
            <w:shd w:val="clear" w:color="auto" w:fill="auto"/>
            <w:vAlign w:val="center"/>
          </w:tcPr>
          <w:p w14:paraId="2EB4379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1701" w:type="dxa"/>
            <w:tcBorders>
              <w:top w:val="nil"/>
              <w:left w:val="nil"/>
              <w:bottom w:val="single" w:color="auto" w:sz="4" w:space="0"/>
              <w:right w:val="single" w:color="auto" w:sz="4" w:space="0"/>
            </w:tcBorders>
            <w:shd w:val="clear" w:color="auto" w:fill="auto"/>
            <w:vAlign w:val="center"/>
          </w:tcPr>
          <w:p w14:paraId="2AEF186D">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项目（政策）绩效评价（评估）结果</w:t>
            </w:r>
          </w:p>
        </w:tc>
        <w:tc>
          <w:tcPr>
            <w:tcW w:w="567" w:type="dxa"/>
            <w:tcBorders>
              <w:top w:val="nil"/>
              <w:left w:val="nil"/>
              <w:bottom w:val="single" w:color="auto" w:sz="4" w:space="0"/>
              <w:right w:val="single" w:color="auto" w:sz="4" w:space="0"/>
            </w:tcBorders>
            <w:shd w:val="clear" w:color="auto" w:fill="auto"/>
            <w:vAlign w:val="center"/>
          </w:tcPr>
          <w:p w14:paraId="6239582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32A90D2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政策和项目绩效评价（评估），评价结果为优、良的，且在项目管理中有明显成效的，提高财政资金效率的，经财政复评认定后予以加分，最高加2分。</w:t>
            </w:r>
          </w:p>
        </w:tc>
        <w:tc>
          <w:tcPr>
            <w:tcW w:w="456" w:type="dxa"/>
            <w:tcBorders>
              <w:top w:val="nil"/>
              <w:left w:val="nil"/>
              <w:bottom w:val="single" w:color="auto" w:sz="4" w:space="0"/>
              <w:right w:val="single" w:color="auto" w:sz="4" w:space="0"/>
            </w:tcBorders>
            <w:shd w:val="clear" w:color="auto" w:fill="auto"/>
            <w:vAlign w:val="center"/>
          </w:tcPr>
          <w:p w14:paraId="0794E0D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456" w:type="dxa"/>
            <w:tcBorders>
              <w:top w:val="nil"/>
              <w:left w:val="nil"/>
              <w:bottom w:val="single" w:color="auto" w:sz="4" w:space="0"/>
              <w:right w:val="single" w:color="auto" w:sz="4" w:space="0"/>
            </w:tcBorders>
            <w:shd w:val="clear" w:color="auto" w:fill="auto"/>
            <w:vAlign w:val="center"/>
          </w:tcPr>
          <w:p w14:paraId="73A63D7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13F0A716">
        <w:tblPrEx>
          <w:tblCellMar>
            <w:top w:w="0" w:type="dxa"/>
            <w:left w:w="108" w:type="dxa"/>
            <w:bottom w:w="0" w:type="dxa"/>
            <w:right w:w="108" w:type="dxa"/>
          </w:tblCellMar>
        </w:tblPrEx>
        <w:trPr>
          <w:trHeight w:val="1658" w:hRule="atLeast"/>
        </w:trPr>
        <w:tc>
          <w:tcPr>
            <w:tcW w:w="710" w:type="dxa"/>
            <w:vMerge w:val="restart"/>
            <w:tcBorders>
              <w:top w:val="nil"/>
              <w:left w:val="single" w:color="auto" w:sz="4" w:space="0"/>
              <w:bottom w:val="single" w:color="auto" w:sz="4" w:space="0"/>
              <w:right w:val="single" w:color="auto" w:sz="4" w:space="0"/>
            </w:tcBorders>
            <w:shd w:val="clear" w:color="auto" w:fill="auto"/>
            <w:vAlign w:val="center"/>
          </w:tcPr>
          <w:p w14:paraId="2AFECED6">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扣分项</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（10分）</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14:paraId="3ECB808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预算绩效存在问题</w:t>
            </w:r>
          </w:p>
        </w:tc>
        <w:tc>
          <w:tcPr>
            <w:tcW w:w="708" w:type="dxa"/>
            <w:tcBorders>
              <w:top w:val="nil"/>
              <w:left w:val="nil"/>
              <w:bottom w:val="single" w:color="auto" w:sz="4" w:space="0"/>
              <w:right w:val="single" w:color="auto" w:sz="4" w:space="0"/>
            </w:tcBorders>
            <w:shd w:val="clear" w:color="auto" w:fill="auto"/>
            <w:vAlign w:val="center"/>
          </w:tcPr>
          <w:p w14:paraId="2E8729B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1701" w:type="dxa"/>
            <w:tcBorders>
              <w:top w:val="nil"/>
              <w:left w:val="nil"/>
              <w:bottom w:val="single" w:color="auto" w:sz="4" w:space="0"/>
              <w:right w:val="single" w:color="auto" w:sz="4" w:space="0"/>
            </w:tcBorders>
            <w:shd w:val="clear" w:color="auto" w:fill="auto"/>
            <w:vAlign w:val="center"/>
          </w:tcPr>
          <w:p w14:paraId="55A435A3">
            <w:pPr>
              <w:widowControl/>
              <w:spacing w:line="240" w:lineRule="exact"/>
              <w:rPr>
                <w:rFonts w:ascii="宋体" w:hAnsi="宋体" w:eastAsia="宋体" w:cs="宋体"/>
                <w:kern w:val="0"/>
                <w:sz w:val="18"/>
                <w:szCs w:val="18"/>
              </w:rPr>
            </w:pPr>
            <w:r>
              <w:rPr>
                <w:rFonts w:hint="eastAsia" w:ascii="宋体" w:hAnsi="宋体" w:eastAsia="宋体" w:cs="宋体"/>
                <w:kern w:val="0"/>
                <w:sz w:val="18"/>
                <w:szCs w:val="18"/>
              </w:rPr>
              <w:t>预算管理和绩效管理工作存在问题</w:t>
            </w:r>
          </w:p>
        </w:tc>
        <w:tc>
          <w:tcPr>
            <w:tcW w:w="567" w:type="dxa"/>
            <w:tcBorders>
              <w:top w:val="nil"/>
              <w:left w:val="nil"/>
              <w:bottom w:val="single" w:color="auto" w:sz="4" w:space="0"/>
              <w:right w:val="single" w:color="auto" w:sz="4" w:space="0"/>
            </w:tcBorders>
            <w:shd w:val="clear" w:color="auto" w:fill="auto"/>
            <w:vAlign w:val="center"/>
          </w:tcPr>
          <w:p w14:paraId="627D921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09B8A73B">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依据评价年度人大监督、巡视巡察、审计监督、财会监督等结果以及评价指标体系涉及的履职效果、预算管理、财务管理、资产管理、采购管理、项目绩效等方面出现的问题，每有一个问题点扣0.2分；以前年度未按要求完成整改的扣0.2分，扣完为止。</w:t>
            </w:r>
          </w:p>
        </w:tc>
        <w:tc>
          <w:tcPr>
            <w:tcW w:w="456" w:type="dxa"/>
            <w:tcBorders>
              <w:top w:val="nil"/>
              <w:left w:val="nil"/>
              <w:bottom w:val="single" w:color="auto" w:sz="4" w:space="0"/>
              <w:right w:val="single" w:color="auto" w:sz="4" w:space="0"/>
            </w:tcBorders>
            <w:shd w:val="clear" w:color="auto" w:fill="auto"/>
            <w:vAlign w:val="center"/>
          </w:tcPr>
          <w:p w14:paraId="2B5E397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456" w:type="dxa"/>
            <w:tcBorders>
              <w:top w:val="nil"/>
              <w:left w:val="nil"/>
              <w:bottom w:val="single" w:color="auto" w:sz="4" w:space="0"/>
              <w:right w:val="single" w:color="auto" w:sz="4" w:space="0"/>
            </w:tcBorders>
            <w:shd w:val="clear" w:color="auto" w:fill="auto"/>
            <w:vAlign w:val="center"/>
          </w:tcPr>
          <w:p w14:paraId="7CC0ED6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56E6EF67">
        <w:tblPrEx>
          <w:tblCellMar>
            <w:top w:w="0" w:type="dxa"/>
            <w:left w:w="108" w:type="dxa"/>
            <w:bottom w:w="0" w:type="dxa"/>
            <w:right w:w="108" w:type="dxa"/>
          </w:tblCellMar>
        </w:tblPrEx>
        <w:trPr>
          <w:trHeight w:val="889" w:hRule="atLeast"/>
        </w:trPr>
        <w:tc>
          <w:tcPr>
            <w:tcW w:w="710" w:type="dxa"/>
            <w:vMerge w:val="continue"/>
            <w:tcBorders>
              <w:top w:val="nil"/>
              <w:left w:val="single" w:color="auto" w:sz="4" w:space="0"/>
              <w:bottom w:val="single" w:color="auto" w:sz="4" w:space="0"/>
              <w:right w:val="single" w:color="auto" w:sz="4" w:space="0"/>
            </w:tcBorders>
            <w:vAlign w:val="center"/>
          </w:tcPr>
          <w:p w14:paraId="489F4519">
            <w:pPr>
              <w:widowControl/>
              <w:spacing w:line="240" w:lineRule="exact"/>
              <w:jc w:val="left"/>
              <w:rPr>
                <w:rFonts w:ascii="宋体" w:hAnsi="宋体" w:eastAsia="宋体" w:cs="宋体"/>
                <w:b/>
                <w:bCs/>
                <w:kern w:val="0"/>
                <w:sz w:val="18"/>
                <w:szCs w:val="18"/>
              </w:rPr>
            </w:pP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14:paraId="252A476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被评价部门配合度</w:t>
            </w:r>
          </w:p>
        </w:tc>
        <w:tc>
          <w:tcPr>
            <w:tcW w:w="708" w:type="dxa"/>
            <w:tcBorders>
              <w:top w:val="nil"/>
              <w:left w:val="nil"/>
              <w:bottom w:val="single" w:color="auto" w:sz="4" w:space="0"/>
              <w:right w:val="single" w:color="auto" w:sz="4" w:space="0"/>
            </w:tcBorders>
            <w:shd w:val="clear" w:color="auto" w:fill="auto"/>
            <w:vAlign w:val="center"/>
          </w:tcPr>
          <w:p w14:paraId="427D82B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1701" w:type="dxa"/>
            <w:tcBorders>
              <w:top w:val="nil"/>
              <w:left w:val="nil"/>
              <w:bottom w:val="single" w:color="auto" w:sz="4" w:space="0"/>
              <w:right w:val="single" w:color="auto" w:sz="4" w:space="0"/>
            </w:tcBorders>
            <w:shd w:val="clear" w:color="auto" w:fill="auto"/>
            <w:vAlign w:val="center"/>
          </w:tcPr>
          <w:p w14:paraId="702859AC">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被评价对象工作配合情况</w:t>
            </w:r>
          </w:p>
        </w:tc>
        <w:tc>
          <w:tcPr>
            <w:tcW w:w="567" w:type="dxa"/>
            <w:tcBorders>
              <w:top w:val="nil"/>
              <w:left w:val="nil"/>
              <w:bottom w:val="single" w:color="auto" w:sz="4" w:space="0"/>
              <w:right w:val="single" w:color="auto" w:sz="4" w:space="0"/>
            </w:tcBorders>
            <w:shd w:val="clear" w:color="auto" w:fill="auto"/>
            <w:vAlign w:val="center"/>
          </w:tcPr>
          <w:p w14:paraId="682F363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缺（错）项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扣分法</w:t>
            </w:r>
          </w:p>
        </w:tc>
        <w:tc>
          <w:tcPr>
            <w:tcW w:w="1804" w:type="dxa"/>
            <w:tcBorders>
              <w:top w:val="nil"/>
              <w:left w:val="nil"/>
              <w:bottom w:val="single" w:color="auto" w:sz="4" w:space="0"/>
              <w:right w:val="single" w:color="auto" w:sz="4" w:space="0"/>
            </w:tcBorders>
            <w:shd w:val="clear" w:color="auto" w:fill="auto"/>
            <w:vAlign w:val="center"/>
          </w:tcPr>
          <w:p w14:paraId="62213C5F">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评价工作开展过程中，被评价对象拖延推诿、提交资料不及时等拒不配合评价工作的，每发现一次扣1分，扣完为止。</w:t>
            </w:r>
          </w:p>
        </w:tc>
        <w:tc>
          <w:tcPr>
            <w:tcW w:w="456" w:type="dxa"/>
            <w:tcBorders>
              <w:top w:val="nil"/>
              <w:left w:val="nil"/>
              <w:bottom w:val="single" w:color="auto" w:sz="4" w:space="0"/>
              <w:right w:val="single" w:color="auto" w:sz="4" w:space="0"/>
            </w:tcBorders>
            <w:shd w:val="clear" w:color="auto" w:fill="auto"/>
            <w:vAlign w:val="center"/>
          </w:tcPr>
          <w:p w14:paraId="6FD1878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456" w:type="dxa"/>
            <w:tcBorders>
              <w:top w:val="nil"/>
              <w:left w:val="nil"/>
              <w:bottom w:val="single" w:color="auto" w:sz="4" w:space="0"/>
              <w:right w:val="single" w:color="auto" w:sz="4" w:space="0"/>
            </w:tcBorders>
            <w:shd w:val="clear" w:color="auto" w:fill="auto"/>
            <w:vAlign w:val="center"/>
          </w:tcPr>
          <w:p w14:paraId="46175D2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1507E7B0">
        <w:tblPrEx>
          <w:tblCellMar>
            <w:top w:w="0" w:type="dxa"/>
            <w:left w:w="108" w:type="dxa"/>
            <w:bottom w:w="0" w:type="dxa"/>
            <w:right w:w="108" w:type="dxa"/>
          </w:tblCellMar>
        </w:tblPrEx>
        <w:trPr>
          <w:trHeight w:val="675" w:hRule="atLeast"/>
        </w:trPr>
        <w:tc>
          <w:tcPr>
            <w:tcW w:w="354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A137B8">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708" w:type="dxa"/>
            <w:tcBorders>
              <w:top w:val="nil"/>
              <w:left w:val="nil"/>
              <w:bottom w:val="single" w:color="auto" w:sz="4" w:space="0"/>
              <w:right w:val="single" w:color="auto" w:sz="4" w:space="0"/>
            </w:tcBorders>
            <w:shd w:val="clear" w:color="auto" w:fill="auto"/>
            <w:noWrap/>
            <w:vAlign w:val="center"/>
          </w:tcPr>
          <w:p w14:paraId="17114F4D">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701" w:type="dxa"/>
            <w:tcBorders>
              <w:top w:val="nil"/>
              <w:left w:val="nil"/>
              <w:bottom w:val="single" w:color="auto" w:sz="4" w:space="0"/>
              <w:right w:val="single" w:color="auto" w:sz="4" w:space="0"/>
            </w:tcBorders>
            <w:shd w:val="clear" w:color="auto" w:fill="auto"/>
            <w:noWrap/>
            <w:vAlign w:val="center"/>
          </w:tcPr>
          <w:p w14:paraId="610BBA7E">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567" w:type="dxa"/>
            <w:tcBorders>
              <w:top w:val="nil"/>
              <w:left w:val="nil"/>
              <w:bottom w:val="single" w:color="auto" w:sz="4" w:space="0"/>
              <w:right w:val="single" w:color="auto" w:sz="4" w:space="0"/>
            </w:tcBorders>
            <w:shd w:val="clear" w:color="auto" w:fill="auto"/>
            <w:noWrap/>
            <w:vAlign w:val="center"/>
          </w:tcPr>
          <w:p w14:paraId="35AF00C9">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804" w:type="dxa"/>
            <w:tcBorders>
              <w:top w:val="nil"/>
              <w:left w:val="nil"/>
              <w:bottom w:val="single" w:color="auto" w:sz="4" w:space="0"/>
              <w:right w:val="single" w:color="auto" w:sz="4" w:space="0"/>
            </w:tcBorders>
            <w:shd w:val="clear" w:color="auto" w:fill="auto"/>
            <w:noWrap/>
            <w:vAlign w:val="center"/>
          </w:tcPr>
          <w:p w14:paraId="5DDCA5F5">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456" w:type="dxa"/>
            <w:tcBorders>
              <w:top w:val="nil"/>
              <w:left w:val="nil"/>
              <w:bottom w:val="single" w:color="auto" w:sz="4" w:space="0"/>
              <w:right w:val="single" w:color="auto" w:sz="4" w:space="0"/>
            </w:tcBorders>
            <w:shd w:val="clear" w:color="auto" w:fill="auto"/>
            <w:noWrap/>
            <w:vAlign w:val="center"/>
          </w:tcPr>
          <w:p w14:paraId="6F5D402F">
            <w:pPr>
              <w:widowControl/>
              <w:spacing w:line="240" w:lineRule="exact"/>
              <w:jc w:val="right"/>
              <w:rPr>
                <w:rFonts w:ascii="宋体" w:hAnsi="宋体" w:eastAsia="宋体" w:cs="宋体"/>
                <w:kern w:val="0"/>
                <w:sz w:val="18"/>
                <w:szCs w:val="18"/>
              </w:rPr>
            </w:pPr>
            <w:r>
              <w:rPr>
                <w:rFonts w:hint="eastAsia" w:ascii="宋体" w:hAnsi="宋体" w:eastAsia="宋体" w:cs="宋体"/>
                <w:kern w:val="0"/>
                <w:sz w:val="18"/>
                <w:szCs w:val="18"/>
              </w:rPr>
              <w:t>97</w:t>
            </w:r>
          </w:p>
        </w:tc>
        <w:tc>
          <w:tcPr>
            <w:tcW w:w="456" w:type="dxa"/>
            <w:tcBorders>
              <w:top w:val="nil"/>
              <w:left w:val="nil"/>
              <w:bottom w:val="single" w:color="auto" w:sz="4" w:space="0"/>
              <w:right w:val="single" w:color="auto" w:sz="4" w:space="0"/>
            </w:tcBorders>
            <w:shd w:val="clear" w:color="auto" w:fill="auto"/>
            <w:vAlign w:val="center"/>
          </w:tcPr>
          <w:p w14:paraId="59DAA8E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w:t>
            </w:r>
          </w:p>
        </w:tc>
      </w:tr>
    </w:tbl>
    <w:p w14:paraId="7BCAD928">
      <w:pPr>
        <w:pStyle w:val="36"/>
        <w:ind w:firstLine="420"/>
      </w:pPr>
    </w:p>
    <w:p w14:paraId="1FE265ED">
      <w:pPr>
        <w:rPr>
          <w:rFonts w:hint="eastAsia" w:ascii="Times New Roman" w:hAnsi="Times New Roman" w:eastAsia="黑体" w:cs="黑体"/>
          <w:color w:val="auto"/>
          <w:kern w:val="0"/>
          <w:sz w:val="32"/>
          <w:szCs w:val="32"/>
          <w:highlight w:val="none"/>
          <w:shd w:val="clear" w:color="auto" w:fill="FFFFFF"/>
          <w:lang w:val="zh-CN"/>
        </w:rPr>
      </w:pPr>
    </w:p>
    <w:p w14:paraId="7AD327B9">
      <w:pPr>
        <w:pStyle w:val="2"/>
        <w:rPr>
          <w:rFonts w:hint="eastAsia" w:ascii="Times New Roman" w:hAnsi="Times New Roman" w:eastAsia="黑体" w:cs="黑体"/>
          <w:color w:val="auto"/>
          <w:kern w:val="0"/>
          <w:sz w:val="32"/>
          <w:szCs w:val="32"/>
          <w:highlight w:val="none"/>
          <w:shd w:val="clear" w:color="auto" w:fill="FFFFFF"/>
          <w:lang w:val="zh-CN"/>
        </w:rPr>
      </w:pPr>
    </w:p>
    <w:p w14:paraId="634878A0">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5C197450">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122861D0">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1164EF93">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w:t>
      </w:r>
      <w:r>
        <w:rPr>
          <w:rFonts w:ascii="仿宋_GB2312" w:hAnsi="宋体" w:eastAsia="仿宋_GB2312" w:cs="仿宋_GB2312"/>
          <w:color w:val="000000"/>
          <w:kern w:val="0"/>
          <w:sz w:val="31"/>
          <w:szCs w:val="31"/>
          <w:lang w:val="en-US" w:eastAsia="zh-CN" w:bidi="ar"/>
        </w:rPr>
        <w:t>行政审批技术评审费</w:t>
      </w:r>
      <w:r>
        <w:rPr>
          <w:rFonts w:hint="eastAsia" w:ascii="仿宋_GB2312" w:hAnsi="宋体" w:eastAsia="仿宋_GB2312" w:cs="仿宋_GB2312"/>
          <w:color w:val="000000"/>
          <w:kern w:val="0"/>
          <w:sz w:val="31"/>
          <w:szCs w:val="31"/>
          <w:lang w:val="en-US" w:eastAsia="zh-CN" w:bidi="ar"/>
        </w:rPr>
        <w:t>）</w:t>
      </w:r>
    </w:p>
    <w:p w14:paraId="6F53C30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2AFE34BE">
      <w:pPr>
        <w:keepNext w:val="0"/>
        <w:keepLines w:val="0"/>
        <w:widowControl/>
        <w:suppressLineNumbers w:val="0"/>
        <w:ind w:firstLine="643" w:firstLineChars="200"/>
        <w:jc w:val="left"/>
        <w:rPr>
          <w:rFonts w:hint="eastAsia" w:ascii="仿宋_GB2312" w:hAnsi="宋体" w:eastAsia="仿宋_GB2312" w:cs="仿宋_GB2312"/>
          <w:color w:val="000000"/>
          <w:kern w:val="0"/>
          <w:sz w:val="31"/>
          <w:szCs w:val="31"/>
          <w:lang w:val="en-US" w:eastAsia="zh-CN" w:bidi="ar"/>
        </w:rPr>
      </w:pPr>
      <w:r>
        <w:rPr>
          <w:rFonts w:hint="eastAsia" w:ascii="Times New Roman" w:hAnsi="Times New Roman" w:eastAsia="楷体_GB2312"/>
          <w:b/>
          <w:color w:val="auto"/>
          <w:sz w:val="32"/>
          <w:szCs w:val="32"/>
          <w:highlight w:val="none"/>
          <w:u w:val="none"/>
          <w:lang w:val="zh-CN"/>
        </w:rPr>
        <w:t>（一）设立背景及基本情况。</w:t>
      </w:r>
      <w:r>
        <w:rPr>
          <w:rFonts w:ascii="仿宋_GB2312" w:hAnsi="宋体" w:eastAsia="仿宋_GB2312" w:cs="仿宋_GB2312"/>
          <w:color w:val="000000"/>
          <w:kern w:val="0"/>
          <w:sz w:val="31"/>
          <w:szCs w:val="31"/>
          <w:lang w:val="en-US" w:eastAsia="zh-CN" w:bidi="ar"/>
        </w:rPr>
        <w:t>按照许可事项技术审查要求，我局承担的固定资产投资项目</w:t>
      </w:r>
      <w:r>
        <w:rPr>
          <w:rFonts w:hint="eastAsia" w:ascii="仿宋_GB2312" w:hAnsi="宋体" w:eastAsia="仿宋_GB2312" w:cs="仿宋_GB2312"/>
          <w:color w:val="000000"/>
          <w:kern w:val="0"/>
          <w:sz w:val="31"/>
          <w:szCs w:val="31"/>
          <w:lang w:val="en-US" w:eastAsia="zh-CN" w:bidi="ar"/>
        </w:rPr>
        <w:t>节能审查和验收、取水许可、水利基建项目初步设计文件审批、洪水影响评价审批、生产建设项目水土保持方案审批等许可事项 审批中需邀请第三方专家评审，每年大约办件 20 件，每件平均需专家评审费 2500元，共需经费约 5 万元。</w:t>
      </w:r>
    </w:p>
    <w:p w14:paraId="7A490D6A">
      <w:pPr>
        <w:keepNext w:val="0"/>
        <w:keepLines w:val="0"/>
        <w:widowControl/>
        <w:suppressLineNumbers w:val="0"/>
        <w:ind w:firstLine="643" w:firstLineChars="200"/>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ascii="仿宋_GB2312" w:hAnsi="宋体" w:eastAsia="仿宋_GB2312" w:cs="仿宋_GB2312"/>
          <w:color w:val="000000"/>
          <w:kern w:val="0"/>
          <w:sz w:val="31"/>
          <w:szCs w:val="31"/>
          <w:lang w:val="en-US" w:eastAsia="zh-CN" w:bidi="ar"/>
        </w:rPr>
        <w:t>根据《固定资产投资</w:t>
      </w:r>
      <w:r>
        <w:rPr>
          <w:rFonts w:hint="eastAsia" w:ascii="仿宋_GB2312" w:hAnsi="宋体" w:eastAsia="仿宋_GB2312" w:cs="仿宋_GB2312"/>
          <w:color w:val="000000"/>
          <w:kern w:val="0"/>
          <w:sz w:val="31"/>
          <w:szCs w:val="31"/>
          <w:lang w:val="en-US" w:eastAsia="zh-CN" w:bidi="ar"/>
        </w:rPr>
        <w:t xml:space="preserve">项目节能审查办法》（国家发展和改革委员会令第 </w:t>
      </w:r>
      <w:r>
        <w:rPr>
          <w:rFonts w:hint="default" w:ascii="Times New Roman" w:hAnsi="Times New Roman" w:eastAsia="宋体" w:cs="Times New Roman"/>
          <w:color w:val="000000"/>
          <w:kern w:val="0"/>
          <w:sz w:val="31"/>
          <w:szCs w:val="31"/>
          <w:lang w:val="en-US" w:eastAsia="zh-CN" w:bidi="ar"/>
        </w:rPr>
        <w:t xml:space="preserve">44 </w:t>
      </w:r>
      <w:r>
        <w:rPr>
          <w:rFonts w:hint="eastAsia" w:ascii="仿宋_GB2312" w:hAnsi="宋体" w:eastAsia="仿宋_GB2312" w:cs="仿宋_GB2312"/>
          <w:color w:val="000000"/>
          <w:kern w:val="0"/>
          <w:sz w:val="31"/>
          <w:szCs w:val="31"/>
          <w:lang w:val="en-US" w:eastAsia="zh-CN" w:bidi="ar"/>
        </w:rPr>
        <w:t>号）文件第十五条和《关于印发《乐山市水务局水行政许可事项技术性评审管理办法》的通知》（乐水办〔</w:t>
      </w:r>
      <w:r>
        <w:rPr>
          <w:rFonts w:hint="default" w:ascii="Times New Roman" w:hAnsi="Times New Roman" w:eastAsia="宋体" w:cs="Times New Roman"/>
          <w:color w:val="000000"/>
          <w:kern w:val="0"/>
          <w:sz w:val="31"/>
          <w:szCs w:val="31"/>
          <w:lang w:val="en-US" w:eastAsia="zh-CN" w:bidi="ar"/>
        </w:rPr>
        <w:t>2020</w:t>
      </w:r>
      <w:r>
        <w:rPr>
          <w:rFonts w:hint="eastAsia" w:ascii="仿宋_GB2312" w:hAnsi="宋体" w:eastAsia="仿宋_GB2312" w:cs="仿宋_GB2312"/>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 xml:space="preserve">2 </w:t>
      </w:r>
      <w:r>
        <w:rPr>
          <w:rFonts w:hint="eastAsia" w:ascii="仿宋_GB2312" w:hAnsi="宋体" w:eastAsia="仿宋_GB2312" w:cs="仿宋_GB2312"/>
          <w:color w:val="000000"/>
          <w:kern w:val="0"/>
          <w:sz w:val="31"/>
          <w:szCs w:val="31"/>
          <w:lang w:val="en-US" w:eastAsia="zh-CN" w:bidi="ar"/>
        </w:rPr>
        <w:t xml:space="preserve">号）第 </w:t>
      </w:r>
      <w:r>
        <w:rPr>
          <w:rFonts w:hint="default" w:ascii="Times New Roman" w:hAnsi="Times New Roman" w:eastAsia="宋体" w:cs="Times New Roman"/>
          <w:color w:val="000000"/>
          <w:kern w:val="0"/>
          <w:sz w:val="31"/>
          <w:szCs w:val="31"/>
          <w:lang w:val="en-US" w:eastAsia="zh-CN" w:bidi="ar"/>
        </w:rPr>
        <w:t xml:space="preserve">23 </w:t>
      </w:r>
      <w:r>
        <w:rPr>
          <w:rFonts w:hint="eastAsia" w:ascii="仿宋_GB2312" w:hAnsi="宋体" w:eastAsia="仿宋_GB2312" w:cs="仿宋_GB2312"/>
          <w:color w:val="000000"/>
          <w:kern w:val="0"/>
          <w:sz w:val="31"/>
          <w:szCs w:val="31"/>
          <w:lang w:val="en-US" w:eastAsia="zh-CN" w:bidi="ar"/>
        </w:rPr>
        <w:t>条等规定，相关费用应纳入部门预算，并按照规定程序向同级财政部门申请。</w:t>
      </w:r>
    </w:p>
    <w:p w14:paraId="2BF5BE1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仿宋_GB2312" w:hAnsi="仿宋_GB2312" w:eastAsia="仿宋_GB2312" w:cs="仿宋_GB2312"/>
          <w:sz w:val="30"/>
          <w:szCs w:val="30"/>
        </w:rPr>
        <w:t>该项目资金预算</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万元，执行预算资金支付各项培训费以及培训需要支出的办公经费共</w:t>
      </w:r>
      <w:r>
        <w:rPr>
          <w:rFonts w:hint="eastAsia" w:ascii="仿宋_GB2312" w:hAnsi="仿宋_GB2312" w:eastAsia="仿宋_GB2312" w:cs="仿宋_GB2312"/>
          <w:sz w:val="30"/>
          <w:szCs w:val="30"/>
          <w:lang w:val="en-US" w:eastAsia="zh-CN"/>
        </w:rPr>
        <w:t>3.33</w:t>
      </w:r>
      <w:r>
        <w:rPr>
          <w:rFonts w:hint="eastAsia" w:ascii="仿宋_GB2312" w:hAnsi="仿宋_GB2312" w:eastAsia="仿宋_GB2312" w:cs="仿宋_GB2312"/>
          <w:sz w:val="30"/>
          <w:szCs w:val="30"/>
        </w:rPr>
        <w:t>万元。</w:t>
      </w:r>
    </w:p>
    <w:p w14:paraId="54F4EA6F">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仿宋_GB2312" w:hAnsi="仿宋_GB2312" w:eastAsia="仿宋_GB2312" w:cs="仿宋_GB2312"/>
          <w:sz w:val="30"/>
          <w:szCs w:val="30"/>
          <w:lang w:val="zh-CN" w:eastAsia="zh-CN"/>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0"/>
          <w:szCs w:val="30"/>
          <w:lang w:val="en-US" w:eastAsia="zh-CN"/>
        </w:rPr>
        <w:t>全年办件13 件，每件平均需专家评审费 2600 元，支付经费 3.33万元。</w:t>
      </w:r>
    </w:p>
    <w:p w14:paraId="5C403AB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43F4F39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仿宋_GB2312" w:hAnsi="仿宋_GB2312" w:eastAsia="仿宋_GB2312" w:cs="仿宋_GB2312"/>
          <w:sz w:val="30"/>
          <w:szCs w:val="30"/>
          <w:lang w:val="zh-CN" w:eastAsia="zh-CN"/>
        </w:rPr>
        <w:t>通过项目绩效自评要实现完成</w:t>
      </w:r>
      <w:r>
        <w:rPr>
          <w:rFonts w:ascii="仿宋_GB2312" w:hAnsi="宋体" w:eastAsia="仿宋_GB2312" w:cs="仿宋_GB2312"/>
          <w:color w:val="000000"/>
          <w:kern w:val="0"/>
          <w:sz w:val="31"/>
          <w:szCs w:val="31"/>
          <w:lang w:val="en-US" w:eastAsia="zh-CN" w:bidi="ar"/>
        </w:rPr>
        <w:t>我局承担的固定资产投资项目</w:t>
      </w:r>
      <w:r>
        <w:rPr>
          <w:rFonts w:hint="eastAsia" w:ascii="仿宋_GB2312" w:hAnsi="宋体" w:eastAsia="仿宋_GB2312" w:cs="仿宋_GB2312"/>
          <w:color w:val="000000"/>
          <w:kern w:val="0"/>
          <w:sz w:val="31"/>
          <w:szCs w:val="31"/>
          <w:lang w:val="en-US" w:eastAsia="zh-CN" w:bidi="ar"/>
        </w:rPr>
        <w:t>节能审查和验收、取水许可、水利基建项目初步设计文件审批、洪水影响评价审批、生产建设项目水土保持方案审批等许可事项。</w:t>
      </w:r>
    </w:p>
    <w:p w14:paraId="71F48EF1">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仿宋_GB2312" w:hAnsi="仿宋_GB2312" w:eastAsia="仿宋_GB2312" w:cs="仿宋_GB2312"/>
          <w:sz w:val="30"/>
          <w:szCs w:val="30"/>
          <w:lang w:val="zh-CN" w:eastAsia="zh-CN"/>
        </w:rPr>
        <w:t>按照绩效评价指标体系，对资金支出使用全过程及其实施效果进行综合评价和判断，</w:t>
      </w:r>
      <w:r>
        <w:rPr>
          <w:rFonts w:hint="eastAsia" w:ascii="仿宋_GB2312" w:hAnsi="仿宋_GB2312" w:eastAsia="仿宋_GB2312" w:cs="仿宋_GB2312"/>
          <w:sz w:val="30"/>
          <w:szCs w:val="30"/>
          <w:lang w:val="en-US" w:eastAsia="zh-CN"/>
        </w:rPr>
        <w:t>整体效果良好</w:t>
      </w:r>
      <w:r>
        <w:rPr>
          <w:rFonts w:hint="eastAsia" w:ascii="仿宋_GB2312" w:hAnsi="仿宋_GB2312" w:eastAsia="仿宋_GB2312" w:cs="仿宋_GB2312"/>
          <w:sz w:val="30"/>
          <w:szCs w:val="30"/>
          <w:lang w:val="zh-CN" w:eastAsia="zh-CN"/>
        </w:rPr>
        <w:t>。</w:t>
      </w:r>
    </w:p>
    <w:p w14:paraId="65FD37C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（三）评价选点。</w:t>
      </w:r>
      <w:r>
        <w:rPr>
          <w:rFonts w:hint="eastAsia" w:ascii="楷体_GB2312" w:hAnsi="宋体" w:eastAsia="楷体_GB2312"/>
          <w:b w:val="0"/>
          <w:bCs/>
          <w:color w:val="auto"/>
          <w:sz w:val="32"/>
          <w:szCs w:val="32"/>
          <w:highlight w:val="none"/>
          <w:u w:val="none"/>
          <w:lang w:val="en-US" w:eastAsia="zh-CN"/>
        </w:rPr>
        <w:t>未选点，开展单位</w:t>
      </w:r>
      <w:r>
        <w:rPr>
          <w:rFonts w:hint="eastAsia" w:ascii="仿宋_GB2312" w:hAnsi="仿宋_GB2312" w:eastAsia="仿宋_GB2312" w:cs="仿宋_GB2312"/>
          <w:b w:val="0"/>
          <w:bCs w:val="0"/>
          <w:kern w:val="0"/>
          <w:position w:val="0"/>
          <w:sz w:val="32"/>
          <w:szCs w:val="32"/>
          <w:highlight w:val="none"/>
          <w:lang w:val="zh-CN" w:eastAsia="zh-CN" w:bidi="ar-SA"/>
        </w:rPr>
        <w:t>项目绩效自评。</w:t>
      </w:r>
    </w:p>
    <w:p w14:paraId="2BE4C9AF">
      <w:pPr>
        <w:snapToGrid w:val="0"/>
        <w:spacing w:line="600" w:lineRule="exact"/>
        <w:ind w:firstLine="643" w:firstLineChars="200"/>
        <w:outlineLvl w:val="0"/>
        <w:rPr>
          <w:rFonts w:hint="eastAsia" w:ascii="仿宋" w:hAnsi="仿宋" w:eastAsia="仿宋" w:cs="仿宋"/>
          <w:color w:val="000000"/>
          <w:kern w:val="0"/>
          <w:sz w:val="31"/>
          <w:szCs w:val="31"/>
          <w:lang w:val="zh-CN" w:eastAsia="zh-CN" w:bidi="ar"/>
        </w:rPr>
      </w:pPr>
      <w:r>
        <w:rPr>
          <w:rFonts w:hint="eastAsia" w:ascii="Times New Roman" w:hAnsi="Times New Roman" w:eastAsia="楷体_GB2312"/>
          <w:b/>
          <w:color w:val="auto"/>
          <w:sz w:val="32"/>
          <w:szCs w:val="32"/>
          <w:highlight w:val="none"/>
          <w:u w:val="none"/>
          <w:lang w:val="zh-CN"/>
        </w:rPr>
        <w:t>（四）评价方法。</w:t>
      </w:r>
      <w:r>
        <w:rPr>
          <w:rFonts w:hint="eastAsia" w:ascii="仿宋" w:hAnsi="仿宋" w:eastAsia="仿宋" w:cs="仿宋"/>
          <w:color w:val="000000"/>
          <w:kern w:val="0"/>
          <w:sz w:val="31"/>
          <w:szCs w:val="31"/>
          <w:lang w:val="zh-CN" w:eastAsia="zh-CN" w:bidi="ar"/>
        </w:rPr>
        <w:t>根据项目情况</w:t>
      </w:r>
      <w:r>
        <w:rPr>
          <w:rFonts w:hint="eastAsia" w:ascii="仿宋" w:hAnsi="仿宋" w:eastAsia="仿宋" w:cs="仿宋"/>
          <w:color w:val="000000"/>
          <w:kern w:val="0"/>
          <w:sz w:val="31"/>
          <w:szCs w:val="31"/>
          <w:lang w:val="en-US" w:eastAsia="zh-CN" w:bidi="ar"/>
        </w:rPr>
        <w:t>以本年度内业务系统运行情况，</w:t>
      </w:r>
      <w:r>
        <w:rPr>
          <w:rFonts w:hint="default" w:ascii="仿宋" w:hAnsi="仿宋" w:eastAsia="仿宋" w:cs="仿宋"/>
          <w:color w:val="000000"/>
          <w:kern w:val="0"/>
          <w:sz w:val="31"/>
          <w:szCs w:val="31"/>
          <w:lang w:val="zh-CN" w:eastAsia="zh-CN" w:bidi="ar"/>
        </w:rPr>
        <w:t>项目的数量、质量、时效、成本，无资金结余情况和违规记录等情况，对照项目计划完成目标100%，对截止评价时点的任务量完成、质量标准、进度计划、成本控制目标的实现程度进行。</w:t>
      </w:r>
    </w:p>
    <w:p w14:paraId="22E5234A">
      <w:pPr>
        <w:keepNext w:val="0"/>
        <w:keepLines w:val="0"/>
        <w:widowControl/>
        <w:suppressLineNumbers w:val="0"/>
        <w:ind w:firstLine="643" w:firstLineChars="200"/>
        <w:jc w:val="left"/>
        <w:rPr>
          <w:rFonts w:hint="eastAsia"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ascii="仿宋" w:hAnsi="仿宋" w:eastAsia="仿宋" w:cs="仿宋"/>
          <w:color w:val="000000"/>
          <w:kern w:val="0"/>
          <w:sz w:val="31"/>
          <w:szCs w:val="31"/>
          <w:lang w:val="en-US" w:eastAsia="zh-CN" w:bidi="ar"/>
        </w:rPr>
        <w:t>本单位成立项目实施小组，组长为单位主要负责人，副组长</w:t>
      </w:r>
      <w:r>
        <w:rPr>
          <w:rFonts w:hint="eastAsia" w:ascii="仿宋" w:hAnsi="仿宋" w:eastAsia="仿宋" w:cs="仿宋"/>
          <w:color w:val="000000"/>
          <w:kern w:val="0"/>
          <w:sz w:val="31"/>
          <w:szCs w:val="31"/>
          <w:lang w:val="en-US" w:eastAsia="zh-CN" w:bidi="ar"/>
        </w:rPr>
        <w:t xml:space="preserve">为单位分管领导，成员为办公室主任，财务负责预算的管理以及相关资料的收集。 </w:t>
      </w:r>
    </w:p>
    <w:p w14:paraId="54DECA63">
      <w:pPr>
        <w:keepNext w:val="0"/>
        <w:keepLines w:val="0"/>
        <w:pageBreakBefore w:val="0"/>
        <w:kinsoku/>
        <w:wordWrap/>
        <w:overflowPunct/>
        <w:topLinePunct w:val="0"/>
        <w:autoSpaceDE/>
        <w:autoSpaceDN/>
        <w:bidi w:val="0"/>
        <w:adjustRightInd w:val="0"/>
        <w:snapToGrid w:val="0"/>
        <w:spacing w:line="578" w:lineRule="exact"/>
        <w:ind w:firstLine="320" w:firstLineChars="1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2DA90BE9">
      <w:pPr>
        <w:keepNext w:val="0"/>
        <w:keepLines w:val="0"/>
        <w:widowControl/>
        <w:suppressLineNumbers w:val="0"/>
        <w:jc w:val="left"/>
        <w:rPr>
          <w:rFonts w:hint="eastAsia" w:ascii="仿宋" w:hAnsi="仿宋" w:eastAsia="仿宋" w:cs="仿宋"/>
          <w:color w:val="000000"/>
          <w:kern w:val="0"/>
          <w:sz w:val="31"/>
          <w:szCs w:val="31"/>
          <w:lang w:val="en-US" w:eastAsia="zh-CN" w:bidi="ar"/>
        </w:rPr>
      </w:pPr>
      <w:r>
        <w:rPr>
          <w:rFonts w:hint="default" w:ascii="仿宋" w:hAnsi="仿宋" w:eastAsia="仿宋" w:cs="仿宋"/>
          <w:color w:val="000000"/>
          <w:kern w:val="0"/>
          <w:sz w:val="31"/>
          <w:szCs w:val="31"/>
          <w:lang w:val="zh-CN" w:eastAsia="zh-CN" w:bidi="ar"/>
        </w:rPr>
        <w:t>根据</w:t>
      </w:r>
      <w:r>
        <w:rPr>
          <w:rFonts w:hint="eastAsia" w:ascii="仿宋" w:hAnsi="仿宋" w:eastAsia="仿宋" w:cs="仿宋"/>
          <w:color w:val="000000"/>
          <w:kern w:val="0"/>
          <w:sz w:val="31"/>
          <w:szCs w:val="31"/>
          <w:lang w:val="zh-CN" w:eastAsia="zh-CN" w:bidi="ar"/>
        </w:rPr>
        <w:t>项目</w:t>
      </w:r>
      <w:r>
        <w:rPr>
          <w:rFonts w:hint="default" w:ascii="仿宋" w:hAnsi="仿宋" w:eastAsia="仿宋" w:cs="仿宋"/>
          <w:color w:val="000000"/>
          <w:kern w:val="0"/>
          <w:sz w:val="31"/>
          <w:szCs w:val="31"/>
          <w:lang w:val="zh-CN" w:eastAsia="zh-CN" w:bidi="ar"/>
        </w:rPr>
        <w:t>预算绩效评价指标体系“</w:t>
      </w:r>
      <w:r>
        <w:rPr>
          <w:rFonts w:hint="eastAsia" w:ascii="仿宋" w:hAnsi="仿宋" w:eastAsia="仿宋" w:cs="仿宋"/>
          <w:color w:val="000000"/>
          <w:kern w:val="0"/>
          <w:sz w:val="31"/>
          <w:szCs w:val="31"/>
          <w:lang w:val="zh-CN" w:eastAsia="zh-CN" w:bidi="ar"/>
        </w:rPr>
        <w:t>通用指标</w:t>
      </w:r>
      <w:r>
        <w:rPr>
          <w:rFonts w:hint="default" w:ascii="仿宋" w:hAnsi="仿宋" w:eastAsia="仿宋" w:cs="仿宋"/>
          <w:color w:val="000000"/>
          <w:kern w:val="0"/>
          <w:sz w:val="31"/>
          <w:szCs w:val="31"/>
          <w:lang w:val="zh-CN" w:eastAsia="zh-CN" w:bidi="ar"/>
        </w:rPr>
        <w:t>”</w:t>
      </w:r>
      <w:r>
        <w:rPr>
          <w:rFonts w:hint="eastAsia" w:ascii="仿宋" w:hAnsi="仿宋" w:eastAsia="仿宋" w:cs="仿宋"/>
          <w:color w:val="000000"/>
          <w:kern w:val="0"/>
          <w:sz w:val="31"/>
          <w:szCs w:val="31"/>
          <w:lang w:val="zh-CN" w:eastAsia="zh-CN" w:bidi="ar"/>
        </w:rPr>
        <w:t>“专用指标”“个性指标”</w:t>
      </w:r>
      <w:r>
        <w:rPr>
          <w:rFonts w:hint="default" w:ascii="仿宋" w:hAnsi="仿宋" w:eastAsia="仿宋" w:cs="仿宋"/>
          <w:color w:val="000000"/>
          <w:kern w:val="0"/>
          <w:sz w:val="31"/>
          <w:szCs w:val="31"/>
          <w:lang w:val="zh-CN" w:eastAsia="zh-CN" w:bidi="ar"/>
        </w:rPr>
        <w:t>涉及</w:t>
      </w:r>
      <w:r>
        <w:rPr>
          <w:rFonts w:hint="eastAsia" w:ascii="仿宋" w:hAnsi="仿宋" w:eastAsia="仿宋" w:cs="仿宋"/>
          <w:color w:val="000000"/>
          <w:kern w:val="0"/>
          <w:sz w:val="31"/>
          <w:szCs w:val="31"/>
          <w:lang w:val="zh-CN" w:eastAsia="zh-CN" w:bidi="ar"/>
        </w:rPr>
        <w:t>二、三级</w:t>
      </w:r>
      <w:r>
        <w:rPr>
          <w:rFonts w:hint="default" w:ascii="仿宋" w:hAnsi="仿宋" w:eastAsia="仿宋" w:cs="仿宋"/>
          <w:color w:val="000000"/>
          <w:kern w:val="0"/>
          <w:sz w:val="31"/>
          <w:szCs w:val="31"/>
          <w:lang w:val="zh-CN" w:eastAsia="zh-CN" w:bidi="ar"/>
        </w:rPr>
        <w:t>指标进行</w:t>
      </w:r>
      <w:r>
        <w:rPr>
          <w:rFonts w:hint="eastAsia" w:ascii="仿宋" w:hAnsi="仿宋" w:eastAsia="仿宋" w:cs="仿宋"/>
          <w:color w:val="000000"/>
          <w:kern w:val="0"/>
          <w:sz w:val="31"/>
          <w:szCs w:val="31"/>
          <w:lang w:val="zh-CN" w:eastAsia="zh-CN" w:bidi="ar"/>
        </w:rPr>
        <w:t>逐项</w:t>
      </w:r>
      <w:r>
        <w:rPr>
          <w:rFonts w:hint="default" w:ascii="仿宋" w:hAnsi="仿宋" w:eastAsia="仿宋" w:cs="仿宋"/>
          <w:color w:val="000000"/>
          <w:kern w:val="0"/>
          <w:sz w:val="31"/>
          <w:szCs w:val="31"/>
          <w:lang w:val="zh-CN" w:eastAsia="zh-CN" w:bidi="ar"/>
        </w:rPr>
        <w:t>绩效分析</w:t>
      </w:r>
      <w:r>
        <w:rPr>
          <w:rFonts w:hint="eastAsia" w:ascii="仿宋" w:hAnsi="仿宋" w:eastAsia="仿宋" w:cs="仿宋"/>
          <w:color w:val="000000"/>
          <w:kern w:val="0"/>
          <w:sz w:val="31"/>
          <w:szCs w:val="31"/>
          <w:lang w:val="zh-CN" w:eastAsia="zh-CN" w:bidi="ar"/>
        </w:rPr>
        <w:t>并评分</w:t>
      </w:r>
      <w:r>
        <w:rPr>
          <w:rFonts w:hint="eastAsia" w:ascii="仿宋" w:hAnsi="仿宋" w:eastAsia="仿宋" w:cs="仿宋"/>
          <w:color w:val="000000"/>
          <w:kern w:val="0"/>
          <w:sz w:val="31"/>
          <w:szCs w:val="31"/>
          <w:lang w:val="en-US" w:eastAsia="zh-CN" w:bidi="ar"/>
        </w:rPr>
        <w:t>。</w:t>
      </w:r>
    </w:p>
    <w:p w14:paraId="6574EAAE">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8FE6E0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w:t>
      </w:r>
      <w:r>
        <w:rPr>
          <w:rFonts w:ascii="仿宋" w:hAnsi="仿宋" w:eastAsia="仿宋" w:cs="仿宋"/>
          <w:color w:val="000000"/>
          <w:kern w:val="0"/>
          <w:sz w:val="31"/>
          <w:szCs w:val="31"/>
          <w:lang w:val="en-US" w:eastAsia="zh-CN" w:bidi="ar"/>
        </w:rPr>
        <w:t>该项目是延续性项目，设立依据充分，符合相关要求，项目</w:t>
      </w:r>
      <w:r>
        <w:rPr>
          <w:rFonts w:hint="eastAsia" w:ascii="仿宋" w:hAnsi="仿宋" w:eastAsia="仿宋" w:cs="仿宋"/>
          <w:color w:val="000000"/>
          <w:kern w:val="0"/>
          <w:sz w:val="31"/>
          <w:szCs w:val="31"/>
          <w:lang w:val="en-US" w:eastAsia="zh-CN" w:bidi="ar"/>
        </w:rPr>
        <w:t>年度绩效目标与规划一致。绩效目标科学合理、规范完整、量化细化、预算匹配。总体绩效目标设置合理。</w:t>
      </w:r>
    </w:p>
    <w:p w14:paraId="26CE7433">
      <w:pPr>
        <w:keepNext w:val="0"/>
        <w:keepLines w:val="0"/>
        <w:widowControl/>
        <w:suppressLineNumbers w:val="0"/>
        <w:ind w:firstLine="640" w:firstLineChars="200"/>
        <w:jc w:val="left"/>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w:t>
      </w:r>
      <w:r>
        <w:rPr>
          <w:rFonts w:ascii="仿宋" w:hAnsi="仿宋" w:eastAsia="仿宋" w:cs="仿宋"/>
          <w:color w:val="000000"/>
          <w:kern w:val="0"/>
          <w:sz w:val="31"/>
          <w:szCs w:val="31"/>
          <w:lang w:val="en-US" w:eastAsia="zh-CN" w:bidi="ar"/>
        </w:rPr>
        <w:t>资金分配严格按管理办法执行，决策程序符合管理要求，及</w:t>
      </w:r>
      <w:r>
        <w:rPr>
          <w:rFonts w:hint="eastAsia" w:ascii="仿宋" w:hAnsi="仿宋" w:eastAsia="仿宋" w:cs="仿宋"/>
          <w:color w:val="000000"/>
          <w:kern w:val="0"/>
          <w:sz w:val="31"/>
          <w:szCs w:val="31"/>
          <w:lang w:val="en-US" w:eastAsia="zh-CN" w:bidi="ar"/>
        </w:rPr>
        <w:t>时高效。按上级要求全面完成绩效目标（含事前评估）、绩效评价等预算绩效管理工作。</w:t>
      </w:r>
    </w:p>
    <w:p w14:paraId="1FB28889">
      <w:pPr>
        <w:keepNext w:val="0"/>
        <w:keepLines w:val="0"/>
        <w:widowControl/>
        <w:suppressLineNumbers w:val="0"/>
        <w:ind w:firstLine="640" w:firstLineChars="200"/>
        <w:jc w:val="left"/>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ascii="仿宋" w:hAnsi="仿宋" w:eastAsia="仿宋" w:cs="仿宋"/>
          <w:color w:val="000000"/>
          <w:kern w:val="0"/>
          <w:sz w:val="31"/>
          <w:szCs w:val="31"/>
          <w:lang w:val="en-US" w:eastAsia="zh-CN" w:bidi="ar"/>
        </w:rPr>
        <w:t>资金分配严格按管理办法执行，决策程序符合管理要求，及</w:t>
      </w:r>
      <w:r>
        <w:rPr>
          <w:rFonts w:hint="eastAsia" w:ascii="仿宋" w:hAnsi="仿宋" w:eastAsia="仿宋" w:cs="仿宋"/>
          <w:color w:val="000000"/>
          <w:kern w:val="0"/>
          <w:sz w:val="31"/>
          <w:szCs w:val="31"/>
          <w:lang w:val="en-US" w:eastAsia="zh-CN" w:bidi="ar"/>
        </w:rPr>
        <w:t>时高效。按上级要求全面完成绩效目标（含事前评估）、绩效评价等预算绩效管理工作。</w:t>
      </w:r>
    </w:p>
    <w:p w14:paraId="1212710D">
      <w:pPr>
        <w:keepNext w:val="0"/>
        <w:keepLines w:val="0"/>
        <w:widowControl/>
        <w:suppressLineNumbers w:val="0"/>
        <w:ind w:firstLine="640" w:firstLineChars="200"/>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w:t>
      </w:r>
      <w:r>
        <w:rPr>
          <w:rFonts w:hint="eastAsia" w:ascii="仿宋" w:hAnsi="仿宋" w:eastAsia="仿宋" w:cs="仿宋"/>
          <w:color w:val="000000"/>
          <w:kern w:val="0"/>
          <w:sz w:val="31"/>
          <w:szCs w:val="31"/>
          <w:lang w:val="en-US" w:eastAsia="zh-CN" w:bidi="ar"/>
        </w:rPr>
        <w:t>全年办件13 件，每件平均需专家评审费 2600 元，支付经费 3.33万元</w:t>
      </w:r>
      <w:r>
        <w:rPr>
          <w:rFonts w:hint="eastAsia" w:ascii="Times New Roman" w:hAnsi="Times New Roman" w:eastAsia="仿宋_GB2312" w:cs="仿宋_GB2312"/>
          <w:b w:val="0"/>
          <w:bCs w:val="0"/>
          <w:kern w:val="0"/>
          <w:position w:val="0"/>
          <w:sz w:val="32"/>
          <w:szCs w:val="32"/>
          <w:highlight w:val="none"/>
          <w:lang w:val="zh-CN" w:eastAsia="zh-CN" w:bidi="ar-SA"/>
        </w:rPr>
        <w:t>。</w:t>
      </w:r>
      <w:r>
        <w:rPr>
          <w:rFonts w:hint="eastAsia" w:ascii="仿宋" w:hAnsi="仿宋" w:eastAsia="仿宋" w:cs="仿宋"/>
          <w:color w:val="000000"/>
          <w:kern w:val="0"/>
          <w:sz w:val="31"/>
          <w:szCs w:val="31"/>
          <w:lang w:val="en-US" w:eastAsia="zh-CN" w:bidi="ar"/>
        </w:rPr>
        <w:t xml:space="preserve">预算执行率 </w:t>
      </w:r>
      <w:r>
        <w:rPr>
          <w:rFonts w:hint="default" w:ascii="Times New Roman" w:hAnsi="Times New Roman" w:eastAsia="宋体" w:cs="Times New Roman"/>
          <w:color w:val="000000"/>
          <w:kern w:val="0"/>
          <w:sz w:val="31"/>
          <w:szCs w:val="31"/>
          <w:lang w:val="en-US" w:eastAsia="zh-CN" w:bidi="ar"/>
        </w:rPr>
        <w:t>100%</w:t>
      </w:r>
      <w:r>
        <w:rPr>
          <w:rFonts w:hint="eastAsia" w:ascii="仿宋" w:hAnsi="仿宋" w:eastAsia="仿宋" w:cs="仿宋"/>
          <w:color w:val="000000"/>
          <w:kern w:val="0"/>
          <w:sz w:val="31"/>
          <w:szCs w:val="31"/>
          <w:lang w:val="en-US" w:eastAsia="zh-CN" w:bidi="ar"/>
        </w:rPr>
        <w:t xml:space="preserve">，年末无结转结余。自评得分97分。 </w:t>
      </w:r>
    </w:p>
    <w:p w14:paraId="64834D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ascii="仿宋" w:hAnsi="仿宋" w:eastAsia="仿宋" w:cs="仿宋"/>
          <w:color w:val="000000"/>
          <w:kern w:val="0"/>
          <w:sz w:val="30"/>
          <w:szCs w:val="30"/>
          <w:lang w:val="en-US" w:eastAsia="zh-CN" w:bidi="ar"/>
        </w:rPr>
        <w:t>本项目不涉及专用项目指标。</w:t>
      </w:r>
    </w:p>
    <w:p w14:paraId="30F101D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33BE78E7">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如下表所示：</w:t>
      </w:r>
    </w:p>
    <w:tbl>
      <w:tblPr>
        <w:tblStyle w:val="16"/>
        <w:tblW w:w="112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471"/>
        <w:gridCol w:w="1299"/>
        <w:gridCol w:w="1528"/>
        <w:gridCol w:w="469"/>
        <w:gridCol w:w="1491"/>
        <w:gridCol w:w="468"/>
        <w:gridCol w:w="992"/>
        <w:gridCol w:w="454"/>
        <w:gridCol w:w="552"/>
        <w:gridCol w:w="1920"/>
      </w:tblGrid>
      <w:tr w14:paraId="3C84D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1220" w:type="dxa"/>
            <w:gridSpan w:val="11"/>
            <w:tcBorders>
              <w:top w:val="nil"/>
              <w:left w:val="nil"/>
              <w:bottom w:val="nil"/>
              <w:right w:val="nil"/>
            </w:tcBorders>
            <w:shd w:val="clear" w:color="auto" w:fill="auto"/>
            <w:vAlign w:val="center"/>
          </w:tcPr>
          <w:p w14:paraId="5542A01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部门预算项目支出绩效自评表</w:t>
            </w:r>
          </w:p>
        </w:tc>
      </w:tr>
      <w:tr w14:paraId="3F7DA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46B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1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2D2A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行政审批技术评审费</w:t>
            </w:r>
          </w:p>
        </w:tc>
      </w:tr>
      <w:tr w14:paraId="26487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7F9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9B88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沐川县财政局</w:t>
            </w:r>
          </w:p>
        </w:tc>
        <w:tc>
          <w:tcPr>
            <w:tcW w:w="992" w:type="dxa"/>
            <w:tcBorders>
              <w:top w:val="nil"/>
              <w:left w:val="nil"/>
              <w:bottom w:val="nil"/>
              <w:right w:val="nil"/>
            </w:tcBorders>
            <w:shd w:val="clear" w:color="auto" w:fill="auto"/>
            <w:vAlign w:val="center"/>
          </w:tcPr>
          <w:p w14:paraId="58FBBFE7">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实施单位 </w:t>
            </w:r>
          </w:p>
        </w:tc>
        <w:tc>
          <w:tcPr>
            <w:tcW w:w="29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2E7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沐川县行政审批局</w:t>
            </w:r>
          </w:p>
        </w:tc>
      </w:tr>
      <w:tr w14:paraId="7DF2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560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592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8B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5E3D0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CA7D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194A7">
            <w:pP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348A1">
            <w:pPr>
              <w:rPr>
                <w:rFonts w:hint="eastAsia" w:ascii="宋体" w:hAnsi="宋体" w:eastAsia="宋体" w:cs="宋体"/>
                <w:i w:val="0"/>
                <w:iCs w:val="0"/>
                <w:color w:val="000000"/>
                <w:sz w:val="18"/>
                <w:szCs w:val="18"/>
                <w:u w:val="none"/>
              </w:rPr>
            </w:pPr>
          </w:p>
        </w:tc>
        <w:tc>
          <w:tcPr>
            <w:tcW w:w="5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E673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许可事项技术审查要求，我局承担的固定资产投资项目节能审查和验收、取水许可、水利基建项目初步设计文件审批、洪水影响评价审批、生产建设项目水土保持方案审批等许可事项审批中需邀请第三方专家评审，每年大约办件 20 件，每件平均需专家评审费 2500元，共需经费约 5 万元。</w:t>
            </w:r>
          </w:p>
        </w:tc>
        <w:tc>
          <w:tcPr>
            <w:tcW w:w="39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C32D2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全年办件13 件，每件平均需专家评审费 2600 元，支付经费 3.33万元。</w:t>
            </w:r>
          </w:p>
        </w:tc>
      </w:tr>
      <w:tr w14:paraId="2C1E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C2842">
            <w:pPr>
              <w:rPr>
                <w:rFonts w:hint="eastAsia" w:ascii="宋体" w:hAnsi="宋体" w:eastAsia="宋体" w:cs="宋体"/>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C5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1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A16A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许可事项技术审查要求，我局承担的固定资产投资项目节能审查和验收、取水许可、水利基建项目初步设计文件审批、洪水影响评价审批、生产建设项目水土保持方案审批等许可事项审批中需邀请第三方专家评审。</w:t>
            </w:r>
          </w:p>
        </w:tc>
      </w:tr>
      <w:tr w14:paraId="364F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51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0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   （万元）</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D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C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E2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D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7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3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5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2F2B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884C3">
            <w:pPr>
              <w:jc w:val="center"/>
              <w:rPr>
                <w:rFonts w:hint="eastAsia" w:ascii="宋体" w:hAnsi="宋体" w:eastAsia="宋体" w:cs="宋体"/>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C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6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BA42">
            <w:pPr>
              <w:jc w:val="center"/>
              <w:rPr>
                <w:rFonts w:hint="eastAsia" w:ascii="宋体" w:hAnsi="宋体" w:eastAsia="宋体" w:cs="宋体"/>
                <w:i w:val="0"/>
                <w:iCs w:val="0"/>
                <w:color w:val="000000"/>
                <w:sz w:val="18"/>
                <w:szCs w:val="18"/>
                <w:u w:val="none"/>
              </w:rPr>
            </w:pPr>
          </w:p>
        </w:tc>
        <w:tc>
          <w:tcPr>
            <w:tcW w:w="2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D81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2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66.70%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F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5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9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71B11">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许可事项审批比年初预计件数减少</w:t>
            </w:r>
          </w:p>
        </w:tc>
      </w:tr>
      <w:tr w14:paraId="531D1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C3A88">
            <w:pPr>
              <w:jc w:val="center"/>
              <w:rPr>
                <w:rFonts w:hint="eastAsia" w:ascii="宋体" w:hAnsi="宋体" w:eastAsia="宋体" w:cs="宋体"/>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0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0F9D">
            <w:pPr>
              <w:jc w:val="center"/>
              <w:rPr>
                <w:rFonts w:hint="eastAsia" w:ascii="宋体" w:hAnsi="宋体" w:eastAsia="宋体" w:cs="宋体"/>
                <w:i w:val="0"/>
                <w:iCs w:val="0"/>
                <w:color w:val="000000"/>
                <w:sz w:val="18"/>
                <w:szCs w:val="18"/>
                <w:u w:val="none"/>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197D">
            <w:pPr>
              <w:jc w:val="center"/>
              <w:rPr>
                <w:rFonts w:hint="eastAsia" w:ascii="宋体" w:hAnsi="宋体" w:eastAsia="宋体" w:cs="宋体"/>
                <w:i w:val="0"/>
                <w:iCs w:val="0"/>
                <w:color w:val="000000"/>
                <w:sz w:val="18"/>
                <w:szCs w:val="18"/>
                <w:u w:val="none"/>
              </w:rPr>
            </w:pPr>
          </w:p>
        </w:tc>
        <w:tc>
          <w:tcPr>
            <w:tcW w:w="2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71B4F">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66E5">
            <w:pPr>
              <w:jc w:val="center"/>
              <w:rPr>
                <w:rFonts w:hint="eastAsia" w:ascii="宋体" w:hAnsi="宋体" w:eastAsia="宋体" w:cs="宋体"/>
                <w:i w:val="0"/>
                <w:iCs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186EF">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68B4">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BD379">
            <w:pPr>
              <w:rPr>
                <w:rFonts w:hint="eastAsia" w:ascii="黑体" w:hAnsi="黑体" w:eastAsia="黑体" w:cs="黑体"/>
                <w:i w:val="0"/>
                <w:iCs w:val="0"/>
                <w:color w:val="000000"/>
                <w:sz w:val="16"/>
                <w:szCs w:val="16"/>
                <w:u w:val="none"/>
              </w:rPr>
            </w:pPr>
          </w:p>
        </w:tc>
      </w:tr>
      <w:tr w14:paraId="14EB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3D740">
            <w:pPr>
              <w:jc w:val="center"/>
              <w:rPr>
                <w:rFonts w:hint="eastAsia" w:ascii="宋体" w:hAnsi="宋体" w:eastAsia="宋体" w:cs="宋体"/>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B2C4">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7008">
            <w:pPr>
              <w:jc w:val="center"/>
              <w:rPr>
                <w:rFonts w:hint="eastAsia" w:ascii="宋体" w:hAnsi="宋体" w:eastAsia="宋体" w:cs="宋体"/>
                <w:i w:val="0"/>
                <w:iCs w:val="0"/>
                <w:color w:val="000000"/>
                <w:sz w:val="18"/>
                <w:szCs w:val="18"/>
                <w:u w:val="none"/>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812A">
            <w:pPr>
              <w:jc w:val="center"/>
              <w:rPr>
                <w:rFonts w:hint="eastAsia" w:ascii="宋体" w:hAnsi="宋体" w:eastAsia="宋体" w:cs="宋体"/>
                <w:i w:val="0"/>
                <w:iCs w:val="0"/>
                <w:color w:val="000000"/>
                <w:sz w:val="18"/>
                <w:szCs w:val="18"/>
                <w:u w:val="none"/>
              </w:rPr>
            </w:pPr>
          </w:p>
        </w:tc>
        <w:tc>
          <w:tcPr>
            <w:tcW w:w="2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2214EA">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74D8">
            <w:pPr>
              <w:jc w:val="center"/>
              <w:rPr>
                <w:rFonts w:hint="eastAsia" w:ascii="宋体" w:hAnsi="宋体" w:eastAsia="宋体" w:cs="宋体"/>
                <w:i w:val="0"/>
                <w:iCs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7D62">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D3DF">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2C5BF">
            <w:pPr>
              <w:rPr>
                <w:rFonts w:hint="eastAsia" w:ascii="黑体" w:hAnsi="黑体" w:eastAsia="黑体" w:cs="黑体"/>
                <w:i w:val="0"/>
                <w:iCs w:val="0"/>
                <w:color w:val="000000"/>
                <w:sz w:val="16"/>
                <w:szCs w:val="16"/>
                <w:u w:val="none"/>
              </w:rPr>
            </w:pPr>
          </w:p>
        </w:tc>
      </w:tr>
      <w:tr w14:paraId="7B90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1CC63">
            <w:pPr>
              <w:jc w:val="center"/>
              <w:rPr>
                <w:rFonts w:hint="eastAsia" w:ascii="宋体" w:hAnsi="宋体" w:eastAsia="宋体" w:cs="宋体"/>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4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8A5B">
            <w:pPr>
              <w:jc w:val="center"/>
              <w:rPr>
                <w:rFonts w:hint="eastAsia" w:ascii="宋体" w:hAnsi="宋体" w:eastAsia="宋体" w:cs="宋体"/>
                <w:i w:val="0"/>
                <w:iCs w:val="0"/>
                <w:color w:val="000000"/>
                <w:sz w:val="18"/>
                <w:szCs w:val="18"/>
                <w:u w:val="none"/>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529C">
            <w:pPr>
              <w:jc w:val="center"/>
              <w:rPr>
                <w:rFonts w:hint="eastAsia" w:ascii="宋体" w:hAnsi="宋体" w:eastAsia="宋体" w:cs="宋体"/>
                <w:i w:val="0"/>
                <w:iCs w:val="0"/>
                <w:color w:val="000000"/>
                <w:sz w:val="18"/>
                <w:szCs w:val="18"/>
                <w:u w:val="none"/>
              </w:rPr>
            </w:pPr>
          </w:p>
        </w:tc>
        <w:tc>
          <w:tcPr>
            <w:tcW w:w="2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52B0B">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B035">
            <w:pPr>
              <w:jc w:val="center"/>
              <w:rPr>
                <w:rFonts w:hint="eastAsia" w:ascii="宋体" w:hAnsi="宋体" w:eastAsia="宋体" w:cs="宋体"/>
                <w:i w:val="0"/>
                <w:iCs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94E0">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59B7">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D7A62">
            <w:pPr>
              <w:rPr>
                <w:rFonts w:hint="eastAsia" w:ascii="黑体" w:hAnsi="黑体" w:eastAsia="黑体" w:cs="黑体"/>
                <w:i w:val="0"/>
                <w:iCs w:val="0"/>
                <w:color w:val="000000"/>
                <w:sz w:val="16"/>
                <w:szCs w:val="16"/>
                <w:u w:val="none"/>
              </w:rPr>
            </w:pPr>
          </w:p>
        </w:tc>
      </w:tr>
      <w:tr w14:paraId="6FC3E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E7720">
            <w:pPr>
              <w:jc w:val="center"/>
              <w:rPr>
                <w:rFonts w:hint="eastAsia" w:ascii="宋体" w:hAnsi="宋体" w:eastAsia="宋体" w:cs="宋体"/>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C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5320">
            <w:pPr>
              <w:jc w:val="center"/>
              <w:rPr>
                <w:rFonts w:hint="eastAsia" w:ascii="微软雅黑" w:hAnsi="微软雅黑" w:eastAsia="微软雅黑" w:cs="微软雅黑"/>
                <w:i/>
                <w:iCs/>
                <w:color w:val="000000"/>
                <w:sz w:val="16"/>
                <w:szCs w:val="16"/>
                <w:u w:val="none"/>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7116">
            <w:pPr>
              <w:jc w:val="center"/>
              <w:rPr>
                <w:rFonts w:hint="eastAsia" w:ascii="微软雅黑" w:hAnsi="微软雅黑" w:eastAsia="微软雅黑" w:cs="微软雅黑"/>
                <w:i/>
                <w:iCs/>
                <w:color w:val="000000"/>
                <w:sz w:val="16"/>
                <w:szCs w:val="16"/>
                <w:u w:val="none"/>
              </w:rPr>
            </w:pPr>
          </w:p>
        </w:tc>
        <w:tc>
          <w:tcPr>
            <w:tcW w:w="2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F980AA">
            <w:pPr>
              <w:jc w:val="center"/>
              <w:rPr>
                <w:rFonts w:hint="eastAsia" w:ascii="微软雅黑" w:hAnsi="微软雅黑" w:eastAsia="微软雅黑" w:cs="微软雅黑"/>
                <w:i/>
                <w:iCs/>
                <w:color w:val="000000"/>
                <w:sz w:val="16"/>
                <w:szCs w:val="16"/>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77AE">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F239">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77E9">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2520C">
            <w:pPr>
              <w:rPr>
                <w:rFonts w:hint="eastAsia" w:ascii="黑体" w:hAnsi="黑体" w:eastAsia="黑体" w:cs="黑体"/>
                <w:i w:val="0"/>
                <w:iCs w:val="0"/>
                <w:color w:val="000000"/>
                <w:sz w:val="16"/>
                <w:szCs w:val="16"/>
                <w:u w:val="none"/>
              </w:rPr>
            </w:pPr>
          </w:p>
        </w:tc>
      </w:tr>
      <w:tr w14:paraId="64623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27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1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6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3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B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4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D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5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F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0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0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20B2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428FC">
            <w:pPr>
              <w:jc w:val="center"/>
              <w:rPr>
                <w:rFonts w:hint="eastAsia" w:ascii="宋体" w:hAnsi="宋体" w:eastAsia="宋体" w:cs="宋体"/>
                <w:i w:val="0"/>
                <w:iCs w:val="0"/>
                <w:color w:val="000000"/>
                <w:sz w:val="18"/>
                <w:szCs w:val="18"/>
                <w:u w:val="none"/>
              </w:rPr>
            </w:pP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16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F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E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评估报告数量</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A1A2">
            <w:pPr>
              <w:keepNext w:val="0"/>
              <w:keepLines w:val="0"/>
              <w:widowControl/>
              <w:suppressLineNumbers w:val="0"/>
              <w:jc w:val="center"/>
              <w:textAlignment w:val="center"/>
              <w:rPr>
                <w:rFonts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C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0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397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E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D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BC29">
            <w:pPr>
              <w:jc w:val="center"/>
              <w:rPr>
                <w:rFonts w:hint="eastAsia" w:ascii="微软雅黑" w:hAnsi="微软雅黑" w:eastAsia="微软雅黑" w:cs="微软雅黑"/>
                <w:i/>
                <w:iCs/>
                <w:color w:val="000000"/>
                <w:sz w:val="16"/>
                <w:szCs w:val="16"/>
                <w:u w:val="none"/>
              </w:rPr>
            </w:pPr>
          </w:p>
        </w:tc>
      </w:tr>
      <w:tr w14:paraId="1030A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F8922">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FF74F">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3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7AD0">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3FA4">
            <w:pPr>
              <w:jc w:val="center"/>
              <w:rPr>
                <w:rFonts w:hint="eastAsia" w:ascii="宋体" w:hAnsi="宋体" w:eastAsia="宋体" w:cs="宋体"/>
                <w:i w:val="0"/>
                <w:iCs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C069">
            <w:pPr>
              <w:jc w:val="center"/>
              <w:rPr>
                <w:rFonts w:hint="eastAsia" w:ascii="宋体" w:hAnsi="宋体" w:eastAsia="宋体" w:cs="宋体"/>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4762">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81E9">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54C1">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D52F">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2741">
            <w:pPr>
              <w:jc w:val="center"/>
              <w:rPr>
                <w:rFonts w:hint="eastAsia" w:ascii="微软雅黑" w:hAnsi="微软雅黑" w:eastAsia="微软雅黑" w:cs="微软雅黑"/>
                <w:i/>
                <w:iCs/>
                <w:color w:val="000000"/>
                <w:sz w:val="16"/>
                <w:szCs w:val="16"/>
                <w:u w:val="none"/>
              </w:rPr>
            </w:pPr>
          </w:p>
        </w:tc>
      </w:tr>
      <w:tr w14:paraId="2F124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242F7">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FBFEB">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2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E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信访事项按期办结率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81B7">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4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9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503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70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D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7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4955">
            <w:pPr>
              <w:jc w:val="center"/>
              <w:rPr>
                <w:rFonts w:hint="eastAsia" w:ascii="微软雅黑" w:hAnsi="微软雅黑" w:eastAsia="微软雅黑" w:cs="微软雅黑"/>
                <w:i/>
                <w:iCs/>
                <w:color w:val="000000"/>
                <w:sz w:val="16"/>
                <w:szCs w:val="16"/>
                <w:u w:val="none"/>
              </w:rPr>
            </w:pPr>
          </w:p>
        </w:tc>
      </w:tr>
      <w:tr w14:paraId="7E550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07D7A">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C1793">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0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4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信访事项按期完成率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BAA3">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A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4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507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70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5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C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1EE1">
            <w:pPr>
              <w:jc w:val="center"/>
              <w:rPr>
                <w:rFonts w:hint="eastAsia" w:ascii="微软雅黑" w:hAnsi="微软雅黑" w:eastAsia="微软雅黑" w:cs="微软雅黑"/>
                <w:i/>
                <w:iCs/>
                <w:color w:val="000000"/>
                <w:sz w:val="16"/>
                <w:szCs w:val="16"/>
                <w:u w:val="none"/>
              </w:rPr>
            </w:pPr>
          </w:p>
        </w:tc>
      </w:tr>
      <w:tr w14:paraId="4E88A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78AD1">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549D8">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8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CD22">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542D">
            <w:pPr>
              <w:jc w:val="center"/>
              <w:rPr>
                <w:rFonts w:hint="eastAsia" w:ascii="宋体" w:hAnsi="宋体" w:eastAsia="宋体" w:cs="宋体"/>
                <w:i w:val="0"/>
                <w:iCs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C7B8">
            <w:pPr>
              <w:jc w:val="center"/>
              <w:rPr>
                <w:rFonts w:hint="eastAsia" w:ascii="宋体" w:hAnsi="宋体" w:eastAsia="宋体" w:cs="宋体"/>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55A5">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95CC">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3D96">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28AB">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1AF7">
            <w:pPr>
              <w:jc w:val="center"/>
              <w:rPr>
                <w:rFonts w:hint="eastAsia" w:ascii="微软雅黑" w:hAnsi="微软雅黑" w:eastAsia="微软雅黑" w:cs="微软雅黑"/>
                <w:i/>
                <w:iCs/>
                <w:color w:val="000000"/>
                <w:sz w:val="16"/>
                <w:szCs w:val="16"/>
                <w:u w:val="none"/>
              </w:rPr>
            </w:pPr>
          </w:p>
        </w:tc>
      </w:tr>
      <w:tr w14:paraId="5A490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DEB07">
            <w:pPr>
              <w:jc w:val="center"/>
              <w:rPr>
                <w:rFonts w:hint="eastAsia" w:ascii="宋体" w:hAnsi="宋体" w:eastAsia="宋体" w:cs="宋体"/>
                <w:i w:val="0"/>
                <w:iCs w:val="0"/>
                <w:color w:val="000000"/>
                <w:sz w:val="18"/>
                <w:szCs w:val="18"/>
                <w:u w:val="none"/>
              </w:rPr>
            </w:pP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B3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F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F57E">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E989">
            <w:pPr>
              <w:jc w:val="center"/>
              <w:rPr>
                <w:rFonts w:hint="eastAsia" w:ascii="宋体" w:hAnsi="宋体" w:eastAsia="宋体" w:cs="宋体"/>
                <w:i w:val="0"/>
                <w:iCs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2FD3">
            <w:pPr>
              <w:jc w:val="center"/>
              <w:rPr>
                <w:rFonts w:hint="eastAsia" w:ascii="宋体" w:hAnsi="宋体" w:eastAsia="宋体" w:cs="宋体"/>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1CD4">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D3BB">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C1A3">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59FF">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7161">
            <w:pPr>
              <w:jc w:val="center"/>
              <w:rPr>
                <w:rFonts w:hint="eastAsia" w:ascii="微软雅黑" w:hAnsi="微软雅黑" w:eastAsia="微软雅黑" w:cs="微软雅黑"/>
                <w:i/>
                <w:iCs/>
                <w:color w:val="000000"/>
                <w:sz w:val="16"/>
                <w:szCs w:val="16"/>
                <w:u w:val="none"/>
              </w:rPr>
            </w:pPr>
          </w:p>
        </w:tc>
      </w:tr>
      <w:tr w14:paraId="18613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1667C">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7A352">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B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B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实地督查结果网上公开率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8357">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C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D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530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69</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3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C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5507">
            <w:pPr>
              <w:jc w:val="center"/>
              <w:rPr>
                <w:rFonts w:hint="eastAsia" w:ascii="微软雅黑" w:hAnsi="微软雅黑" w:eastAsia="微软雅黑" w:cs="微软雅黑"/>
                <w:i/>
                <w:iCs/>
                <w:color w:val="000000"/>
                <w:sz w:val="16"/>
                <w:szCs w:val="16"/>
                <w:u w:val="none"/>
              </w:rPr>
            </w:pPr>
          </w:p>
        </w:tc>
      </w:tr>
      <w:tr w14:paraId="12D9E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DD8FD">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F4273">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D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6245">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BB5C">
            <w:pPr>
              <w:jc w:val="center"/>
              <w:rPr>
                <w:rFonts w:hint="eastAsia" w:ascii="宋体" w:hAnsi="宋体" w:eastAsia="宋体" w:cs="宋体"/>
                <w:i w:val="0"/>
                <w:iCs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7346">
            <w:pPr>
              <w:jc w:val="center"/>
              <w:rPr>
                <w:rFonts w:hint="eastAsia" w:ascii="宋体" w:hAnsi="宋体" w:eastAsia="宋体" w:cs="宋体"/>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7158">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FC61">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EA12">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12E8">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49B8">
            <w:pPr>
              <w:jc w:val="center"/>
              <w:rPr>
                <w:rFonts w:hint="eastAsia" w:ascii="微软雅黑" w:hAnsi="微软雅黑" w:eastAsia="微软雅黑" w:cs="微软雅黑"/>
                <w:i/>
                <w:iCs/>
                <w:color w:val="000000"/>
                <w:sz w:val="16"/>
                <w:szCs w:val="16"/>
                <w:u w:val="none"/>
              </w:rPr>
            </w:pPr>
          </w:p>
        </w:tc>
      </w:tr>
      <w:tr w14:paraId="5210B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4D334">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735B9">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04FC">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可持续影响指标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F22F">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AAAB">
            <w:pPr>
              <w:jc w:val="center"/>
              <w:rPr>
                <w:rFonts w:hint="eastAsia" w:ascii="宋体" w:hAnsi="宋体" w:eastAsia="宋体" w:cs="宋体"/>
                <w:i w:val="0"/>
                <w:iCs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B31D">
            <w:pPr>
              <w:jc w:val="center"/>
              <w:rPr>
                <w:rFonts w:hint="eastAsia" w:ascii="宋体" w:hAnsi="宋体" w:eastAsia="宋体" w:cs="宋体"/>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9B7C">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F602">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C72C">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3F84">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9CA5">
            <w:pPr>
              <w:jc w:val="center"/>
              <w:rPr>
                <w:rFonts w:hint="eastAsia" w:ascii="微软雅黑" w:hAnsi="微软雅黑" w:eastAsia="微软雅黑" w:cs="微软雅黑"/>
                <w:i/>
                <w:iCs/>
                <w:color w:val="000000"/>
                <w:sz w:val="16"/>
                <w:szCs w:val="16"/>
                <w:u w:val="none"/>
              </w:rPr>
            </w:pPr>
          </w:p>
        </w:tc>
      </w:tr>
      <w:tr w14:paraId="79F09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AEA7C">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704C0">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9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898B">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5CE3">
            <w:pPr>
              <w:jc w:val="center"/>
              <w:rPr>
                <w:rFonts w:hint="eastAsia" w:ascii="宋体" w:hAnsi="宋体" w:eastAsia="宋体" w:cs="宋体"/>
                <w:i w:val="0"/>
                <w:iCs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6D33">
            <w:pPr>
              <w:jc w:val="center"/>
              <w:rPr>
                <w:rFonts w:hint="eastAsia" w:ascii="宋体" w:hAnsi="宋体" w:eastAsia="宋体" w:cs="宋体"/>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25AE">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68D7">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16DB">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4CBE">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461A">
            <w:pPr>
              <w:jc w:val="center"/>
              <w:rPr>
                <w:rFonts w:hint="eastAsia" w:ascii="微软雅黑" w:hAnsi="微软雅黑" w:eastAsia="微软雅黑" w:cs="微软雅黑"/>
                <w:i/>
                <w:iCs/>
                <w:color w:val="000000"/>
                <w:sz w:val="16"/>
                <w:szCs w:val="16"/>
                <w:u w:val="none"/>
              </w:rPr>
            </w:pPr>
          </w:p>
        </w:tc>
      </w:tr>
      <w:tr w14:paraId="7FBE1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B39AB">
            <w:pPr>
              <w:jc w:val="center"/>
              <w:rPr>
                <w:rFonts w:hint="eastAsia" w:ascii="宋体" w:hAnsi="宋体" w:eastAsia="宋体" w:cs="宋体"/>
                <w:i w:val="0"/>
                <w:iCs w:val="0"/>
                <w:color w:val="000000"/>
                <w:sz w:val="18"/>
                <w:szCs w:val="18"/>
                <w:u w:val="none"/>
              </w:rPr>
            </w:pP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0E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5C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E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信访事项处理群众满意率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BBB6">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3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3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64C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7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6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F827">
            <w:pPr>
              <w:jc w:val="center"/>
              <w:rPr>
                <w:rFonts w:hint="eastAsia" w:ascii="微软雅黑" w:hAnsi="微软雅黑" w:eastAsia="微软雅黑" w:cs="微软雅黑"/>
                <w:i/>
                <w:iCs/>
                <w:color w:val="000000"/>
                <w:sz w:val="16"/>
                <w:szCs w:val="16"/>
                <w:u w:val="none"/>
              </w:rPr>
            </w:pPr>
          </w:p>
        </w:tc>
      </w:tr>
      <w:tr w14:paraId="39F81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E6D14">
            <w:pPr>
              <w:jc w:val="center"/>
              <w:rPr>
                <w:rFonts w:hint="eastAsia" w:ascii="宋体" w:hAnsi="宋体" w:eastAsia="宋体" w:cs="宋体"/>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FFC98">
            <w:pPr>
              <w:jc w:val="center"/>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8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D4AE">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9870">
            <w:pPr>
              <w:jc w:val="center"/>
              <w:rPr>
                <w:rFonts w:hint="eastAsia" w:ascii="宋体" w:hAnsi="宋体" w:eastAsia="宋体" w:cs="宋体"/>
                <w:i w:val="0"/>
                <w:iCs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44D5">
            <w:pPr>
              <w:jc w:val="center"/>
              <w:rPr>
                <w:rFonts w:hint="eastAsia" w:ascii="宋体" w:hAnsi="宋体" w:eastAsia="宋体" w:cs="宋体"/>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EF6D">
            <w:pPr>
              <w:jc w:val="cente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12E7">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03F9">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30F0">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04EA">
            <w:pPr>
              <w:jc w:val="center"/>
              <w:rPr>
                <w:rFonts w:hint="eastAsia" w:ascii="微软雅黑" w:hAnsi="微软雅黑" w:eastAsia="微软雅黑" w:cs="微软雅黑"/>
                <w:i/>
                <w:iCs/>
                <w:color w:val="000000"/>
                <w:sz w:val="16"/>
                <w:szCs w:val="16"/>
                <w:u w:val="none"/>
              </w:rPr>
            </w:pPr>
          </w:p>
        </w:tc>
      </w:tr>
      <w:tr w14:paraId="52400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2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B45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921A">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34E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D152">
            <w:pPr>
              <w:rPr>
                <w:rFonts w:hint="eastAsia" w:ascii="宋体" w:hAnsi="宋体" w:eastAsia="宋体" w:cs="宋体"/>
                <w:i w:val="0"/>
                <w:iCs w:val="0"/>
                <w:color w:val="000000"/>
                <w:sz w:val="18"/>
                <w:szCs w:val="18"/>
                <w:u w:val="none"/>
              </w:rPr>
            </w:pPr>
          </w:p>
        </w:tc>
      </w:tr>
      <w:tr w14:paraId="4561F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B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6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3865A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许可事项技术审查要求，我局承担的固定资产投资项目节能审查和验收、取水许可、水利基建项目初步设计文件审批、洪水影响评价审批、生产建设项目水土保持方案审批等许可事项审批中需邀请第三方专家评审，今年办件 13 件，每件平均需专家评审费 2560 元，共支付经费 3.33 万元。</w:t>
            </w:r>
          </w:p>
        </w:tc>
      </w:tr>
      <w:tr w14:paraId="5B2FE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1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6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1EAC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无法精确估计当年许可审批办件事项。</w:t>
            </w:r>
          </w:p>
        </w:tc>
      </w:tr>
      <w:tr w14:paraId="28A7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9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6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E364F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9FF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3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5CC7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项目负责人：陈绍千</w:t>
            </w:r>
          </w:p>
        </w:tc>
        <w:tc>
          <w:tcPr>
            <w:tcW w:w="58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19985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财务负责人：李世文</w:t>
            </w:r>
          </w:p>
        </w:tc>
      </w:tr>
    </w:tbl>
    <w:p w14:paraId="5AE64BED">
      <w:pPr>
        <w:pStyle w:val="2"/>
        <w:rPr>
          <w:rFonts w:hint="eastAsia" w:ascii="Times New Roman" w:hAnsi="Times New Roman" w:eastAsia="楷体_GB2312" w:cs="Times New Roman"/>
          <w:b/>
          <w:bCs/>
          <w:color w:val="000000"/>
          <w:kern w:val="0"/>
          <w:sz w:val="32"/>
          <w:szCs w:val="32"/>
          <w:highlight w:val="none"/>
          <w:shd w:val="clear" w:color="auto" w:fill="FFFFFF"/>
          <w:lang w:val="en-US" w:eastAsia="zh-CN"/>
        </w:rPr>
      </w:pPr>
    </w:p>
    <w:p w14:paraId="00478FD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62FC1EA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 xml:space="preserve">按照 </w:t>
      </w:r>
      <w:r>
        <w:rPr>
          <w:rFonts w:hint="default" w:ascii="仿宋" w:hAnsi="仿宋" w:eastAsia="仿宋" w:cs="仿宋"/>
          <w:color w:val="000000"/>
          <w:kern w:val="0"/>
          <w:sz w:val="31"/>
          <w:szCs w:val="31"/>
          <w:lang w:val="en-US" w:eastAsia="zh-CN" w:bidi="ar"/>
        </w:rPr>
        <w:t>202</w:t>
      </w:r>
      <w:r>
        <w:rPr>
          <w:rFonts w:hint="eastAsia" w:ascii="仿宋" w:hAnsi="仿宋" w:eastAsia="仿宋" w:cs="仿宋"/>
          <w:color w:val="000000"/>
          <w:kern w:val="0"/>
          <w:sz w:val="31"/>
          <w:szCs w:val="31"/>
          <w:lang w:val="en-US" w:eastAsia="zh-CN" w:bidi="ar"/>
        </w:rPr>
        <w:t>4年度项目支出预算绩效自评的相关通知，我单位已进行了公正、客观、全面的绩效自评，部门自评得 97</w:t>
      </w:r>
      <w:r>
        <w:rPr>
          <w:rFonts w:hint="default" w:ascii="仿宋" w:hAnsi="仿宋" w:eastAsia="仿宋" w:cs="仿宋"/>
          <w:color w:val="000000"/>
          <w:kern w:val="0"/>
          <w:sz w:val="31"/>
          <w:szCs w:val="31"/>
          <w:lang w:val="en-US" w:eastAsia="zh-CN" w:bidi="ar"/>
        </w:rPr>
        <w:t xml:space="preserve"> </w:t>
      </w:r>
      <w:r>
        <w:rPr>
          <w:rFonts w:hint="eastAsia" w:ascii="仿宋" w:hAnsi="仿宋" w:eastAsia="仿宋" w:cs="仿宋"/>
          <w:color w:val="000000"/>
          <w:kern w:val="0"/>
          <w:sz w:val="31"/>
          <w:szCs w:val="31"/>
          <w:lang w:val="en-US" w:eastAsia="zh-CN" w:bidi="ar"/>
        </w:rPr>
        <w:t>分。</w:t>
      </w:r>
    </w:p>
    <w:p w14:paraId="265CA577">
      <w:pPr>
        <w:keepNext w:val="0"/>
        <w:keepLines w:val="0"/>
        <w:widowControl/>
        <w:suppressLineNumbers w:val="0"/>
        <w:jc w:val="left"/>
        <w:rPr>
          <w:rFonts w:hint="eastAsia" w:ascii="仿宋" w:hAnsi="仿宋" w:eastAsia="仿宋" w:cs="仿宋"/>
          <w:color w:val="000000"/>
          <w:kern w:val="0"/>
          <w:sz w:val="31"/>
          <w:szCs w:val="31"/>
          <w:lang w:val="en-US" w:eastAsia="zh-CN" w:bidi="ar"/>
        </w:rPr>
      </w:pPr>
      <w:r>
        <w:rPr>
          <w:rFonts w:ascii="仿宋_GB2312" w:hAnsi="宋体" w:eastAsia="仿宋_GB2312" w:cs="仿宋_GB2312"/>
          <w:color w:val="000000"/>
          <w:kern w:val="0"/>
          <w:sz w:val="31"/>
          <w:szCs w:val="31"/>
          <w:lang w:val="en-US" w:eastAsia="zh-CN" w:bidi="ar"/>
        </w:rPr>
        <w:t>我局承担的固定资产投资项目</w:t>
      </w:r>
      <w:r>
        <w:rPr>
          <w:rFonts w:hint="eastAsia" w:ascii="仿宋_GB2312" w:hAnsi="宋体" w:eastAsia="仿宋_GB2312" w:cs="仿宋_GB2312"/>
          <w:color w:val="000000"/>
          <w:kern w:val="0"/>
          <w:sz w:val="31"/>
          <w:szCs w:val="31"/>
          <w:lang w:val="en-US" w:eastAsia="zh-CN" w:bidi="ar"/>
        </w:rPr>
        <w:t>节能审查和验收、取水许可、水利基建项目初步设计文件审批、洪水影响评价审批、生产建设项目水土保持方案审批等许可事项审批中需邀请第三方专家评审今年办件 13 件，每件平均需专家评审费 2560 元，共支付经费3.33万元。</w:t>
      </w:r>
    </w:p>
    <w:p w14:paraId="2AB1369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3C42D38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无</w:t>
      </w:r>
    </w:p>
    <w:p w14:paraId="50CB52D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7F3DD26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无</w:t>
      </w:r>
    </w:p>
    <w:p w14:paraId="1074193D">
      <w:pPr>
        <w:pStyle w:val="2"/>
        <w:rPr>
          <w:rFonts w:hint="eastAsia" w:ascii="Times New Roman" w:hAnsi="Times New Roman" w:eastAsia="黑体" w:cs="黑体"/>
          <w:color w:val="auto"/>
          <w:kern w:val="0"/>
          <w:sz w:val="32"/>
          <w:szCs w:val="32"/>
          <w:highlight w:val="none"/>
          <w:shd w:val="clear" w:color="auto" w:fill="FFFFFF"/>
          <w:lang w:val="zh-CN"/>
        </w:rPr>
      </w:pPr>
    </w:p>
    <w:p w14:paraId="612743C0">
      <w:pPr>
        <w:pStyle w:val="2"/>
        <w:rPr>
          <w:rFonts w:hint="eastAsia" w:ascii="Times New Roman" w:hAnsi="Times New Roman" w:eastAsia="黑体" w:cs="黑体"/>
          <w:color w:val="auto"/>
          <w:kern w:val="0"/>
          <w:sz w:val="32"/>
          <w:szCs w:val="32"/>
          <w:highlight w:val="none"/>
          <w:shd w:val="clear" w:color="auto" w:fill="FFFFFF"/>
          <w:lang w:val="zh-CN"/>
        </w:rPr>
      </w:pPr>
    </w:p>
    <w:p w14:paraId="3B54F24A">
      <w:pPr>
        <w:pStyle w:val="2"/>
        <w:rPr>
          <w:rFonts w:hint="eastAsia" w:ascii="Times New Roman" w:hAnsi="Times New Roman" w:eastAsia="黑体" w:cs="黑体"/>
          <w:color w:val="auto"/>
          <w:kern w:val="0"/>
          <w:sz w:val="32"/>
          <w:szCs w:val="32"/>
          <w:highlight w:val="none"/>
          <w:shd w:val="clear" w:color="auto" w:fill="FFFFFF"/>
          <w:lang w:val="zh-CN"/>
        </w:rPr>
      </w:pPr>
    </w:p>
    <w:p w14:paraId="3CC6590D">
      <w:pPr>
        <w:pStyle w:val="2"/>
        <w:rPr>
          <w:rFonts w:hint="eastAsia" w:ascii="Times New Roman" w:hAnsi="Times New Roman" w:eastAsia="黑体" w:cs="黑体"/>
          <w:color w:val="auto"/>
          <w:kern w:val="0"/>
          <w:sz w:val="32"/>
          <w:szCs w:val="32"/>
          <w:highlight w:val="none"/>
          <w:shd w:val="clear" w:color="auto" w:fill="FFFFFF"/>
          <w:lang w:val="zh-CN"/>
        </w:rPr>
      </w:pPr>
    </w:p>
    <w:p w14:paraId="69A3CB68">
      <w:pPr>
        <w:pStyle w:val="2"/>
        <w:rPr>
          <w:rFonts w:hint="eastAsia" w:ascii="Times New Roman" w:hAnsi="Times New Roman" w:eastAsia="黑体" w:cs="黑体"/>
          <w:color w:val="auto"/>
          <w:kern w:val="0"/>
          <w:sz w:val="32"/>
          <w:szCs w:val="32"/>
          <w:highlight w:val="none"/>
          <w:shd w:val="clear" w:color="auto" w:fill="FFFFFF"/>
          <w:lang w:val="zh-CN"/>
        </w:rPr>
      </w:pPr>
    </w:p>
    <w:p w14:paraId="18564CE8">
      <w:pPr>
        <w:pStyle w:val="2"/>
        <w:rPr>
          <w:rFonts w:hint="eastAsia" w:ascii="Times New Roman" w:hAnsi="Times New Roman" w:eastAsia="黑体" w:cs="黑体"/>
          <w:color w:val="auto"/>
          <w:kern w:val="0"/>
          <w:sz w:val="32"/>
          <w:szCs w:val="32"/>
          <w:highlight w:val="none"/>
          <w:shd w:val="clear" w:color="auto" w:fill="FFFFFF"/>
          <w:lang w:val="zh-CN"/>
        </w:rPr>
      </w:pPr>
    </w:p>
    <w:p w14:paraId="4C44D0B9">
      <w:pPr>
        <w:pStyle w:val="2"/>
        <w:rPr>
          <w:rFonts w:hint="eastAsia" w:ascii="Times New Roman" w:hAnsi="Times New Roman" w:eastAsia="黑体" w:cs="黑体"/>
          <w:color w:val="auto"/>
          <w:kern w:val="0"/>
          <w:sz w:val="32"/>
          <w:szCs w:val="32"/>
          <w:highlight w:val="none"/>
          <w:shd w:val="clear" w:color="auto" w:fill="FFFFFF"/>
          <w:lang w:val="zh-CN"/>
        </w:rPr>
      </w:pPr>
    </w:p>
    <w:p w14:paraId="498F6F11">
      <w:pPr>
        <w:pStyle w:val="2"/>
        <w:rPr>
          <w:rFonts w:hint="eastAsia" w:ascii="Times New Roman" w:hAnsi="Times New Roman" w:eastAsia="黑体" w:cs="黑体"/>
          <w:color w:val="auto"/>
          <w:kern w:val="0"/>
          <w:sz w:val="32"/>
          <w:szCs w:val="32"/>
          <w:highlight w:val="none"/>
          <w:shd w:val="clear" w:color="auto" w:fill="FFFFFF"/>
          <w:lang w:val="zh-CN"/>
        </w:rPr>
      </w:pPr>
    </w:p>
    <w:p w14:paraId="402F5C5C">
      <w:pPr>
        <w:pStyle w:val="2"/>
        <w:rPr>
          <w:rFonts w:hint="eastAsia" w:ascii="Times New Roman" w:hAnsi="Times New Roman" w:eastAsia="黑体" w:cs="黑体"/>
          <w:color w:val="auto"/>
          <w:kern w:val="0"/>
          <w:sz w:val="32"/>
          <w:szCs w:val="32"/>
          <w:highlight w:val="none"/>
          <w:shd w:val="clear" w:color="auto" w:fill="FFFFFF"/>
          <w:lang w:val="zh-CN"/>
        </w:rPr>
      </w:pPr>
    </w:p>
    <w:p w14:paraId="0FB5FB26">
      <w:pPr>
        <w:pStyle w:val="2"/>
        <w:rPr>
          <w:rFonts w:hint="eastAsia" w:ascii="Times New Roman" w:hAnsi="Times New Roman" w:eastAsia="黑体" w:cs="黑体"/>
          <w:color w:val="auto"/>
          <w:kern w:val="0"/>
          <w:sz w:val="32"/>
          <w:szCs w:val="32"/>
          <w:highlight w:val="none"/>
          <w:shd w:val="clear" w:color="auto" w:fill="FFFFFF"/>
          <w:lang w:val="zh-CN"/>
        </w:rPr>
      </w:pPr>
    </w:p>
    <w:p w14:paraId="27FE2546">
      <w:pPr>
        <w:pStyle w:val="2"/>
        <w:rPr>
          <w:rFonts w:hint="eastAsia" w:ascii="Times New Roman" w:hAnsi="Times New Roman" w:eastAsia="黑体" w:cs="黑体"/>
          <w:color w:val="auto"/>
          <w:kern w:val="0"/>
          <w:sz w:val="32"/>
          <w:szCs w:val="32"/>
          <w:highlight w:val="none"/>
          <w:shd w:val="clear" w:color="auto" w:fill="FFFFFF"/>
          <w:lang w:val="zh-CN"/>
        </w:rPr>
      </w:pPr>
    </w:p>
    <w:p w14:paraId="0E9F8A76">
      <w:pPr>
        <w:pStyle w:val="2"/>
        <w:rPr>
          <w:rFonts w:hint="eastAsia" w:ascii="Times New Roman" w:hAnsi="Times New Roman" w:eastAsia="黑体" w:cs="黑体"/>
          <w:color w:val="auto"/>
          <w:kern w:val="0"/>
          <w:sz w:val="32"/>
          <w:szCs w:val="32"/>
          <w:highlight w:val="none"/>
          <w:shd w:val="clear" w:color="auto" w:fill="FFFFFF"/>
          <w:lang w:val="zh-CN"/>
        </w:rPr>
      </w:pPr>
    </w:p>
    <w:p w14:paraId="48008092">
      <w:pPr>
        <w:pStyle w:val="2"/>
        <w:rPr>
          <w:rFonts w:hint="eastAsia" w:ascii="Times New Roman" w:hAnsi="Times New Roman" w:eastAsia="黑体" w:cs="黑体"/>
          <w:color w:val="auto"/>
          <w:kern w:val="0"/>
          <w:sz w:val="32"/>
          <w:szCs w:val="32"/>
          <w:highlight w:val="none"/>
          <w:shd w:val="clear" w:color="auto" w:fill="FFFFFF"/>
          <w:lang w:val="zh-CN"/>
        </w:rPr>
      </w:pPr>
    </w:p>
    <w:p w14:paraId="7F3AF5BC">
      <w:pPr>
        <w:pStyle w:val="2"/>
        <w:rPr>
          <w:rFonts w:hint="eastAsia" w:ascii="Times New Roman" w:hAnsi="Times New Roman" w:eastAsia="黑体" w:cs="黑体"/>
          <w:color w:val="auto"/>
          <w:kern w:val="0"/>
          <w:sz w:val="32"/>
          <w:szCs w:val="32"/>
          <w:highlight w:val="none"/>
          <w:shd w:val="clear" w:color="auto" w:fill="FFFFFF"/>
          <w:lang w:val="zh-CN"/>
        </w:rPr>
      </w:pPr>
    </w:p>
    <w:p w14:paraId="7D4AA128">
      <w:pPr>
        <w:pStyle w:val="2"/>
        <w:rPr>
          <w:rFonts w:hint="eastAsia" w:ascii="Times New Roman" w:hAnsi="Times New Roman" w:eastAsia="黑体" w:cs="黑体"/>
          <w:color w:val="auto"/>
          <w:kern w:val="0"/>
          <w:sz w:val="32"/>
          <w:szCs w:val="32"/>
          <w:highlight w:val="none"/>
          <w:shd w:val="clear" w:color="auto" w:fill="FFFFFF"/>
          <w:lang w:val="zh-CN"/>
        </w:rPr>
      </w:pPr>
    </w:p>
    <w:p w14:paraId="1B7C4C3D">
      <w:pPr>
        <w:pStyle w:val="2"/>
        <w:rPr>
          <w:rFonts w:hint="eastAsia" w:ascii="Times New Roman" w:hAnsi="Times New Roman" w:eastAsia="黑体" w:cs="黑体"/>
          <w:color w:val="auto"/>
          <w:kern w:val="0"/>
          <w:sz w:val="32"/>
          <w:szCs w:val="32"/>
          <w:highlight w:val="none"/>
          <w:shd w:val="clear" w:color="auto" w:fill="FFFFFF"/>
          <w:lang w:val="zh-CN"/>
        </w:rPr>
      </w:pPr>
    </w:p>
    <w:p w14:paraId="7CA1F741">
      <w:pPr>
        <w:pStyle w:val="2"/>
        <w:rPr>
          <w:rFonts w:hint="eastAsia" w:ascii="Times New Roman" w:hAnsi="Times New Roman" w:eastAsia="黑体" w:cs="黑体"/>
          <w:color w:val="auto"/>
          <w:kern w:val="0"/>
          <w:sz w:val="32"/>
          <w:szCs w:val="32"/>
          <w:highlight w:val="none"/>
          <w:shd w:val="clear" w:color="auto" w:fill="FFFFFF"/>
          <w:lang w:val="zh-CN"/>
        </w:rPr>
      </w:pPr>
    </w:p>
    <w:p w14:paraId="3C891091">
      <w:pPr>
        <w:pStyle w:val="2"/>
        <w:rPr>
          <w:rFonts w:hint="eastAsia" w:ascii="Times New Roman" w:hAnsi="Times New Roman" w:eastAsia="黑体" w:cs="黑体"/>
          <w:color w:val="auto"/>
          <w:kern w:val="0"/>
          <w:sz w:val="32"/>
          <w:szCs w:val="32"/>
          <w:highlight w:val="none"/>
          <w:shd w:val="clear" w:color="auto" w:fill="FFFFFF"/>
          <w:lang w:val="zh-CN"/>
        </w:rPr>
      </w:pPr>
    </w:p>
    <w:p w14:paraId="10337AA9">
      <w:pPr>
        <w:pStyle w:val="2"/>
        <w:rPr>
          <w:rFonts w:hint="eastAsia" w:ascii="Times New Roman" w:hAnsi="Times New Roman" w:eastAsia="黑体" w:cs="黑体"/>
          <w:color w:val="auto"/>
          <w:kern w:val="0"/>
          <w:sz w:val="32"/>
          <w:szCs w:val="32"/>
          <w:highlight w:val="none"/>
          <w:shd w:val="clear" w:color="auto" w:fill="FFFFFF"/>
          <w:lang w:val="zh-CN"/>
        </w:rPr>
      </w:pPr>
    </w:p>
    <w:p w14:paraId="173A7375">
      <w:pPr>
        <w:pStyle w:val="2"/>
        <w:rPr>
          <w:rFonts w:hint="eastAsia" w:ascii="Times New Roman" w:hAnsi="Times New Roman" w:eastAsia="黑体" w:cs="黑体"/>
          <w:color w:val="auto"/>
          <w:kern w:val="0"/>
          <w:sz w:val="32"/>
          <w:szCs w:val="32"/>
          <w:highlight w:val="none"/>
          <w:shd w:val="clear" w:color="auto" w:fill="FFFFFF"/>
          <w:lang w:val="zh-CN"/>
        </w:rPr>
      </w:pPr>
    </w:p>
    <w:p w14:paraId="279C37FA">
      <w:pPr>
        <w:pStyle w:val="2"/>
        <w:rPr>
          <w:rFonts w:hint="eastAsia" w:ascii="Times New Roman" w:hAnsi="Times New Roman" w:eastAsia="黑体" w:cs="黑体"/>
          <w:color w:val="auto"/>
          <w:kern w:val="0"/>
          <w:sz w:val="32"/>
          <w:szCs w:val="32"/>
          <w:highlight w:val="none"/>
          <w:shd w:val="clear" w:color="auto" w:fill="FFFFFF"/>
          <w:lang w:val="zh-CN"/>
        </w:rPr>
      </w:pPr>
    </w:p>
    <w:p w14:paraId="601EAA02">
      <w:pPr>
        <w:pStyle w:val="2"/>
        <w:rPr>
          <w:rFonts w:hint="eastAsia" w:ascii="Times New Roman" w:hAnsi="Times New Roman" w:eastAsia="黑体" w:cs="黑体"/>
          <w:color w:val="auto"/>
          <w:kern w:val="0"/>
          <w:sz w:val="32"/>
          <w:szCs w:val="32"/>
          <w:highlight w:val="none"/>
          <w:shd w:val="clear" w:color="auto" w:fill="FFFFFF"/>
          <w:lang w:val="zh-CN"/>
        </w:rPr>
      </w:pPr>
    </w:p>
    <w:p w14:paraId="67ACFD75">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47A9DD5F">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hint="eastAsia" w:ascii="Times New Roman" w:hAnsi="Times New Roman" w:eastAsia="宋体"/>
          <w:color w:val="auto"/>
          <w:kern w:val="2"/>
          <w:sz w:val="32"/>
          <w:szCs w:val="32"/>
          <w:highlight w:val="none"/>
          <w:lang w:eastAsia="zh-CN"/>
        </w:rPr>
      </w:pPr>
      <w:r>
        <w:rPr>
          <w:rFonts w:hint="eastAsia" w:ascii="Times New Roman" w:hAnsi="Times New Roman"/>
          <w:color w:val="auto"/>
          <w:kern w:val="2"/>
          <w:sz w:val="32"/>
          <w:szCs w:val="32"/>
          <w:highlight w:val="none"/>
          <w:lang w:eastAsia="zh-CN"/>
        </w:rPr>
        <w:t>（</w:t>
      </w:r>
      <w:r>
        <w:rPr>
          <w:rFonts w:hint="eastAsia" w:ascii="Times New Roman" w:hAnsi="Times New Roman" w:eastAsia="仿宋_GB2312" w:cs="仿宋_GB2312"/>
          <w:b w:val="0"/>
          <w:bCs w:val="0"/>
          <w:color w:val="auto"/>
          <w:kern w:val="0"/>
          <w:position w:val="0"/>
          <w:sz w:val="32"/>
          <w:szCs w:val="32"/>
          <w:highlight w:val="none"/>
          <w:lang w:val="en-US" w:eastAsia="zh-CN" w:bidi="ar-SA"/>
        </w:rPr>
        <w:t>四川政务服务网沐川分站点</w:t>
      </w:r>
      <w:r>
        <w:rPr>
          <w:rFonts w:hint="eastAsia" w:ascii="Times New Roman" w:hAnsi="Times New Roman"/>
          <w:color w:val="auto"/>
          <w:kern w:val="2"/>
          <w:sz w:val="32"/>
          <w:szCs w:val="32"/>
          <w:highlight w:val="none"/>
          <w:lang w:eastAsia="zh-CN"/>
        </w:rPr>
        <w:t>）</w:t>
      </w:r>
    </w:p>
    <w:p w14:paraId="539F80A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088C41B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根据四川省大数据中心《四川省2023年“一网通办”重点工作任务》和乐山市营商环境服务管理局《关于印发2023年工作要点的通知》精神，为在“天府通办”APP上线更多高频应用，更好满足群众便捷办事要求，推进我县分站点系统建设。</w:t>
      </w:r>
    </w:p>
    <w:p w14:paraId="5E36A95B">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更好满足群众便捷办事要求，完成我县分站点系统建设。</w:t>
      </w:r>
    </w:p>
    <w:p w14:paraId="0299D87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仿宋_GB2312" w:hAnsi="仿宋_GB2312" w:eastAsia="仿宋_GB2312" w:cs="仿宋_GB2312"/>
          <w:sz w:val="30"/>
          <w:szCs w:val="30"/>
        </w:rPr>
        <w:t>该项目资金预算</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万元，执行预算资金支付共</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万元。</w:t>
      </w:r>
    </w:p>
    <w:p w14:paraId="2B3B63FA">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仿宋_GB2312" w:hAnsi="仿宋_GB2312" w:eastAsia="仿宋_GB2312" w:cs="仿宋_GB2312"/>
          <w:sz w:val="30"/>
          <w:szCs w:val="30"/>
          <w:lang w:val="zh-CN" w:eastAsia="zh-CN"/>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0"/>
          <w:szCs w:val="30"/>
          <w:lang w:val="en-US" w:eastAsia="zh-CN"/>
        </w:rPr>
        <w:t>根据四川省大数据中心《四川省2023年“一网通办”重点工作任务》和乐山市营商环境服务管理局《关于印发2023年工作要点的通知》精神，为在“天府通办”APP上线更多高频应用，更好满足群众便捷办事要求，完成我县分站点系统建设。</w:t>
      </w:r>
    </w:p>
    <w:p w14:paraId="51D59F7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78DA499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0"/>
          <w:szCs w:val="30"/>
          <w:lang w:val="zh-CN" w:eastAsia="zh-CN"/>
        </w:rPr>
      </w:pPr>
      <w:r>
        <w:rPr>
          <w:rFonts w:hint="eastAsia" w:ascii="Times New Roman" w:hAnsi="Times New Roman" w:eastAsia="楷体_GB2312"/>
          <w:b/>
          <w:color w:val="auto"/>
          <w:sz w:val="32"/>
          <w:szCs w:val="32"/>
          <w:highlight w:val="none"/>
          <w:u w:val="none"/>
          <w:lang w:val="zh-CN"/>
        </w:rPr>
        <w:t>（一）评价目的。</w:t>
      </w:r>
      <w:r>
        <w:rPr>
          <w:rFonts w:hint="eastAsia" w:ascii="仿宋_GB2312" w:hAnsi="仿宋_GB2312" w:eastAsia="仿宋_GB2312" w:cs="仿宋_GB2312"/>
          <w:sz w:val="30"/>
          <w:szCs w:val="30"/>
          <w:lang w:val="zh-CN" w:eastAsia="zh-CN"/>
        </w:rPr>
        <w:t>通过项目绩效自评要实现完成</w:t>
      </w:r>
      <w:r>
        <w:rPr>
          <w:rFonts w:ascii="仿宋_GB2312" w:hAnsi="宋体" w:eastAsia="仿宋_GB2312" w:cs="仿宋_GB2312"/>
          <w:color w:val="000000"/>
          <w:kern w:val="0"/>
          <w:sz w:val="31"/>
          <w:szCs w:val="31"/>
          <w:lang w:val="en-US" w:eastAsia="zh-CN" w:bidi="ar"/>
        </w:rPr>
        <w:t>我局承担的</w:t>
      </w:r>
      <w:r>
        <w:rPr>
          <w:rFonts w:hint="eastAsia" w:ascii="仿宋_GB2312" w:hAnsi="仿宋_GB2312" w:eastAsia="仿宋_GB2312" w:cs="仿宋_GB2312"/>
          <w:sz w:val="30"/>
          <w:szCs w:val="30"/>
          <w:lang w:val="en-US" w:eastAsia="zh-CN"/>
        </w:rPr>
        <w:t>更好满足群众便捷办事要求，完成我县分站点系统建设。经过进一步协商价格下调。</w:t>
      </w:r>
    </w:p>
    <w:p w14:paraId="006253B3">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仿宋_GB2312" w:hAnsi="仿宋_GB2312" w:eastAsia="仿宋_GB2312" w:cs="仿宋_GB2312"/>
          <w:sz w:val="30"/>
          <w:szCs w:val="30"/>
          <w:lang w:val="zh-CN" w:eastAsia="zh-CN"/>
        </w:rPr>
        <w:t>按照绩效评价指标体系，对资金支出使用全过程及其实施效果进行综合评价和判断，</w:t>
      </w:r>
      <w:r>
        <w:rPr>
          <w:rFonts w:hint="eastAsia" w:ascii="仿宋_GB2312" w:hAnsi="仿宋_GB2312" w:eastAsia="仿宋_GB2312" w:cs="仿宋_GB2312"/>
          <w:sz w:val="30"/>
          <w:szCs w:val="30"/>
          <w:lang w:val="en-US" w:eastAsia="zh-CN"/>
        </w:rPr>
        <w:t>整体效果良好</w:t>
      </w:r>
      <w:r>
        <w:rPr>
          <w:rFonts w:hint="eastAsia" w:ascii="仿宋_GB2312" w:hAnsi="仿宋_GB2312" w:eastAsia="仿宋_GB2312" w:cs="仿宋_GB2312"/>
          <w:sz w:val="30"/>
          <w:szCs w:val="30"/>
          <w:lang w:val="zh-CN" w:eastAsia="zh-CN"/>
        </w:rPr>
        <w:t>。</w:t>
      </w:r>
    </w:p>
    <w:p w14:paraId="54FB4A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（三）评价选点。</w:t>
      </w:r>
      <w:r>
        <w:rPr>
          <w:rFonts w:hint="eastAsia" w:ascii="楷体_GB2312" w:hAnsi="宋体" w:eastAsia="楷体_GB2312"/>
          <w:b w:val="0"/>
          <w:bCs/>
          <w:color w:val="auto"/>
          <w:sz w:val="32"/>
          <w:szCs w:val="32"/>
          <w:highlight w:val="none"/>
          <w:u w:val="none"/>
          <w:lang w:val="en-US" w:eastAsia="zh-CN"/>
        </w:rPr>
        <w:t>未选点，开展单位</w:t>
      </w:r>
      <w:r>
        <w:rPr>
          <w:rFonts w:hint="eastAsia" w:ascii="仿宋_GB2312" w:hAnsi="仿宋_GB2312" w:eastAsia="仿宋_GB2312" w:cs="仿宋_GB2312"/>
          <w:b w:val="0"/>
          <w:bCs w:val="0"/>
          <w:kern w:val="0"/>
          <w:position w:val="0"/>
          <w:sz w:val="32"/>
          <w:szCs w:val="32"/>
          <w:highlight w:val="none"/>
          <w:lang w:val="zh-CN" w:eastAsia="zh-CN" w:bidi="ar-SA"/>
        </w:rPr>
        <w:t>项目绩效自评。</w:t>
      </w:r>
    </w:p>
    <w:p w14:paraId="230038B5">
      <w:pPr>
        <w:snapToGrid w:val="0"/>
        <w:spacing w:line="600" w:lineRule="exact"/>
        <w:ind w:firstLine="643" w:firstLineChars="200"/>
        <w:outlineLvl w:val="0"/>
        <w:rPr>
          <w:rFonts w:hint="eastAsia" w:ascii="仿宋" w:hAnsi="仿宋" w:eastAsia="仿宋" w:cs="仿宋"/>
          <w:color w:val="000000"/>
          <w:kern w:val="0"/>
          <w:sz w:val="31"/>
          <w:szCs w:val="31"/>
          <w:lang w:val="zh-CN" w:eastAsia="zh-CN" w:bidi="ar"/>
        </w:rPr>
      </w:pPr>
      <w:r>
        <w:rPr>
          <w:rFonts w:hint="eastAsia" w:ascii="Times New Roman" w:hAnsi="Times New Roman" w:eastAsia="楷体_GB2312"/>
          <w:b/>
          <w:color w:val="auto"/>
          <w:sz w:val="32"/>
          <w:szCs w:val="32"/>
          <w:highlight w:val="none"/>
          <w:u w:val="none"/>
          <w:lang w:val="zh-CN"/>
        </w:rPr>
        <w:t>（四）评价方法。</w:t>
      </w:r>
      <w:r>
        <w:rPr>
          <w:rFonts w:hint="eastAsia" w:ascii="仿宋" w:hAnsi="仿宋" w:eastAsia="仿宋" w:cs="仿宋"/>
          <w:color w:val="000000"/>
          <w:kern w:val="0"/>
          <w:sz w:val="31"/>
          <w:szCs w:val="31"/>
          <w:lang w:val="zh-CN" w:eastAsia="zh-CN" w:bidi="ar"/>
        </w:rPr>
        <w:t>根据项目情况</w:t>
      </w:r>
      <w:r>
        <w:rPr>
          <w:rFonts w:hint="eastAsia" w:ascii="仿宋" w:hAnsi="仿宋" w:eastAsia="仿宋" w:cs="仿宋"/>
          <w:color w:val="000000"/>
          <w:kern w:val="0"/>
          <w:sz w:val="31"/>
          <w:szCs w:val="31"/>
          <w:lang w:val="en-US" w:eastAsia="zh-CN" w:bidi="ar"/>
        </w:rPr>
        <w:t>以本年度内业务系统运行情况，</w:t>
      </w:r>
      <w:r>
        <w:rPr>
          <w:rFonts w:hint="default" w:ascii="仿宋" w:hAnsi="仿宋" w:eastAsia="仿宋" w:cs="仿宋"/>
          <w:color w:val="000000"/>
          <w:kern w:val="0"/>
          <w:sz w:val="31"/>
          <w:szCs w:val="31"/>
          <w:lang w:val="zh-CN" w:eastAsia="zh-CN" w:bidi="ar"/>
        </w:rPr>
        <w:t>项目的数量、质量、时效、成本，无资金结余情况和违规记录等情况，对照项目计划完成目标100%，对截止评价时点的任务量完成、质量标准、进度计划、成本控制目标的实现程度进行。</w:t>
      </w:r>
    </w:p>
    <w:p w14:paraId="0108DA6A">
      <w:pPr>
        <w:keepNext w:val="0"/>
        <w:keepLines w:val="0"/>
        <w:widowControl/>
        <w:suppressLineNumbers w:val="0"/>
        <w:ind w:firstLine="643" w:firstLineChars="200"/>
        <w:jc w:val="left"/>
        <w:rPr>
          <w:rFonts w:hint="eastAsia"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ascii="仿宋" w:hAnsi="仿宋" w:eastAsia="仿宋" w:cs="仿宋"/>
          <w:color w:val="000000"/>
          <w:kern w:val="0"/>
          <w:sz w:val="31"/>
          <w:szCs w:val="31"/>
          <w:lang w:val="en-US" w:eastAsia="zh-CN" w:bidi="ar"/>
        </w:rPr>
        <w:t>本单位成立项目实施小组，组长为单位主要负责人，副组长</w:t>
      </w:r>
      <w:r>
        <w:rPr>
          <w:rFonts w:hint="eastAsia" w:ascii="仿宋" w:hAnsi="仿宋" w:eastAsia="仿宋" w:cs="仿宋"/>
          <w:color w:val="000000"/>
          <w:kern w:val="0"/>
          <w:sz w:val="31"/>
          <w:szCs w:val="31"/>
          <w:lang w:val="en-US" w:eastAsia="zh-CN" w:bidi="ar"/>
        </w:rPr>
        <w:t xml:space="preserve">为单位分管领导，成员为办公室主任，财务负责预算的管理以及相关资料的收集。 </w:t>
      </w:r>
    </w:p>
    <w:p w14:paraId="192422D7">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3FB05F41">
      <w:pPr>
        <w:keepNext w:val="0"/>
        <w:keepLines w:val="0"/>
        <w:widowControl/>
        <w:suppressLineNumbers w:val="0"/>
        <w:jc w:val="left"/>
        <w:rPr>
          <w:rFonts w:hint="eastAsia" w:ascii="仿宋" w:hAnsi="仿宋" w:eastAsia="仿宋" w:cs="仿宋"/>
          <w:color w:val="000000"/>
          <w:kern w:val="0"/>
          <w:sz w:val="31"/>
          <w:szCs w:val="31"/>
          <w:lang w:val="en-US" w:eastAsia="zh-CN" w:bidi="ar"/>
        </w:rPr>
      </w:pPr>
      <w:r>
        <w:rPr>
          <w:rFonts w:hint="default" w:ascii="仿宋" w:hAnsi="仿宋" w:eastAsia="仿宋" w:cs="仿宋"/>
          <w:color w:val="000000"/>
          <w:kern w:val="0"/>
          <w:sz w:val="31"/>
          <w:szCs w:val="31"/>
          <w:lang w:val="zh-CN" w:eastAsia="zh-CN" w:bidi="ar"/>
        </w:rPr>
        <w:t>根据</w:t>
      </w:r>
      <w:r>
        <w:rPr>
          <w:rFonts w:hint="eastAsia" w:ascii="仿宋" w:hAnsi="仿宋" w:eastAsia="仿宋" w:cs="仿宋"/>
          <w:color w:val="000000"/>
          <w:kern w:val="0"/>
          <w:sz w:val="31"/>
          <w:szCs w:val="31"/>
          <w:lang w:val="zh-CN" w:eastAsia="zh-CN" w:bidi="ar"/>
        </w:rPr>
        <w:t>项目</w:t>
      </w:r>
      <w:r>
        <w:rPr>
          <w:rFonts w:hint="default" w:ascii="仿宋" w:hAnsi="仿宋" w:eastAsia="仿宋" w:cs="仿宋"/>
          <w:color w:val="000000"/>
          <w:kern w:val="0"/>
          <w:sz w:val="31"/>
          <w:szCs w:val="31"/>
          <w:lang w:val="zh-CN" w:eastAsia="zh-CN" w:bidi="ar"/>
        </w:rPr>
        <w:t>预算绩效评价指标体系“</w:t>
      </w:r>
      <w:r>
        <w:rPr>
          <w:rFonts w:hint="eastAsia" w:ascii="仿宋" w:hAnsi="仿宋" w:eastAsia="仿宋" w:cs="仿宋"/>
          <w:color w:val="000000"/>
          <w:kern w:val="0"/>
          <w:sz w:val="31"/>
          <w:szCs w:val="31"/>
          <w:lang w:val="zh-CN" w:eastAsia="zh-CN" w:bidi="ar"/>
        </w:rPr>
        <w:t>通用指标</w:t>
      </w:r>
      <w:r>
        <w:rPr>
          <w:rFonts w:hint="default" w:ascii="仿宋" w:hAnsi="仿宋" w:eastAsia="仿宋" w:cs="仿宋"/>
          <w:color w:val="000000"/>
          <w:kern w:val="0"/>
          <w:sz w:val="31"/>
          <w:szCs w:val="31"/>
          <w:lang w:val="zh-CN" w:eastAsia="zh-CN" w:bidi="ar"/>
        </w:rPr>
        <w:t>”</w:t>
      </w:r>
      <w:r>
        <w:rPr>
          <w:rFonts w:hint="eastAsia" w:ascii="仿宋" w:hAnsi="仿宋" w:eastAsia="仿宋" w:cs="仿宋"/>
          <w:color w:val="000000"/>
          <w:kern w:val="0"/>
          <w:sz w:val="31"/>
          <w:szCs w:val="31"/>
          <w:lang w:val="zh-CN" w:eastAsia="zh-CN" w:bidi="ar"/>
        </w:rPr>
        <w:t>“专用指标”“个性指标”</w:t>
      </w:r>
      <w:r>
        <w:rPr>
          <w:rFonts w:hint="default" w:ascii="仿宋" w:hAnsi="仿宋" w:eastAsia="仿宋" w:cs="仿宋"/>
          <w:color w:val="000000"/>
          <w:kern w:val="0"/>
          <w:sz w:val="31"/>
          <w:szCs w:val="31"/>
          <w:lang w:val="zh-CN" w:eastAsia="zh-CN" w:bidi="ar"/>
        </w:rPr>
        <w:t>涉及</w:t>
      </w:r>
      <w:r>
        <w:rPr>
          <w:rFonts w:hint="eastAsia" w:ascii="仿宋" w:hAnsi="仿宋" w:eastAsia="仿宋" w:cs="仿宋"/>
          <w:color w:val="000000"/>
          <w:kern w:val="0"/>
          <w:sz w:val="31"/>
          <w:szCs w:val="31"/>
          <w:lang w:val="zh-CN" w:eastAsia="zh-CN" w:bidi="ar"/>
        </w:rPr>
        <w:t>二、三级</w:t>
      </w:r>
      <w:r>
        <w:rPr>
          <w:rFonts w:hint="default" w:ascii="仿宋" w:hAnsi="仿宋" w:eastAsia="仿宋" w:cs="仿宋"/>
          <w:color w:val="000000"/>
          <w:kern w:val="0"/>
          <w:sz w:val="31"/>
          <w:szCs w:val="31"/>
          <w:lang w:val="zh-CN" w:eastAsia="zh-CN" w:bidi="ar"/>
        </w:rPr>
        <w:t>指标进行</w:t>
      </w:r>
      <w:r>
        <w:rPr>
          <w:rFonts w:hint="eastAsia" w:ascii="仿宋" w:hAnsi="仿宋" w:eastAsia="仿宋" w:cs="仿宋"/>
          <w:color w:val="000000"/>
          <w:kern w:val="0"/>
          <w:sz w:val="31"/>
          <w:szCs w:val="31"/>
          <w:lang w:val="zh-CN" w:eastAsia="zh-CN" w:bidi="ar"/>
        </w:rPr>
        <w:t>逐项</w:t>
      </w:r>
      <w:r>
        <w:rPr>
          <w:rFonts w:hint="default" w:ascii="仿宋" w:hAnsi="仿宋" w:eastAsia="仿宋" w:cs="仿宋"/>
          <w:color w:val="000000"/>
          <w:kern w:val="0"/>
          <w:sz w:val="31"/>
          <w:szCs w:val="31"/>
          <w:lang w:val="zh-CN" w:eastAsia="zh-CN" w:bidi="ar"/>
        </w:rPr>
        <w:t>绩效分析</w:t>
      </w:r>
      <w:r>
        <w:rPr>
          <w:rFonts w:hint="eastAsia" w:ascii="仿宋" w:hAnsi="仿宋" w:eastAsia="仿宋" w:cs="仿宋"/>
          <w:color w:val="000000"/>
          <w:kern w:val="0"/>
          <w:sz w:val="31"/>
          <w:szCs w:val="31"/>
          <w:lang w:val="zh-CN" w:eastAsia="zh-CN" w:bidi="ar"/>
        </w:rPr>
        <w:t>并评分</w:t>
      </w:r>
      <w:r>
        <w:rPr>
          <w:rFonts w:hint="eastAsia" w:ascii="仿宋" w:hAnsi="仿宋" w:eastAsia="仿宋" w:cs="仿宋"/>
          <w:color w:val="000000"/>
          <w:kern w:val="0"/>
          <w:sz w:val="31"/>
          <w:szCs w:val="31"/>
          <w:lang w:val="en-US" w:eastAsia="zh-CN" w:bidi="ar"/>
        </w:rPr>
        <w:t>。</w:t>
      </w:r>
    </w:p>
    <w:p w14:paraId="0335943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en-US" w:eastAsia="zh-CN"/>
        </w:rPr>
        <w:t>（一）通用指标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1725DB10">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outlineLvl w:val="9"/>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w:t>
      </w:r>
      <w:r>
        <w:rPr>
          <w:rFonts w:ascii="仿宋" w:hAnsi="仿宋" w:eastAsia="仿宋" w:cs="仿宋"/>
          <w:color w:val="000000"/>
          <w:kern w:val="0"/>
          <w:sz w:val="31"/>
          <w:szCs w:val="31"/>
          <w:lang w:val="en-US" w:eastAsia="zh-CN" w:bidi="ar"/>
        </w:rPr>
        <w:t>该项目是延续性项目，设立依据充分，符合相关要求，项目</w:t>
      </w:r>
      <w:r>
        <w:rPr>
          <w:rFonts w:hint="eastAsia" w:ascii="仿宋" w:hAnsi="仿宋" w:eastAsia="仿宋" w:cs="仿宋"/>
          <w:color w:val="000000"/>
          <w:kern w:val="0"/>
          <w:sz w:val="31"/>
          <w:szCs w:val="31"/>
          <w:lang w:val="en-US" w:eastAsia="zh-CN" w:bidi="ar"/>
        </w:rPr>
        <w:t>年度绩效目标与规划一致。绩效目标科学合理、规范完整、量化细化、预算匹配。总体绩效目标设置合理。</w:t>
      </w:r>
    </w:p>
    <w:p w14:paraId="5636D500">
      <w:pPr>
        <w:keepNext w:val="0"/>
        <w:keepLines w:val="0"/>
        <w:widowControl/>
        <w:suppressLineNumbers w:val="0"/>
        <w:jc w:val="left"/>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w:t>
      </w:r>
      <w:r>
        <w:rPr>
          <w:rFonts w:ascii="仿宋" w:hAnsi="仿宋" w:eastAsia="仿宋" w:cs="仿宋"/>
          <w:color w:val="000000"/>
          <w:kern w:val="0"/>
          <w:sz w:val="31"/>
          <w:szCs w:val="31"/>
          <w:lang w:val="en-US" w:eastAsia="zh-CN" w:bidi="ar"/>
        </w:rPr>
        <w:t>资金分配严格按管理办法执行，决策程序符合管理要求，及</w:t>
      </w:r>
      <w:r>
        <w:rPr>
          <w:rFonts w:hint="eastAsia" w:ascii="仿宋" w:hAnsi="仿宋" w:eastAsia="仿宋" w:cs="仿宋"/>
          <w:color w:val="000000"/>
          <w:kern w:val="0"/>
          <w:sz w:val="31"/>
          <w:szCs w:val="31"/>
          <w:lang w:val="en-US" w:eastAsia="zh-CN" w:bidi="ar"/>
        </w:rPr>
        <w:t>时高效。按上级要求全面完成绩效目标（含事前评估）、绩效评价等预算绩效管理工作。</w:t>
      </w:r>
    </w:p>
    <w:p w14:paraId="2E977527">
      <w:pPr>
        <w:keepNext w:val="0"/>
        <w:keepLines w:val="0"/>
        <w:widowControl/>
        <w:suppressLineNumbers w:val="0"/>
        <w:jc w:val="left"/>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ascii="仿宋" w:hAnsi="仿宋" w:eastAsia="仿宋" w:cs="仿宋"/>
          <w:color w:val="000000"/>
          <w:kern w:val="0"/>
          <w:sz w:val="31"/>
          <w:szCs w:val="31"/>
          <w:lang w:val="en-US" w:eastAsia="zh-CN" w:bidi="ar"/>
        </w:rPr>
        <w:t>资金分配严格按管理办法执行，决策程序符合管理要求，及</w:t>
      </w:r>
      <w:r>
        <w:rPr>
          <w:rFonts w:hint="eastAsia" w:ascii="仿宋" w:hAnsi="仿宋" w:eastAsia="仿宋" w:cs="仿宋"/>
          <w:color w:val="000000"/>
          <w:kern w:val="0"/>
          <w:sz w:val="31"/>
          <w:szCs w:val="31"/>
          <w:lang w:val="en-US" w:eastAsia="zh-CN" w:bidi="ar"/>
        </w:rPr>
        <w:t>时高效。按上级要求全面完成绩效目标（含事前评估）、绩效评价等预算绩效管理工作。</w:t>
      </w:r>
    </w:p>
    <w:p w14:paraId="6ABE84FA">
      <w:pPr>
        <w:keepNext w:val="0"/>
        <w:keepLines w:val="0"/>
        <w:widowControl/>
        <w:suppressLineNumbers w:val="0"/>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w:t>
      </w:r>
      <w:r>
        <w:rPr>
          <w:rFonts w:hint="eastAsia" w:ascii="仿宋" w:hAnsi="仿宋" w:eastAsia="仿宋" w:cs="仿宋"/>
          <w:color w:val="000000"/>
          <w:kern w:val="0"/>
          <w:sz w:val="31"/>
          <w:szCs w:val="31"/>
          <w:lang w:val="en-US" w:eastAsia="zh-CN" w:bidi="ar"/>
        </w:rPr>
        <w:t xml:space="preserve">满足群众便捷办事要求，推进了我县分站点系统建设。预算执行率 </w:t>
      </w:r>
      <w:r>
        <w:rPr>
          <w:rFonts w:hint="default" w:ascii="Times New Roman" w:hAnsi="Times New Roman" w:eastAsia="宋体" w:cs="Times New Roman"/>
          <w:color w:val="000000"/>
          <w:kern w:val="0"/>
          <w:sz w:val="31"/>
          <w:szCs w:val="31"/>
          <w:lang w:val="en-US" w:eastAsia="zh-CN" w:bidi="ar"/>
        </w:rPr>
        <w:t>100%</w:t>
      </w:r>
      <w:r>
        <w:rPr>
          <w:rFonts w:hint="eastAsia" w:ascii="仿宋" w:hAnsi="仿宋" w:eastAsia="仿宋" w:cs="仿宋"/>
          <w:color w:val="000000"/>
          <w:kern w:val="0"/>
          <w:sz w:val="31"/>
          <w:szCs w:val="31"/>
          <w:lang w:val="en-US" w:eastAsia="zh-CN" w:bidi="ar"/>
        </w:rPr>
        <w:t xml:space="preserve">，年末无结转结余。自评得分100分。 </w:t>
      </w:r>
    </w:p>
    <w:p w14:paraId="7B769627">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 w:hAnsi="仿宋" w:eastAsia="仿宋" w:cs="仿宋"/>
          <w:color w:val="000000"/>
          <w:kern w:val="0"/>
          <w:sz w:val="30"/>
          <w:szCs w:val="30"/>
          <w:lang w:val="en-US" w:eastAsia="zh-CN" w:bidi="ar"/>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ascii="仿宋" w:hAnsi="仿宋" w:eastAsia="仿宋" w:cs="仿宋"/>
          <w:color w:val="000000"/>
          <w:kern w:val="0"/>
          <w:sz w:val="30"/>
          <w:szCs w:val="30"/>
          <w:lang w:val="en-US" w:eastAsia="zh-CN" w:bidi="ar"/>
        </w:rPr>
        <w:t>本项目不涉及专用项目指标。</w:t>
      </w:r>
    </w:p>
    <w:p w14:paraId="15ACEB95">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0E675C08">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如下表所示：</w:t>
      </w:r>
    </w:p>
    <w:p w14:paraId="7B74DF4B">
      <w:pPr>
        <w:pStyle w:val="2"/>
        <w:rPr>
          <w:rFonts w:hint="eastAsia" w:ascii="Times New Roman" w:hAnsi="Times New Roman" w:eastAsia="黑体" w:cs="黑体"/>
          <w:color w:val="auto"/>
          <w:kern w:val="0"/>
          <w:sz w:val="32"/>
          <w:szCs w:val="32"/>
          <w:highlight w:val="none"/>
          <w:shd w:val="clear" w:color="auto" w:fill="FFFFFF"/>
          <w:lang w:val="zh-CN"/>
        </w:rPr>
      </w:pPr>
    </w:p>
    <w:tbl>
      <w:tblPr>
        <w:tblStyle w:val="16"/>
        <w:tblW w:w="112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476"/>
        <w:gridCol w:w="1302"/>
        <w:gridCol w:w="1533"/>
        <w:gridCol w:w="468"/>
        <w:gridCol w:w="1496"/>
        <w:gridCol w:w="468"/>
        <w:gridCol w:w="994"/>
        <w:gridCol w:w="453"/>
        <w:gridCol w:w="551"/>
        <w:gridCol w:w="1903"/>
      </w:tblGrid>
      <w:tr w14:paraId="671F6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1229" w:type="dxa"/>
            <w:gridSpan w:val="11"/>
            <w:tcBorders>
              <w:top w:val="nil"/>
              <w:left w:val="nil"/>
              <w:bottom w:val="nil"/>
              <w:right w:val="nil"/>
            </w:tcBorders>
            <w:shd w:val="clear" w:color="auto" w:fill="auto"/>
            <w:vAlign w:val="center"/>
          </w:tcPr>
          <w:p w14:paraId="71FAFEE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部门预算项目支出绩效自评表</w:t>
            </w:r>
          </w:p>
        </w:tc>
      </w:tr>
      <w:tr w14:paraId="6A53E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0F3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B470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四川政务服务网沐川分站点</w:t>
            </w:r>
          </w:p>
        </w:tc>
      </w:tr>
      <w:tr w14:paraId="506A8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E6A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3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E2B8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沐川县财政局</w:t>
            </w:r>
          </w:p>
        </w:tc>
        <w:tc>
          <w:tcPr>
            <w:tcW w:w="996" w:type="dxa"/>
            <w:tcBorders>
              <w:top w:val="nil"/>
              <w:left w:val="nil"/>
              <w:bottom w:val="nil"/>
              <w:right w:val="nil"/>
            </w:tcBorders>
            <w:shd w:val="clear" w:color="auto" w:fill="auto"/>
            <w:vAlign w:val="center"/>
          </w:tcPr>
          <w:p w14:paraId="3D57C1ED">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实施单位 </w:t>
            </w:r>
          </w:p>
        </w:tc>
        <w:tc>
          <w:tcPr>
            <w:tcW w:w="29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4D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沐川县行政审批局</w:t>
            </w:r>
          </w:p>
        </w:tc>
      </w:tr>
      <w:tr w14:paraId="127D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C6F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B86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3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BC1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7F89B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5D82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7A56C">
            <w:pP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F61A1">
            <w:pPr>
              <w:rPr>
                <w:rFonts w:hint="eastAsia" w:ascii="宋体" w:hAnsi="宋体" w:eastAsia="宋体" w:cs="宋体"/>
                <w:i w:val="0"/>
                <w:iCs w:val="0"/>
                <w:color w:val="000000"/>
                <w:sz w:val="18"/>
                <w:szCs w:val="18"/>
                <w:u w:val="none"/>
              </w:rPr>
            </w:pPr>
          </w:p>
        </w:tc>
        <w:tc>
          <w:tcPr>
            <w:tcW w:w="53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BFB4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四川省大数据中心《四川省2023年“一网通办”重点工作任务》和乐山市营商环境服务管理局《关于印发2023年工作要点的通知》精神，为在“天府通办”APP上线更多高频应用，更好满足群众便捷办事要求，推进我县分站点系统建设。</w:t>
            </w:r>
          </w:p>
        </w:tc>
        <w:tc>
          <w:tcPr>
            <w:tcW w:w="39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7F20F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更好满足群众便捷办事要求，完成我县分站点系统建设。</w:t>
            </w:r>
          </w:p>
        </w:tc>
      </w:tr>
      <w:tr w14:paraId="67B4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945BC">
            <w:pP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39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B3B2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四川省大数据中心《四川省2023年“一网通办”重点工作任务》和乐山市营商环境服务管理局《关于印发2023年工作要点的通知》精神，为在“天府通办”APP上线更多高频应用，更好满足群众便捷办事要求，推进我县分站点系统建设。</w:t>
            </w:r>
          </w:p>
        </w:tc>
      </w:tr>
      <w:tr w14:paraId="1BEA1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06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9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   （万元）</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E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B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947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6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1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8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2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229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F083B">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2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9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D47A">
            <w:pPr>
              <w:jc w:val="center"/>
              <w:rPr>
                <w:rFonts w:hint="eastAsia" w:ascii="宋体" w:hAnsi="宋体" w:eastAsia="宋体" w:cs="宋体"/>
                <w:i w:val="0"/>
                <w:iCs w:val="0"/>
                <w:color w:val="000000"/>
                <w:sz w:val="18"/>
                <w:szCs w:val="18"/>
                <w:u w:val="none"/>
              </w:rPr>
            </w:pPr>
          </w:p>
        </w:tc>
        <w:tc>
          <w:tcPr>
            <w:tcW w:w="24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5A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C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1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3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3B80E">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更好满足群众便捷办事要求，完成我县分站点系统建设。经过进一步协商价格下调。</w:t>
            </w:r>
          </w:p>
        </w:tc>
      </w:tr>
      <w:tr w14:paraId="730C5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9EEB7">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A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B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0CD4">
            <w:pPr>
              <w:jc w:val="center"/>
              <w:rPr>
                <w:rFonts w:hint="eastAsia" w:ascii="宋体" w:hAnsi="宋体" w:eastAsia="宋体" w:cs="宋体"/>
                <w:i w:val="0"/>
                <w:iCs w:val="0"/>
                <w:color w:val="000000"/>
                <w:sz w:val="18"/>
                <w:szCs w:val="18"/>
                <w:u w:val="none"/>
              </w:rPr>
            </w:pPr>
          </w:p>
        </w:tc>
        <w:tc>
          <w:tcPr>
            <w:tcW w:w="24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AA0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2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A5FC">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17E1">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93DC8">
            <w:pPr>
              <w:rPr>
                <w:rFonts w:hint="eastAsia" w:ascii="黑体" w:hAnsi="黑体" w:eastAsia="黑体" w:cs="黑体"/>
                <w:i w:val="0"/>
                <w:iCs w:val="0"/>
                <w:color w:val="000000"/>
                <w:sz w:val="16"/>
                <w:szCs w:val="16"/>
                <w:u w:val="none"/>
              </w:rPr>
            </w:pPr>
          </w:p>
        </w:tc>
      </w:tr>
      <w:tr w14:paraId="3693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05693">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9808">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8717">
            <w:pPr>
              <w:jc w:val="center"/>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C7AB">
            <w:pPr>
              <w:jc w:val="center"/>
              <w:rPr>
                <w:rFonts w:hint="eastAsia" w:ascii="宋体" w:hAnsi="宋体" w:eastAsia="宋体" w:cs="宋体"/>
                <w:i w:val="0"/>
                <w:iCs w:val="0"/>
                <w:color w:val="000000"/>
                <w:sz w:val="18"/>
                <w:szCs w:val="18"/>
                <w:u w:val="none"/>
              </w:rPr>
            </w:pPr>
          </w:p>
        </w:tc>
        <w:tc>
          <w:tcPr>
            <w:tcW w:w="24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4C329">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8CD4">
            <w:pPr>
              <w:jc w:val="center"/>
              <w:rPr>
                <w:rFonts w:hint="eastAsia" w:ascii="宋体" w:hAnsi="宋体" w:eastAsia="宋体" w:cs="宋体"/>
                <w:i w:val="0"/>
                <w:iCs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FC194">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360F">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E9681">
            <w:pPr>
              <w:rPr>
                <w:rFonts w:hint="eastAsia" w:ascii="黑体" w:hAnsi="黑体" w:eastAsia="黑体" w:cs="黑体"/>
                <w:i w:val="0"/>
                <w:iCs w:val="0"/>
                <w:color w:val="000000"/>
                <w:sz w:val="16"/>
                <w:szCs w:val="16"/>
                <w:u w:val="none"/>
              </w:rPr>
            </w:pPr>
          </w:p>
        </w:tc>
      </w:tr>
      <w:tr w14:paraId="339C7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79620">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D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CF78">
            <w:pPr>
              <w:jc w:val="center"/>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579F">
            <w:pPr>
              <w:jc w:val="center"/>
              <w:rPr>
                <w:rFonts w:hint="eastAsia" w:ascii="宋体" w:hAnsi="宋体" w:eastAsia="宋体" w:cs="宋体"/>
                <w:i w:val="0"/>
                <w:iCs w:val="0"/>
                <w:color w:val="000000"/>
                <w:sz w:val="18"/>
                <w:szCs w:val="18"/>
                <w:u w:val="none"/>
              </w:rPr>
            </w:pPr>
          </w:p>
        </w:tc>
        <w:tc>
          <w:tcPr>
            <w:tcW w:w="24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CF038">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6640">
            <w:pPr>
              <w:jc w:val="center"/>
              <w:rPr>
                <w:rFonts w:hint="eastAsia" w:ascii="宋体" w:hAnsi="宋体" w:eastAsia="宋体" w:cs="宋体"/>
                <w:i w:val="0"/>
                <w:iCs w:val="0"/>
                <w:color w:val="000000"/>
                <w:sz w:val="18"/>
                <w:szCs w:val="18"/>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3F8B">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9934">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E6866">
            <w:pPr>
              <w:rPr>
                <w:rFonts w:hint="eastAsia" w:ascii="黑体" w:hAnsi="黑体" w:eastAsia="黑体" w:cs="黑体"/>
                <w:i w:val="0"/>
                <w:iCs w:val="0"/>
                <w:color w:val="000000"/>
                <w:sz w:val="16"/>
                <w:szCs w:val="16"/>
                <w:u w:val="none"/>
              </w:rPr>
            </w:pPr>
          </w:p>
        </w:tc>
      </w:tr>
      <w:tr w14:paraId="56DF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8381C">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A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1866">
            <w:pPr>
              <w:jc w:val="center"/>
              <w:rPr>
                <w:rFonts w:hint="eastAsia" w:ascii="微软雅黑" w:hAnsi="微软雅黑" w:eastAsia="微软雅黑" w:cs="微软雅黑"/>
                <w:i/>
                <w:iCs/>
                <w:color w:val="000000"/>
                <w:sz w:val="16"/>
                <w:szCs w:val="16"/>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E3D8">
            <w:pPr>
              <w:jc w:val="center"/>
              <w:rPr>
                <w:rFonts w:hint="eastAsia" w:ascii="微软雅黑" w:hAnsi="微软雅黑" w:eastAsia="微软雅黑" w:cs="微软雅黑"/>
                <w:i/>
                <w:iCs/>
                <w:color w:val="000000"/>
                <w:sz w:val="16"/>
                <w:szCs w:val="16"/>
                <w:u w:val="none"/>
              </w:rPr>
            </w:pPr>
          </w:p>
        </w:tc>
        <w:tc>
          <w:tcPr>
            <w:tcW w:w="24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3518A">
            <w:pPr>
              <w:jc w:val="center"/>
              <w:rPr>
                <w:rFonts w:hint="eastAsia" w:ascii="微软雅黑" w:hAnsi="微软雅黑" w:eastAsia="微软雅黑" w:cs="微软雅黑"/>
                <w:i/>
                <w:iCs/>
                <w:color w:val="000000"/>
                <w:sz w:val="16"/>
                <w:szCs w:val="16"/>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B44C">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601E">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5A81">
            <w:pPr>
              <w:jc w:val="center"/>
              <w:rPr>
                <w:rFonts w:hint="eastAsia" w:ascii="宋体" w:hAnsi="宋体" w:eastAsia="宋体" w:cs="宋体"/>
                <w:i w:val="0"/>
                <w:iCs w:val="0"/>
                <w:color w:val="000000"/>
                <w:sz w:val="18"/>
                <w:szCs w:val="18"/>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CA674">
            <w:pPr>
              <w:rPr>
                <w:rFonts w:hint="eastAsia" w:ascii="黑体" w:hAnsi="黑体" w:eastAsia="黑体" w:cs="黑体"/>
                <w:i w:val="0"/>
                <w:iCs w:val="0"/>
                <w:color w:val="000000"/>
                <w:sz w:val="16"/>
                <w:szCs w:val="16"/>
                <w:u w:val="none"/>
              </w:rPr>
            </w:pPr>
          </w:p>
        </w:tc>
      </w:tr>
      <w:tr w14:paraId="2E36D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F3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F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B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B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0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A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9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F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4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5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1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149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E7045">
            <w:pPr>
              <w:jc w:val="center"/>
              <w:rPr>
                <w:rFonts w:hint="eastAsia" w:ascii="宋体" w:hAnsi="宋体" w:eastAsia="宋体" w:cs="宋体"/>
                <w:i w:val="0"/>
                <w:iCs w:val="0"/>
                <w:color w:val="000000"/>
                <w:sz w:val="18"/>
                <w:szCs w:val="18"/>
                <w:u w:val="none"/>
              </w:rPr>
            </w:pP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95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F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C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评估报告数量</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D573">
            <w:pPr>
              <w:keepNext w:val="0"/>
              <w:keepLines w:val="0"/>
              <w:widowControl/>
              <w:suppressLineNumbers w:val="0"/>
              <w:jc w:val="center"/>
              <w:textAlignment w:val="center"/>
              <w:rPr>
                <w:rFonts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3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3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C6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3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7751">
            <w:pPr>
              <w:jc w:val="center"/>
              <w:rPr>
                <w:rFonts w:hint="eastAsia" w:ascii="微软雅黑" w:hAnsi="微软雅黑" w:eastAsia="微软雅黑" w:cs="微软雅黑"/>
                <w:i/>
                <w:iCs/>
                <w:color w:val="000000"/>
                <w:sz w:val="16"/>
                <w:szCs w:val="16"/>
                <w:u w:val="none"/>
              </w:rPr>
            </w:pPr>
          </w:p>
        </w:tc>
      </w:tr>
      <w:tr w14:paraId="32542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17B37">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098FD">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D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06DE">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5FFD">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7313">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825A">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249A">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7162">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7C19">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3234">
            <w:pPr>
              <w:jc w:val="center"/>
              <w:rPr>
                <w:rFonts w:hint="eastAsia" w:ascii="微软雅黑" w:hAnsi="微软雅黑" w:eastAsia="微软雅黑" w:cs="微软雅黑"/>
                <w:i/>
                <w:iCs/>
                <w:color w:val="000000"/>
                <w:sz w:val="16"/>
                <w:szCs w:val="16"/>
                <w:u w:val="none"/>
              </w:rPr>
            </w:pPr>
          </w:p>
        </w:tc>
      </w:tr>
      <w:tr w14:paraId="2DE61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27B06">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88DB7">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9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6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信访事项按期办结率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DF00">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0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5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EA3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E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A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29FE">
            <w:pPr>
              <w:jc w:val="center"/>
              <w:rPr>
                <w:rFonts w:hint="eastAsia" w:ascii="微软雅黑" w:hAnsi="微软雅黑" w:eastAsia="微软雅黑" w:cs="微软雅黑"/>
                <w:i/>
                <w:iCs/>
                <w:color w:val="000000"/>
                <w:sz w:val="16"/>
                <w:szCs w:val="16"/>
                <w:u w:val="none"/>
              </w:rPr>
            </w:pPr>
          </w:p>
        </w:tc>
      </w:tr>
      <w:tr w14:paraId="64ECF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746C1">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EE05B">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C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3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信访事项按期受理率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870D">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0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C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C59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E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E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5F12">
            <w:pPr>
              <w:jc w:val="center"/>
              <w:rPr>
                <w:rFonts w:hint="eastAsia" w:ascii="微软雅黑" w:hAnsi="微软雅黑" w:eastAsia="微软雅黑" w:cs="微软雅黑"/>
                <w:i/>
                <w:iCs/>
                <w:color w:val="000000"/>
                <w:sz w:val="16"/>
                <w:szCs w:val="16"/>
                <w:u w:val="none"/>
              </w:rPr>
            </w:pPr>
          </w:p>
        </w:tc>
      </w:tr>
      <w:tr w14:paraId="245A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3F24C">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3F6D3">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D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5D41">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775B">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63F9">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6511">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CE26">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33E9">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0B23">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C0D5">
            <w:pPr>
              <w:jc w:val="center"/>
              <w:rPr>
                <w:rFonts w:hint="eastAsia" w:ascii="微软雅黑" w:hAnsi="微软雅黑" w:eastAsia="微软雅黑" w:cs="微软雅黑"/>
                <w:i/>
                <w:iCs/>
                <w:color w:val="000000"/>
                <w:sz w:val="16"/>
                <w:szCs w:val="16"/>
                <w:u w:val="none"/>
              </w:rPr>
            </w:pPr>
          </w:p>
        </w:tc>
      </w:tr>
      <w:tr w14:paraId="3DF5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FC59D">
            <w:pPr>
              <w:jc w:val="center"/>
              <w:rPr>
                <w:rFonts w:hint="eastAsia" w:ascii="宋体" w:hAnsi="宋体" w:eastAsia="宋体" w:cs="宋体"/>
                <w:i w:val="0"/>
                <w:iCs w:val="0"/>
                <w:color w:val="000000"/>
                <w:sz w:val="18"/>
                <w:szCs w:val="18"/>
                <w:u w:val="none"/>
              </w:rPr>
            </w:pP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60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9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90ABF">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C42C">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2159">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2A89">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E993">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A520">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4781">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BC6F">
            <w:pPr>
              <w:jc w:val="center"/>
              <w:rPr>
                <w:rFonts w:hint="eastAsia" w:ascii="微软雅黑" w:hAnsi="微软雅黑" w:eastAsia="微软雅黑" w:cs="微软雅黑"/>
                <w:i/>
                <w:iCs/>
                <w:color w:val="000000"/>
                <w:sz w:val="16"/>
                <w:szCs w:val="16"/>
                <w:u w:val="none"/>
              </w:rPr>
            </w:pPr>
          </w:p>
        </w:tc>
      </w:tr>
      <w:tr w14:paraId="7F9F1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E8DA8">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EA039">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B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9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实地督查结果网上公开率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0D01">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F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3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EB7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1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5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A205">
            <w:pPr>
              <w:jc w:val="center"/>
              <w:rPr>
                <w:rFonts w:hint="eastAsia" w:ascii="微软雅黑" w:hAnsi="微软雅黑" w:eastAsia="微软雅黑" w:cs="微软雅黑"/>
                <w:i/>
                <w:iCs/>
                <w:color w:val="000000"/>
                <w:sz w:val="16"/>
                <w:szCs w:val="16"/>
                <w:u w:val="none"/>
              </w:rPr>
            </w:pPr>
          </w:p>
        </w:tc>
      </w:tr>
      <w:tr w14:paraId="62C9F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8F877">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4E192">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1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55BD">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E781">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9D6C">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F239">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B3F2">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4245">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523EA">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2935">
            <w:pPr>
              <w:jc w:val="center"/>
              <w:rPr>
                <w:rFonts w:hint="eastAsia" w:ascii="微软雅黑" w:hAnsi="微软雅黑" w:eastAsia="微软雅黑" w:cs="微软雅黑"/>
                <w:i/>
                <w:iCs/>
                <w:color w:val="000000"/>
                <w:sz w:val="16"/>
                <w:szCs w:val="16"/>
                <w:u w:val="none"/>
              </w:rPr>
            </w:pPr>
          </w:p>
        </w:tc>
      </w:tr>
      <w:tr w14:paraId="10472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006D8">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CADBB">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77C9">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可持续影响指标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A0E1">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E70E">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7B8E">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B806">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21A8">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6D39">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401A">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4EB6">
            <w:pPr>
              <w:jc w:val="center"/>
              <w:rPr>
                <w:rFonts w:hint="eastAsia" w:ascii="微软雅黑" w:hAnsi="微软雅黑" w:eastAsia="微软雅黑" w:cs="微软雅黑"/>
                <w:i/>
                <w:iCs/>
                <w:color w:val="000000"/>
                <w:sz w:val="16"/>
                <w:szCs w:val="16"/>
                <w:u w:val="none"/>
              </w:rPr>
            </w:pPr>
          </w:p>
        </w:tc>
      </w:tr>
      <w:tr w14:paraId="1815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D7A11">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D07B2">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4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680D">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1703">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2E30">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A763">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8F4B">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CB05">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FADB">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5479">
            <w:pPr>
              <w:jc w:val="center"/>
              <w:rPr>
                <w:rFonts w:hint="eastAsia" w:ascii="微软雅黑" w:hAnsi="微软雅黑" w:eastAsia="微软雅黑" w:cs="微软雅黑"/>
                <w:i/>
                <w:iCs/>
                <w:color w:val="000000"/>
                <w:sz w:val="16"/>
                <w:szCs w:val="16"/>
                <w:u w:val="none"/>
              </w:rPr>
            </w:pPr>
          </w:p>
        </w:tc>
      </w:tr>
      <w:tr w14:paraId="6A6A1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05987">
            <w:pPr>
              <w:jc w:val="center"/>
              <w:rPr>
                <w:rFonts w:hint="eastAsia" w:ascii="宋体" w:hAnsi="宋体" w:eastAsia="宋体" w:cs="宋体"/>
                <w:i w:val="0"/>
                <w:iCs w:val="0"/>
                <w:color w:val="000000"/>
                <w:sz w:val="18"/>
                <w:szCs w:val="18"/>
                <w:u w:val="none"/>
              </w:rPr>
            </w:pP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EC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6D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1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信访事项处理群众满意率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4F31">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E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9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BF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6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8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4639">
            <w:pPr>
              <w:jc w:val="center"/>
              <w:rPr>
                <w:rFonts w:hint="eastAsia" w:ascii="微软雅黑" w:hAnsi="微软雅黑" w:eastAsia="微软雅黑" w:cs="微软雅黑"/>
                <w:i/>
                <w:iCs/>
                <w:color w:val="000000"/>
                <w:sz w:val="16"/>
                <w:szCs w:val="16"/>
                <w:u w:val="none"/>
              </w:rPr>
            </w:pPr>
          </w:p>
        </w:tc>
      </w:tr>
      <w:tr w14:paraId="3490A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1E46B">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7DFA9">
            <w:pPr>
              <w:jc w:val="center"/>
              <w:rPr>
                <w:rFonts w:hint="eastAsia" w:ascii="宋体" w:hAnsi="宋体" w:eastAsia="宋体" w:cs="宋体"/>
                <w:i w:val="0"/>
                <w:iCs w:val="0"/>
                <w:color w:val="000000"/>
                <w:sz w:val="18"/>
                <w:szCs w:val="18"/>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1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C8F3">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E5B6">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6A2B">
            <w:pPr>
              <w:jc w:val="center"/>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6143">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572B">
            <w:pPr>
              <w:jc w:val="center"/>
              <w:rPr>
                <w:rFonts w:hint="eastAsia" w:ascii="微软雅黑" w:hAnsi="微软雅黑" w:eastAsia="微软雅黑" w:cs="微软雅黑"/>
                <w:i/>
                <w:iCs/>
                <w:color w:val="000000"/>
                <w:sz w:val="16"/>
                <w:szCs w:val="16"/>
                <w:u w:val="none"/>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BBEA">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5DC1">
            <w:pPr>
              <w:jc w:val="center"/>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EBF1">
            <w:pPr>
              <w:jc w:val="center"/>
              <w:rPr>
                <w:rFonts w:hint="eastAsia" w:ascii="微软雅黑" w:hAnsi="微软雅黑" w:eastAsia="微软雅黑" w:cs="微软雅黑"/>
                <w:i/>
                <w:iCs/>
                <w:color w:val="000000"/>
                <w:sz w:val="16"/>
                <w:szCs w:val="16"/>
                <w:u w:val="none"/>
              </w:rPr>
            </w:pPr>
          </w:p>
        </w:tc>
      </w:tr>
      <w:tr w14:paraId="67EC0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30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220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FA6F">
            <w:pPr>
              <w:jc w:val="center"/>
              <w:rPr>
                <w:rFonts w:hint="eastAsia" w:ascii="宋体" w:hAnsi="宋体" w:eastAsia="宋体" w:cs="宋体"/>
                <w:i w:val="0"/>
                <w:iCs w:val="0"/>
                <w:color w:val="000000"/>
                <w:sz w:val="18"/>
                <w:szCs w:val="18"/>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9EC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9D94">
            <w:pPr>
              <w:rPr>
                <w:rFonts w:hint="eastAsia" w:ascii="宋体" w:hAnsi="宋体" w:eastAsia="宋体" w:cs="宋体"/>
                <w:i w:val="0"/>
                <w:iCs w:val="0"/>
                <w:color w:val="000000"/>
                <w:sz w:val="18"/>
                <w:szCs w:val="18"/>
                <w:u w:val="none"/>
              </w:rPr>
            </w:pPr>
          </w:p>
        </w:tc>
      </w:tr>
      <w:tr w14:paraId="7A817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5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7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79BDB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四川省大数据中心《四川省2023年“一网通办”重点工作任务》和乐山市营商环境服务管理局《关于印发2023年工作要点的通知》精神，为在“天府通办”APP上线更多高频应用，更好满足群众便捷办事要求，推进我县分站点系统建设。</w:t>
            </w:r>
          </w:p>
        </w:tc>
      </w:tr>
      <w:tr w14:paraId="25801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5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7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C51B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EE3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7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7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BDDC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F496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3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6725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项目负责人：罗国建</w:t>
            </w:r>
          </w:p>
        </w:tc>
        <w:tc>
          <w:tcPr>
            <w:tcW w:w="59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4424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财务负责人：李世文</w:t>
            </w:r>
          </w:p>
        </w:tc>
      </w:tr>
    </w:tbl>
    <w:p w14:paraId="18DF6552">
      <w:pPr>
        <w:pStyle w:val="2"/>
        <w:rPr>
          <w:rFonts w:hint="eastAsia" w:ascii="Times New Roman" w:hAnsi="Times New Roman" w:eastAsia="黑体" w:cs="黑体"/>
          <w:color w:val="auto"/>
          <w:kern w:val="0"/>
          <w:sz w:val="32"/>
          <w:szCs w:val="32"/>
          <w:highlight w:val="none"/>
          <w:shd w:val="clear" w:color="auto" w:fill="FFFFFF"/>
          <w:lang w:val="zh-CN"/>
        </w:rPr>
      </w:pPr>
    </w:p>
    <w:p w14:paraId="2A0FB100">
      <w:pPr>
        <w:keepNext w:val="0"/>
        <w:keepLines w:val="0"/>
        <w:pageBreakBefore w:val="0"/>
        <w:widowControl w:val="0"/>
        <w:numPr>
          <w:ilvl w:val="0"/>
          <w:numId w:val="5"/>
        </w:numPr>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评价结论</w:t>
      </w:r>
    </w:p>
    <w:p w14:paraId="46B01EE4">
      <w:pPr>
        <w:pStyle w:val="2"/>
        <w:numPr>
          <w:ilvl w:val="0"/>
          <w:numId w:val="0"/>
        </w:numPr>
        <w:ind w:firstLine="620" w:firstLineChars="200"/>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根据四川省大数据中心《四川省2023年“一网通办”重点工作任务》和乐山市营商环境服务管理局《关于印发2023年工作要点的通知》精神，为在“天府通办”APP上线更多高频应用，更好满足群众便捷办事要求，完成推进我县分站点系统建设。</w:t>
      </w:r>
    </w:p>
    <w:p w14:paraId="4B97219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3DB7378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无</w:t>
      </w:r>
    </w:p>
    <w:p w14:paraId="0B94246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78A475E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无</w:t>
      </w:r>
    </w:p>
    <w:p w14:paraId="0426FEFC">
      <w:pPr>
        <w:pStyle w:val="2"/>
        <w:rPr>
          <w:rFonts w:hint="eastAsia" w:ascii="Times New Roman" w:hAnsi="Times New Roman" w:eastAsia="黑体" w:cs="黑体"/>
          <w:color w:val="auto"/>
          <w:kern w:val="0"/>
          <w:sz w:val="32"/>
          <w:szCs w:val="32"/>
          <w:highlight w:val="none"/>
          <w:shd w:val="clear" w:color="auto" w:fill="FFFFFF"/>
          <w:lang w:val="zh-CN"/>
        </w:rPr>
      </w:pPr>
    </w:p>
    <w:p w14:paraId="33A1290D">
      <w:pPr>
        <w:pStyle w:val="2"/>
        <w:rPr>
          <w:rFonts w:hint="eastAsia" w:ascii="Times New Roman" w:hAnsi="Times New Roman" w:eastAsia="黑体" w:cs="黑体"/>
          <w:color w:val="auto"/>
          <w:kern w:val="0"/>
          <w:sz w:val="32"/>
          <w:szCs w:val="32"/>
          <w:highlight w:val="none"/>
          <w:shd w:val="clear" w:color="auto" w:fill="FFFFFF"/>
          <w:lang w:val="zh-CN"/>
        </w:rPr>
      </w:pPr>
    </w:p>
    <w:p w14:paraId="336192C5">
      <w:pPr>
        <w:pStyle w:val="2"/>
        <w:rPr>
          <w:rFonts w:hint="eastAsia" w:ascii="Times New Roman" w:hAnsi="Times New Roman" w:eastAsia="黑体" w:cs="黑体"/>
          <w:color w:val="auto"/>
          <w:kern w:val="0"/>
          <w:sz w:val="32"/>
          <w:szCs w:val="32"/>
          <w:highlight w:val="none"/>
          <w:shd w:val="clear" w:color="auto" w:fill="FFFFFF"/>
          <w:lang w:val="zh-CN"/>
        </w:rPr>
      </w:pPr>
    </w:p>
    <w:p w14:paraId="106CF203">
      <w:pPr>
        <w:widowControl/>
        <w:jc w:val="center"/>
        <w:rPr>
          <w:rFonts w:hint="eastAsia" w:ascii="Times New Roman" w:hAnsi="Times New Roman" w:eastAsia="仿宋"/>
          <w:b w:val="0"/>
          <w:color w:val="auto"/>
          <w:highlight w:val="none"/>
        </w:rPr>
      </w:pPr>
      <w:bookmarkStart w:id="54" w:name="_Toc15396618"/>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2"/>
      <w:bookmarkEnd w:id="54"/>
      <w:bookmarkStart w:id="55" w:name="_Toc15396619"/>
    </w:p>
    <w:p w14:paraId="139291D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06E9667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5"/>
    </w:p>
    <w:p w14:paraId="593BB76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0"/>
      <w:r>
        <w:rPr>
          <w:rFonts w:hint="eastAsia" w:ascii="Times New Roman" w:hAnsi="Times New Roman" w:eastAsia="仿宋_GB2312" w:cs="仿宋_GB2312"/>
          <w:color w:val="auto"/>
          <w:sz w:val="32"/>
          <w:szCs w:val="32"/>
          <w:highlight w:val="none"/>
        </w:rPr>
        <w:t>二、收入决算表</w:t>
      </w:r>
      <w:bookmarkEnd w:id="56"/>
    </w:p>
    <w:p w14:paraId="03E711F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1"/>
      <w:r>
        <w:rPr>
          <w:rFonts w:hint="eastAsia" w:ascii="Times New Roman" w:hAnsi="Times New Roman" w:eastAsia="仿宋_GB2312" w:cs="仿宋_GB2312"/>
          <w:color w:val="auto"/>
          <w:sz w:val="32"/>
          <w:szCs w:val="32"/>
          <w:highlight w:val="none"/>
        </w:rPr>
        <w:t>三、支出决算表</w:t>
      </w:r>
      <w:bookmarkEnd w:id="57"/>
    </w:p>
    <w:p w14:paraId="05DD5EB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2"/>
      <w:r>
        <w:rPr>
          <w:rFonts w:hint="eastAsia" w:ascii="Times New Roman" w:hAnsi="Times New Roman" w:eastAsia="仿宋_GB2312" w:cs="仿宋_GB2312"/>
          <w:color w:val="auto"/>
          <w:sz w:val="32"/>
          <w:szCs w:val="32"/>
          <w:highlight w:val="none"/>
        </w:rPr>
        <w:t>四、财政拨款收入支出决算总表</w:t>
      </w:r>
      <w:bookmarkEnd w:id="58"/>
    </w:p>
    <w:p w14:paraId="7E6AB0D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3"/>
      <w:r>
        <w:rPr>
          <w:rFonts w:hint="eastAsia" w:ascii="Times New Roman" w:hAnsi="Times New Roman" w:eastAsia="仿宋_GB2312" w:cs="仿宋_GB2312"/>
          <w:color w:val="auto"/>
          <w:sz w:val="32"/>
          <w:szCs w:val="32"/>
          <w:highlight w:val="none"/>
        </w:rPr>
        <w:t>五、财政拨款支出决算明细表</w:t>
      </w:r>
      <w:bookmarkEnd w:id="59"/>
      <w:bookmarkStart w:id="60" w:name="_Toc15396624"/>
    </w:p>
    <w:p w14:paraId="7AC83B3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0"/>
    </w:p>
    <w:p w14:paraId="0BD6E66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5"/>
      <w:r>
        <w:rPr>
          <w:rFonts w:hint="eastAsia" w:ascii="Times New Roman" w:hAnsi="Times New Roman" w:eastAsia="仿宋_GB2312" w:cs="仿宋_GB2312"/>
          <w:color w:val="auto"/>
          <w:sz w:val="32"/>
          <w:szCs w:val="32"/>
          <w:highlight w:val="none"/>
        </w:rPr>
        <w:t>七、一般公共预算财政拨款支出决算明细表</w:t>
      </w:r>
      <w:bookmarkEnd w:id="61"/>
    </w:p>
    <w:p w14:paraId="44B28B2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6"/>
      <w:r>
        <w:rPr>
          <w:rFonts w:hint="eastAsia" w:ascii="Times New Roman" w:hAnsi="Times New Roman" w:eastAsia="仿宋_GB2312" w:cs="仿宋_GB2312"/>
          <w:color w:val="auto"/>
          <w:sz w:val="32"/>
          <w:szCs w:val="32"/>
          <w:highlight w:val="none"/>
        </w:rPr>
        <w:t>八、一般公共预算财政拨款基本支出决算表</w:t>
      </w:r>
      <w:bookmarkEnd w:id="62"/>
    </w:p>
    <w:p w14:paraId="6C3D21B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7"/>
      <w:r>
        <w:rPr>
          <w:rFonts w:hint="eastAsia" w:ascii="Times New Roman" w:hAnsi="Times New Roman" w:eastAsia="仿宋_GB2312" w:cs="仿宋_GB2312"/>
          <w:color w:val="auto"/>
          <w:sz w:val="32"/>
          <w:szCs w:val="32"/>
          <w:highlight w:val="none"/>
        </w:rPr>
        <w:t>九、一般公共预算财政拨款项目支出决算表</w:t>
      </w:r>
      <w:bookmarkEnd w:id="63"/>
    </w:p>
    <w:p w14:paraId="23A2A8A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8"/>
      <w:r>
        <w:rPr>
          <w:rFonts w:hint="eastAsia" w:ascii="Times New Roman" w:hAnsi="Times New Roman" w:eastAsia="仿宋_GB2312" w:cs="仿宋_GB2312"/>
          <w:color w:val="auto"/>
          <w:sz w:val="32"/>
          <w:szCs w:val="32"/>
          <w:highlight w:val="none"/>
        </w:rPr>
        <w:t>十、</w:t>
      </w:r>
      <w:bookmarkEnd w:id="64"/>
      <w:r>
        <w:rPr>
          <w:rFonts w:hint="eastAsia" w:ascii="Times New Roman" w:hAnsi="Times New Roman" w:eastAsia="仿宋_GB2312" w:cs="仿宋_GB2312"/>
          <w:color w:val="auto"/>
          <w:sz w:val="32"/>
          <w:szCs w:val="32"/>
          <w:highlight w:val="none"/>
        </w:rPr>
        <w:t>政府性基金预算财政拨款收入支出决算表</w:t>
      </w:r>
    </w:p>
    <w:p w14:paraId="1C0D1F3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9"/>
      <w:r>
        <w:rPr>
          <w:rFonts w:hint="eastAsia" w:ascii="Times New Roman" w:hAnsi="Times New Roman" w:eastAsia="仿宋_GB2312" w:cs="仿宋_GB2312"/>
          <w:color w:val="auto"/>
          <w:sz w:val="32"/>
          <w:szCs w:val="32"/>
          <w:highlight w:val="none"/>
        </w:rPr>
        <w:t>十一、</w:t>
      </w:r>
      <w:bookmarkEnd w:id="6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17B6F1E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30"/>
      <w:r>
        <w:rPr>
          <w:rFonts w:hint="eastAsia" w:ascii="Times New Roman" w:hAnsi="Times New Roman" w:eastAsia="仿宋_GB2312" w:cs="仿宋_GB2312"/>
          <w:color w:val="auto"/>
          <w:sz w:val="32"/>
          <w:szCs w:val="32"/>
          <w:highlight w:val="none"/>
        </w:rPr>
        <w:t>十二、</w:t>
      </w:r>
      <w:bookmarkEnd w:id="66"/>
      <w:r>
        <w:rPr>
          <w:rFonts w:hint="eastAsia" w:ascii="Times New Roman" w:hAnsi="Times New Roman" w:eastAsia="仿宋_GB2312" w:cs="仿宋_GB2312"/>
          <w:color w:val="auto"/>
          <w:sz w:val="32"/>
          <w:szCs w:val="32"/>
          <w:highlight w:val="none"/>
          <w:lang w:eastAsia="zh-CN"/>
        </w:rPr>
        <w:t>国有资本经营预算财政拨款支出决算表</w:t>
      </w:r>
    </w:p>
    <w:p w14:paraId="484D57E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7" w:name="_Toc15396631"/>
      <w:r>
        <w:rPr>
          <w:rFonts w:hint="eastAsia" w:ascii="Times New Roman" w:hAnsi="Times New Roman" w:eastAsia="仿宋_GB2312" w:cs="仿宋_GB2312"/>
          <w:color w:val="auto"/>
          <w:sz w:val="32"/>
          <w:szCs w:val="32"/>
          <w:highlight w:val="none"/>
        </w:rPr>
        <w:t>十三、</w:t>
      </w:r>
      <w:bookmarkEnd w:id="67"/>
      <w:r>
        <w:rPr>
          <w:rFonts w:hint="eastAsia" w:ascii="Times New Roman" w:hAnsi="Times New Roman" w:eastAsia="仿宋_GB2312" w:cs="仿宋_GB2312"/>
          <w:color w:val="auto"/>
          <w:sz w:val="32"/>
          <w:szCs w:val="32"/>
          <w:highlight w:val="none"/>
          <w:lang w:eastAsia="zh-CN"/>
        </w:rPr>
        <w:t>财政拨款“三公”经费支出决算表</w:t>
      </w:r>
    </w:p>
    <w:p w14:paraId="5102F741">
      <w:pPr>
        <w:rPr>
          <w:rFonts w:hint="eastAsia" w:ascii="Times New Roman" w:hAnsi="Times New Roman"/>
          <w:lang w:eastAsia="zh-CN"/>
        </w:rPr>
      </w:pPr>
    </w:p>
    <w:sectPr>
      <w:footerReference r:id="rId12" w:type="first"/>
      <w:footerReference r:id="rId11"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 w:name="Helvetica">
    <w:panose1 w:val="020B0604020202020204"/>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4081">
    <w:pPr>
      <w:pStyle w:val="2"/>
      <w:jc w:val="center"/>
    </w:pPr>
  </w:p>
  <w:p w14:paraId="6B59E76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C5123">
    <w:pPr>
      <w:pStyle w:val="2"/>
      <w:jc w:val="center"/>
    </w:pPr>
  </w:p>
  <w:p w14:paraId="637A9E0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5E7BB">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88BB9">
    <w:pPr>
      <w:pStyle w:val="2"/>
      <w:jc w:val="center"/>
    </w:pPr>
  </w:p>
  <w:p w14:paraId="0DA56A98">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5FECF">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DE22B">
    <w:pPr>
      <w:pStyle w:val="2"/>
      <w:jc w:val="center"/>
    </w:pPr>
  </w:p>
  <w:p w14:paraId="6EA56A7E">
    <w:pPr>
      <w:pStyle w:val="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1F216">
    <w:pPr>
      <w:pStyle w:val="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F22D2">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813E8">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D9813E8">
                    <w:pPr>
                      <w:pStyle w:val="2"/>
                    </w:pPr>
                    <w:r>
                      <w:fldChar w:fldCharType="begin"/>
                    </w:r>
                    <w:r>
                      <w:instrText xml:space="preserve"> PAGE  \* MERGEFORMAT </w:instrText>
                    </w:r>
                    <w:r>
                      <w:fldChar w:fldCharType="separate"/>
                    </w:r>
                    <w:r>
                      <w:t>2</w:t>
                    </w:r>
                    <w:r>
                      <w:fldChar w:fldCharType="end"/>
                    </w:r>
                  </w:p>
                </w:txbxContent>
              </v:textbox>
            </v:shape>
          </w:pict>
        </mc:Fallback>
      </mc:AlternateContent>
    </w:r>
  </w:p>
  <w:p w14:paraId="67B1E863">
    <w:pPr>
      <w:pStyle w:val="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BCF2F">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C9256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5C9256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A2AD1">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45846"/>
    <w:multiLevelType w:val="singleLevel"/>
    <w:tmpl w:val="8D445846"/>
    <w:lvl w:ilvl="0" w:tentative="0">
      <w:start w:val="4"/>
      <w:numFmt w:val="chineseCounting"/>
      <w:suff w:val="nothing"/>
      <w:lvlText w:val="%1、"/>
      <w:lvlJc w:val="left"/>
      <w:rPr>
        <w:rFonts w:hint="eastAsia"/>
      </w:rPr>
    </w:lvl>
  </w:abstractNum>
  <w:abstractNum w:abstractNumId="1">
    <w:nsid w:val="C5E12A5D"/>
    <w:multiLevelType w:val="singleLevel"/>
    <w:tmpl w:val="C5E12A5D"/>
    <w:lvl w:ilvl="0" w:tentative="0">
      <w:start w:val="1"/>
      <w:numFmt w:val="decimal"/>
      <w:lvlText w:val="%1."/>
      <w:lvlJc w:val="left"/>
      <w:pPr>
        <w:tabs>
          <w:tab w:val="left" w:pos="312"/>
        </w:tabs>
      </w:pPr>
    </w:lvl>
  </w:abstractNum>
  <w:abstractNum w:abstractNumId="2">
    <w:nsid w:val="1504C6D9"/>
    <w:multiLevelType w:val="singleLevel"/>
    <w:tmpl w:val="1504C6D9"/>
    <w:lvl w:ilvl="0" w:tentative="0">
      <w:start w:val="1"/>
      <w:numFmt w:val="chineseCounting"/>
      <w:suff w:val="nothing"/>
      <w:lvlText w:val="（%1）"/>
      <w:lvlJc w:val="left"/>
      <w:rPr>
        <w:rFonts w:hint="eastAsia"/>
      </w:rPr>
    </w:lvl>
  </w:abstractNum>
  <w:abstractNum w:abstractNumId="3">
    <w:nsid w:val="3697EA78"/>
    <w:multiLevelType w:val="singleLevel"/>
    <w:tmpl w:val="3697EA78"/>
    <w:lvl w:ilvl="0" w:tentative="0">
      <w:start w:val="1"/>
      <w:numFmt w:val="chineseCounting"/>
      <w:suff w:val="nothing"/>
      <w:lvlText w:val="%1、"/>
      <w:lvlJc w:val="left"/>
      <w:rPr>
        <w:rFonts w:hint="eastAsia"/>
      </w:rPr>
    </w:lvl>
  </w:abstractNum>
  <w:abstractNum w:abstractNumId="4">
    <w:nsid w:val="55CBE6D2"/>
    <w:multiLevelType w:val="singleLevel"/>
    <w:tmpl w:val="55CBE6D2"/>
    <w:lvl w:ilvl="0" w:tentative="0">
      <w:start w:val="3"/>
      <w:numFmt w:val="chineseCounting"/>
      <w:suff w:val="nothing"/>
      <w:lvlText w:val="（%1）"/>
      <w:lvlJc w:val="left"/>
      <w:rPr>
        <w:rFonts w:hint="eastAsi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0NGJmMjEwNWZlMDBjNGZmZjNjZGFlOGNjZWY3MW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00A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563CB7"/>
    <w:rsid w:val="04916F1E"/>
    <w:rsid w:val="04E17CFD"/>
    <w:rsid w:val="061E35DE"/>
    <w:rsid w:val="066E0107"/>
    <w:rsid w:val="07481B68"/>
    <w:rsid w:val="07996F6E"/>
    <w:rsid w:val="07DFD8BA"/>
    <w:rsid w:val="086E1377"/>
    <w:rsid w:val="09181DDE"/>
    <w:rsid w:val="09867E8F"/>
    <w:rsid w:val="09F41468"/>
    <w:rsid w:val="0A2032A3"/>
    <w:rsid w:val="0ADD4CBE"/>
    <w:rsid w:val="0CA8290A"/>
    <w:rsid w:val="0D35B1ED"/>
    <w:rsid w:val="0D4252AC"/>
    <w:rsid w:val="0E254B6B"/>
    <w:rsid w:val="0F98263C"/>
    <w:rsid w:val="101860EC"/>
    <w:rsid w:val="101F47CC"/>
    <w:rsid w:val="10C055FF"/>
    <w:rsid w:val="111F0CD1"/>
    <w:rsid w:val="11694EBD"/>
    <w:rsid w:val="11772AA4"/>
    <w:rsid w:val="118107EC"/>
    <w:rsid w:val="12E24EE2"/>
    <w:rsid w:val="13D50BC4"/>
    <w:rsid w:val="14B17F78"/>
    <w:rsid w:val="14E3592D"/>
    <w:rsid w:val="165E0673"/>
    <w:rsid w:val="16B831D5"/>
    <w:rsid w:val="16BB723D"/>
    <w:rsid w:val="17730B1D"/>
    <w:rsid w:val="17E50567"/>
    <w:rsid w:val="186504BB"/>
    <w:rsid w:val="18C4229C"/>
    <w:rsid w:val="19A445FC"/>
    <w:rsid w:val="1BE8440E"/>
    <w:rsid w:val="1CD35ABE"/>
    <w:rsid w:val="1D155CEE"/>
    <w:rsid w:val="1D1638FE"/>
    <w:rsid w:val="1D3A5FA0"/>
    <w:rsid w:val="1E312DEB"/>
    <w:rsid w:val="1E740ACF"/>
    <w:rsid w:val="1ED70E54"/>
    <w:rsid w:val="1F3A4035"/>
    <w:rsid w:val="1FF35744"/>
    <w:rsid w:val="1FF6BC77"/>
    <w:rsid w:val="203B42C4"/>
    <w:rsid w:val="2186353C"/>
    <w:rsid w:val="234C4A82"/>
    <w:rsid w:val="23860B96"/>
    <w:rsid w:val="240371BF"/>
    <w:rsid w:val="244F3473"/>
    <w:rsid w:val="24B74BC6"/>
    <w:rsid w:val="24C97D99"/>
    <w:rsid w:val="25A718F0"/>
    <w:rsid w:val="25AB7A3A"/>
    <w:rsid w:val="25BB59F6"/>
    <w:rsid w:val="260F557C"/>
    <w:rsid w:val="26970054"/>
    <w:rsid w:val="2778352E"/>
    <w:rsid w:val="2808216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572665"/>
    <w:rsid w:val="325937DC"/>
    <w:rsid w:val="32BD1EF1"/>
    <w:rsid w:val="32E427DE"/>
    <w:rsid w:val="3304709D"/>
    <w:rsid w:val="33A773CB"/>
    <w:rsid w:val="33AB124C"/>
    <w:rsid w:val="34833930"/>
    <w:rsid w:val="349D6851"/>
    <w:rsid w:val="34EE1106"/>
    <w:rsid w:val="3531749F"/>
    <w:rsid w:val="355D61A3"/>
    <w:rsid w:val="359E6C74"/>
    <w:rsid w:val="35DC59B1"/>
    <w:rsid w:val="36982BD5"/>
    <w:rsid w:val="36A879E1"/>
    <w:rsid w:val="36AA5135"/>
    <w:rsid w:val="36B80426"/>
    <w:rsid w:val="36BE0DA7"/>
    <w:rsid w:val="370A5C6B"/>
    <w:rsid w:val="376B6AA6"/>
    <w:rsid w:val="376D39B2"/>
    <w:rsid w:val="37E16F03"/>
    <w:rsid w:val="37F53A3B"/>
    <w:rsid w:val="389B6C89"/>
    <w:rsid w:val="38D469F0"/>
    <w:rsid w:val="39627CCD"/>
    <w:rsid w:val="397567C3"/>
    <w:rsid w:val="397BAF1F"/>
    <w:rsid w:val="3AB79AF3"/>
    <w:rsid w:val="3AE834C0"/>
    <w:rsid w:val="3B7A0CB0"/>
    <w:rsid w:val="3B7EF35A"/>
    <w:rsid w:val="3B9FDB6C"/>
    <w:rsid w:val="3BF5BC2F"/>
    <w:rsid w:val="3CEBA265"/>
    <w:rsid w:val="3D98207C"/>
    <w:rsid w:val="3DBE4137"/>
    <w:rsid w:val="3DEE7CF3"/>
    <w:rsid w:val="3E6304AB"/>
    <w:rsid w:val="3E740A63"/>
    <w:rsid w:val="3E78745D"/>
    <w:rsid w:val="3EE17838"/>
    <w:rsid w:val="3F55381A"/>
    <w:rsid w:val="3F7F7599"/>
    <w:rsid w:val="3FF4CAE0"/>
    <w:rsid w:val="3FF7B227"/>
    <w:rsid w:val="41DC791D"/>
    <w:rsid w:val="42455275"/>
    <w:rsid w:val="427320DA"/>
    <w:rsid w:val="44CC4675"/>
    <w:rsid w:val="44E268DA"/>
    <w:rsid w:val="450D13D7"/>
    <w:rsid w:val="45404AAF"/>
    <w:rsid w:val="454E0AA0"/>
    <w:rsid w:val="45506656"/>
    <w:rsid w:val="459C4CE8"/>
    <w:rsid w:val="486A6C7A"/>
    <w:rsid w:val="48766897"/>
    <w:rsid w:val="49534629"/>
    <w:rsid w:val="49E237B0"/>
    <w:rsid w:val="4A587BEA"/>
    <w:rsid w:val="4A627F82"/>
    <w:rsid w:val="4A9976CE"/>
    <w:rsid w:val="4AEE264A"/>
    <w:rsid w:val="4B0E749A"/>
    <w:rsid w:val="4B2477C4"/>
    <w:rsid w:val="4B4F25DA"/>
    <w:rsid w:val="4B630235"/>
    <w:rsid w:val="4BE068DB"/>
    <w:rsid w:val="4BF07591"/>
    <w:rsid w:val="4C5145E8"/>
    <w:rsid w:val="4C5B1D32"/>
    <w:rsid w:val="4D577224"/>
    <w:rsid w:val="4DBF1CEB"/>
    <w:rsid w:val="4DF0007C"/>
    <w:rsid w:val="4E223196"/>
    <w:rsid w:val="4EA2796F"/>
    <w:rsid w:val="4EAB630A"/>
    <w:rsid w:val="4ECE2238"/>
    <w:rsid w:val="4F4D4327"/>
    <w:rsid w:val="4F833267"/>
    <w:rsid w:val="4FE9BD67"/>
    <w:rsid w:val="4FFB052F"/>
    <w:rsid w:val="514069D9"/>
    <w:rsid w:val="514630BC"/>
    <w:rsid w:val="515245C0"/>
    <w:rsid w:val="537E6D0A"/>
    <w:rsid w:val="53F74C96"/>
    <w:rsid w:val="54921AE6"/>
    <w:rsid w:val="55170BA8"/>
    <w:rsid w:val="553218C9"/>
    <w:rsid w:val="55F91ECE"/>
    <w:rsid w:val="567E1AA5"/>
    <w:rsid w:val="56A45C5C"/>
    <w:rsid w:val="56E47B74"/>
    <w:rsid w:val="57175D52"/>
    <w:rsid w:val="579714C5"/>
    <w:rsid w:val="57BD3DD4"/>
    <w:rsid w:val="57FD51D5"/>
    <w:rsid w:val="5A4073F7"/>
    <w:rsid w:val="5AEE56F8"/>
    <w:rsid w:val="5AF92295"/>
    <w:rsid w:val="5AFA763F"/>
    <w:rsid w:val="5B250254"/>
    <w:rsid w:val="5B266CDA"/>
    <w:rsid w:val="5BAD110F"/>
    <w:rsid w:val="5BDD79E6"/>
    <w:rsid w:val="5BF561CA"/>
    <w:rsid w:val="5BFF5DFC"/>
    <w:rsid w:val="5CD71FC4"/>
    <w:rsid w:val="5D1F11B5"/>
    <w:rsid w:val="5D695134"/>
    <w:rsid w:val="5DAE1B18"/>
    <w:rsid w:val="5DE7D9E5"/>
    <w:rsid w:val="5EA26F25"/>
    <w:rsid w:val="5ECEC941"/>
    <w:rsid w:val="5F9D0062"/>
    <w:rsid w:val="5FBF9FF3"/>
    <w:rsid w:val="5FCD4E2C"/>
    <w:rsid w:val="5FEF394A"/>
    <w:rsid w:val="5FF67715"/>
    <w:rsid w:val="6155256B"/>
    <w:rsid w:val="61FA760E"/>
    <w:rsid w:val="62010C00"/>
    <w:rsid w:val="629F0B6D"/>
    <w:rsid w:val="62BF3928"/>
    <w:rsid w:val="63B3701E"/>
    <w:rsid w:val="647F5392"/>
    <w:rsid w:val="658A2292"/>
    <w:rsid w:val="65E66580"/>
    <w:rsid w:val="664B1D71"/>
    <w:rsid w:val="664B4E8E"/>
    <w:rsid w:val="66652D12"/>
    <w:rsid w:val="66BB2179"/>
    <w:rsid w:val="67277B67"/>
    <w:rsid w:val="679F2254"/>
    <w:rsid w:val="67AA3209"/>
    <w:rsid w:val="693004E4"/>
    <w:rsid w:val="698D0931"/>
    <w:rsid w:val="6A7FE5F3"/>
    <w:rsid w:val="6A96318B"/>
    <w:rsid w:val="6AF65A70"/>
    <w:rsid w:val="6B053271"/>
    <w:rsid w:val="6B7F0763"/>
    <w:rsid w:val="6BDD78B3"/>
    <w:rsid w:val="6C4A05C8"/>
    <w:rsid w:val="6C6677E4"/>
    <w:rsid w:val="6C8742B8"/>
    <w:rsid w:val="6CC30793"/>
    <w:rsid w:val="6DBF5E93"/>
    <w:rsid w:val="6DFF077E"/>
    <w:rsid w:val="6E047BBB"/>
    <w:rsid w:val="6E276200"/>
    <w:rsid w:val="6E714EF0"/>
    <w:rsid w:val="6E7E3605"/>
    <w:rsid w:val="6E7FDCC7"/>
    <w:rsid w:val="6ED6A62E"/>
    <w:rsid w:val="6EE00B15"/>
    <w:rsid w:val="6F6FB3EB"/>
    <w:rsid w:val="6F752F12"/>
    <w:rsid w:val="6F8731EA"/>
    <w:rsid w:val="6FCE6052"/>
    <w:rsid w:val="6FD57C00"/>
    <w:rsid w:val="6FEFFFD8"/>
    <w:rsid w:val="6FF5CC65"/>
    <w:rsid w:val="6FFB47EC"/>
    <w:rsid w:val="6FFF034A"/>
    <w:rsid w:val="70484440"/>
    <w:rsid w:val="712A28F1"/>
    <w:rsid w:val="715C0E4B"/>
    <w:rsid w:val="719926C6"/>
    <w:rsid w:val="71992E7C"/>
    <w:rsid w:val="71AB48B1"/>
    <w:rsid w:val="71D40D4C"/>
    <w:rsid w:val="71E13595"/>
    <w:rsid w:val="72233669"/>
    <w:rsid w:val="72457067"/>
    <w:rsid w:val="72734D90"/>
    <w:rsid w:val="73160E6D"/>
    <w:rsid w:val="73306BD5"/>
    <w:rsid w:val="7332FE48"/>
    <w:rsid w:val="73AB61DA"/>
    <w:rsid w:val="73AD73D5"/>
    <w:rsid w:val="73B6EB34"/>
    <w:rsid w:val="73FA497D"/>
    <w:rsid w:val="744731E5"/>
    <w:rsid w:val="74850A79"/>
    <w:rsid w:val="74A54C22"/>
    <w:rsid w:val="74BBD01D"/>
    <w:rsid w:val="74ED5379"/>
    <w:rsid w:val="754B1EAA"/>
    <w:rsid w:val="75AB6268"/>
    <w:rsid w:val="75DEEEC2"/>
    <w:rsid w:val="75E32345"/>
    <w:rsid w:val="76D60049"/>
    <w:rsid w:val="76E3355F"/>
    <w:rsid w:val="76FF5125"/>
    <w:rsid w:val="776F6FFA"/>
    <w:rsid w:val="778769C8"/>
    <w:rsid w:val="77A75DCA"/>
    <w:rsid w:val="77DC22F5"/>
    <w:rsid w:val="783E271A"/>
    <w:rsid w:val="78616DE9"/>
    <w:rsid w:val="78D0199D"/>
    <w:rsid w:val="78E875D7"/>
    <w:rsid w:val="79086DAD"/>
    <w:rsid w:val="79D7FD79"/>
    <w:rsid w:val="79EE5BA4"/>
    <w:rsid w:val="7A894339"/>
    <w:rsid w:val="7A95201A"/>
    <w:rsid w:val="7AAB4E94"/>
    <w:rsid w:val="7AD284E8"/>
    <w:rsid w:val="7AFF7572"/>
    <w:rsid w:val="7B395C20"/>
    <w:rsid w:val="7B6C7DFB"/>
    <w:rsid w:val="7BBFBED0"/>
    <w:rsid w:val="7BC3E394"/>
    <w:rsid w:val="7C070531"/>
    <w:rsid w:val="7C1F3737"/>
    <w:rsid w:val="7CBFC87B"/>
    <w:rsid w:val="7CE1599E"/>
    <w:rsid w:val="7CFE0F48"/>
    <w:rsid w:val="7D272ABC"/>
    <w:rsid w:val="7D7EC23E"/>
    <w:rsid w:val="7E652006"/>
    <w:rsid w:val="7E8ADEBF"/>
    <w:rsid w:val="7EEF11D3"/>
    <w:rsid w:val="7EFE4840"/>
    <w:rsid w:val="7F0971A6"/>
    <w:rsid w:val="7F1D62E7"/>
    <w:rsid w:val="7F3F679B"/>
    <w:rsid w:val="7F4FC4EF"/>
    <w:rsid w:val="7F5E4D54"/>
    <w:rsid w:val="7F6E0135"/>
    <w:rsid w:val="7F79F205"/>
    <w:rsid w:val="7F8738A2"/>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8"/>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Autospacing="1"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正文-公1"/>
    <w:basedOn w:val="37"/>
    <w:next w:val="1"/>
    <w:qFormat/>
    <w:uiPriority w:val="0"/>
    <w:pPr>
      <w:ind w:firstLine="200" w:firstLineChars="200"/>
    </w:p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6"/>
    <w:qFormat/>
    <w:uiPriority w:val="0"/>
    <w:pPr>
      <w:widowControl w:val="0"/>
      <w:jc w:val="both"/>
    </w:pPr>
    <w:rPr>
      <w:rFonts w:ascii="Times New Roman" w:hAnsi="Times New Roman" w:eastAsia="宋体" w:cs="Times New Roman"/>
      <w:kern w:val="2"/>
      <w:sz w:val="21"/>
      <w:lang w:val="en-US" w:eastAsia="zh-CN"/>
    </w:rPr>
  </w:style>
  <w:style w:type="character" w:customStyle="1" w:styleId="38">
    <w:name w:val="font61"/>
    <w:basedOn w:val="17"/>
    <w:uiPriority w:val="0"/>
    <w:rPr>
      <w:rFonts w:hint="default" w:ascii="Segoe UI" w:hAnsi="Segoe UI" w:eastAsia="Segoe UI" w:cs="Segoe UI"/>
      <w:color w:val="000000"/>
      <w:sz w:val="18"/>
      <w:szCs w:val="18"/>
      <w:u w:val="none"/>
    </w:rPr>
  </w:style>
  <w:style w:type="character" w:customStyle="1" w:styleId="39">
    <w:name w:val="font81"/>
    <w:basedOn w:val="17"/>
    <w:qFormat/>
    <w:uiPriority w:val="0"/>
    <w:rPr>
      <w:rFonts w:hint="default" w:ascii="Helvetica" w:hAnsi="Helvetica" w:eastAsia="Helvetica" w:cs="Helvetica"/>
      <w:color w:val="000000"/>
      <w:sz w:val="19"/>
      <w:szCs w:val="19"/>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20316;&#21442;&#32771;&#65306;&#39292;&#29366;&#65288;&#30452;&#26041;&#65289;&#22270;&#32472;&#21046;&#26041;&#27861;(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2023&#24180;&#20915;&#31639;&#20844;&#24320;&#36164;&#26009;\&#20316;&#21442;&#32771;&#65306;&#39292;&#29366;&#65288;&#30452;&#26041;&#65289;&#22270;&#32472;&#21046;&#26041;&#27861;(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ackup\Documents\youdu\16120025-100755-mcliaoyl\file\&#20316;&#21442;&#32771;&#65306;&#39292;&#29366;&#65288;&#30452;&#26041;&#65289;&#22270;&#32472;&#21046;&#26041;&#2786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ackup\Documents\youdu\16120025-100755-mcliaoyl\file\&#20316;&#21442;&#32771;&#65306;&#39292;&#29366;&#65288;&#30452;&#26041;&#65289;&#22270;&#32472;&#21046;&#26041;&#27861;(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2023&#24180;&#20915;&#31639;&#20844;&#24320;&#36164;&#26009;\&#20316;&#21442;&#32771;&#65306;&#39292;&#29366;&#65288;&#30452;&#26041;&#65289;&#22270;&#32472;&#21046;&#26041;&#27861;(2).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2023&#24180;&#20915;&#31639;&#20844;&#24320;&#36164;&#26009;\&#20316;&#21442;&#32771;&#65306;&#39292;&#29366;&#65288;&#30452;&#26041;&#65289;&#22270;&#32472;&#21046;&#26041;&#27861;(2).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2023&#24180;&#20915;&#31639;&#20844;&#24320;&#36164;&#26009;\&#20316;&#21442;&#32771;&#65306;&#39292;&#29366;&#65288;&#30452;&#26041;&#65289;&#22270;&#32472;&#21046;&#26041;&#2786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0836090182971733"/>
          <c:y val="0.168086775465916"/>
          <c:w val="0.890012084820333"/>
          <c:h val="0.702188081936685"/>
        </c:manualLayout>
      </c:layout>
      <c:barChart>
        <c:barDir val="col"/>
        <c:grouping val="clustered"/>
        <c:varyColors val="0"/>
        <c:ser>
          <c:idx val="0"/>
          <c:order val="0"/>
          <c:tx>
            <c:strRef>
              <c:f>'[作参考：饼状（直方）图绘制方法(1).xls]财政拨款收支决算总计变动情况-图4'!$A$4</c:f>
              <c:strCache>
                <c:ptCount val="1"/>
                <c:pt idx="0">
                  <c:v>沐川县行政审批局财政拨款收、支决算总计变动情况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832134292566"/>
                  <c:y val="0.217210101010101"/>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6"/>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'[作参考：饼状（直方）图绘制方法(1).xls]财政拨款收支决算总计变动情况-图4'!$A$1:$B$1</c:f>
              <c:strCache>
                <c:ptCount val="2"/>
                <c:pt idx="0">
                  <c:v>2023年收、支决算总计</c:v>
                </c:pt>
                <c:pt idx="1">
                  <c:v>2024年收、支决算总计</c:v>
                </c:pt>
              </c:strCache>
            </c:strRef>
          </c:cat>
          <c:val>
            <c:numRef>
              <c:f>'[作参考：饼状（直方）图绘制方法(1).xls]财政拨款收支决算总计变动情况-图4'!$A$2:$B$2</c:f>
              <c:numCache>
                <c:formatCode>General</c:formatCode>
                <c:ptCount val="2"/>
                <c:pt idx="0">
                  <c:v>629.22</c:v>
                </c:pt>
                <c:pt idx="1">
                  <c:v>658.75</c:v>
                </c:pt>
              </c:numCache>
            </c:numRef>
          </c:val>
        </c:ser>
        <c:dLbls>
          <c:showLegendKey val="0"/>
          <c:showVal val="0"/>
          <c:showCatName val="0"/>
          <c:showSerName val="0"/>
          <c:showPercent val="0"/>
          <c:showBubbleSize val="0"/>
        </c:dLbls>
        <c:gapWidth val="150"/>
        <c:overlap val="0"/>
        <c:axId val="965610313"/>
        <c:axId val="573463299"/>
      </c:barChart>
      <c:catAx>
        <c:axId val="965610313"/>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73463299"/>
        <c:crosses val="autoZero"/>
        <c:auto val="1"/>
        <c:lblAlgn val="ctr"/>
        <c:lblOffset val="100"/>
        <c:noMultiLvlLbl val="0"/>
      </c:catAx>
      <c:valAx>
        <c:axId val="573463299"/>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965610313"/>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3cc68d41-b4fa-49a1-a064-876642200515}"/>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7275"/>
          <c:y val="0.277"/>
          <c:w val="0.3375"/>
          <c:h val="0.56075"/>
        </c:manualLayout>
      </c:layout>
      <c:pieChart>
        <c:varyColors val="1"/>
        <c:ser>
          <c:idx val="0"/>
          <c:order val="0"/>
          <c:tx>
            <c:strRef>
              <c:f>'[作参考：饼状（直方）图绘制方法(2).xls]收入决算结构-图2-1'!$A$5</c:f>
              <c:strCache>
                <c:ptCount val="1"/>
                <c:pt idx="0">
                  <c:v>沐川县行政审批局2024年收入决算结构图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Lbls>
            <c:dLbl>
              <c:idx val="0"/>
              <c:layout/>
              <c:tx>
                <c:rich>
                  <a:bodyPr rot="0" spcFirstLastPara="0" vertOverflow="ellipsis" vert="horz" wrap="square" lIns="38100" tIns="19050" rIns="38100" bIns="19050"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99.57</a:t>
                    </a:r>
                    <a:r>
                      <a:t>%</a:t>
                    </a:r>
                  </a:p>
                </c:rich>
              </c:tx>
              <c:numFmt formatCode="0%" sourceLinked="0"/>
              <c:spPr>
                <a:noFill/>
                <a:ln w="3175">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t>0</a:t>
                    </a:r>
                    <a:r>
                      <a:rPr lang="en-US" altLang="zh-CN"/>
                      <a:t>.43</a:t>
                    </a:r>
                    <a:r>
                      <a:t>%</a:t>
                    </a:r>
                  </a:p>
                </c:rich>
              </c:tx>
              <c:numFmt formatCode="0%" sourceLinked="0"/>
              <c:spPr>
                <a:noFill/>
                <a:ln w="3175">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'[作参考：饼状（直方）图绘制方法(2).xls]收入决算结构-图2-1'!$A$1:$B$1</c:f>
              <c:strCache>
                <c:ptCount val="2"/>
                <c:pt idx="0">
                  <c:v>一般公共预算财政拨款收入</c:v>
                </c:pt>
                <c:pt idx="1">
                  <c:v>政府性基金预算财政拨款收入</c:v>
                </c:pt>
              </c:strCache>
            </c:strRef>
          </c:cat>
          <c:val>
            <c:numRef>
              <c:f>'[作参考：饼状（直方）图绘制方法(2).xls]收入决算结构-图2-1'!$A$2:$B$2</c:f>
              <c:numCache>
                <c:formatCode>General</c:formatCode>
                <c:ptCount val="2"/>
                <c:pt idx="0">
                  <c:v>655.95</c:v>
                </c:pt>
                <c:pt idx="1">
                  <c:v>2.81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57285429141717"/>
          <c:y val="0.440183742760136"/>
          <c:w val="0.43020625415835"/>
          <c:h val="0.275214699420811"/>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fc5807dd-1bda-4e23-aeb9-b0d3bd7846c0}"/>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沐川县行政审批局支出决算结构图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'[作参考：饼状（直方）图绘制方法(1).xls]一般公共预算财政拨款支出决算结构-图6'!$A$8</c:f>
              <c:strCache>
                <c:ptCount val="1"/>
                <c:pt idx="0">
                  <c:v>沐川县行政审批局2024支出决算结构图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Lbls>
            <c:dLbl>
              <c:idx val="0"/>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'[作参考：饼状（直方）图绘制方法(1).xls]一般公共预算财政拨款支出决算结构-图6'!$A$1:$B$1</c:f>
              <c:strCache>
                <c:ptCount val="2"/>
                <c:pt idx="0">
                  <c:v>基本支出</c:v>
                </c:pt>
                <c:pt idx="1">
                  <c:v>项目支出</c:v>
                </c:pt>
              </c:strCache>
            </c:strRef>
          </c:cat>
          <c:val>
            <c:numRef>
              <c:f>'[作参考：饼状（直方）图绘制方法(1).xls]一般公共预算财政拨款支出决算结构-图6'!$A$2:$B$2</c:f>
              <c:numCache>
                <c:formatCode>#,##0.00</c:formatCode>
                <c:ptCount val="2"/>
                <c:pt idx="0">
                  <c:v>594.12</c:v>
                </c:pt>
                <c:pt idx="1" c:formatCode="General">
                  <c:v>64.63</c:v>
                </c:pt>
              </c:numCache>
            </c:numRef>
          </c:val>
        </c:ser>
        <c:dLbls>
          <c:showLegendKey val="0"/>
          <c:showVal val="1"/>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2960299604247"/>
          <c:h val="0.553606237816764"/>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dcec0787-0c83-4914-a796-90da4a69591a}"/>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沐川县行政审批局收、支决算总计变动情况</a:t>
            </a:r>
          </a:p>
        </c:rich>
      </c:tx>
      <c:layout/>
      <c:overlay val="0"/>
      <c:spPr>
        <a:noFill/>
        <a:ln w="3175">
          <a:noFill/>
        </a:ln>
      </c:spPr>
    </c:title>
    <c:autoTitleDeleted val="0"/>
    <c:plotArea>
      <c:layout/>
      <c:barChart>
        <c:barDir val="col"/>
        <c:grouping val="clustered"/>
        <c:varyColors val="0"/>
        <c:ser>
          <c:idx val="0"/>
          <c:order val="0"/>
          <c:tx>
            <c:strRef>
              <c:f>'[作参考：饼状（直方）图绘制方法(1).xls]收支决算总计变动情况-图1'!$A$4</c:f>
              <c:strCache>
                <c:ptCount val="1"/>
                <c:pt idx="0">
                  <c:v>沐川县财政局收、支决算总计变动情况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'[作参考：饼状（直方）图绘制方法(1).xls]收支决算总计变动情况-图1'!$A$1:$B$1</c:f>
              <c:strCache>
                <c:ptCount val="2"/>
                <c:pt idx="0">
                  <c:v>2023年收支</c:v>
                </c:pt>
                <c:pt idx="1">
                  <c:v>2024年收支</c:v>
                </c:pt>
              </c:strCache>
            </c:strRef>
          </c:cat>
          <c:val>
            <c:numRef>
              <c:f>'[作参考：饼状（直方）图绘制方法(1).xls]收支决算总计变动情况-图1'!$A$2:$B$2</c:f>
              <c:numCache>
                <c:formatCode>General</c:formatCode>
                <c:ptCount val="2"/>
                <c:pt idx="0">
                  <c:v>629.22</c:v>
                </c:pt>
                <c:pt idx="1">
                  <c:v>658.75</c:v>
                </c:pt>
              </c:numCache>
            </c:numRef>
          </c:val>
        </c:ser>
        <c:dLbls>
          <c:showLegendKey val="0"/>
          <c:showVal val="0"/>
          <c:showCatName val="0"/>
          <c:showSerName val="0"/>
          <c:showPercent val="0"/>
          <c:showBubbleSize val="0"/>
        </c:dLbls>
        <c:gapWidth val="150"/>
        <c:overlap val="0"/>
        <c:axId val="988190188"/>
        <c:axId val="933742670"/>
      </c:barChart>
      <c:catAx>
        <c:axId val="98819018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933742670"/>
        <c:crosses val="autoZero"/>
        <c:auto val="1"/>
        <c:lblAlgn val="ctr"/>
        <c:lblOffset val="100"/>
        <c:noMultiLvlLbl val="0"/>
      </c:catAx>
      <c:valAx>
        <c:axId val="933742670"/>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98819018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5720ae54-f8e4-4dcf-954c-767af7852978}"/>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沐川县行政审批局一般公共预算财政拨款支出决算变动情况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'[作参考：饼状（直方）图绘制方法(2).xls]一般公共预算财政拨款支出决算变动情况-图5'!$A$1:$B$1</c:f>
              <c:strCache>
                <c:ptCount val="2"/>
                <c:pt idx="0">
                  <c:v>2023年一般公共预算财政拨款支出</c:v>
                </c:pt>
                <c:pt idx="1">
                  <c:v>2024年一般公共预算财政拨款支出</c:v>
                </c:pt>
              </c:strCache>
            </c:strRef>
          </c:cat>
          <c:val>
            <c:numRef>
              <c:f>'[作参考：饼状（直方）图绘制方法(2).xls]一般公共预算财政拨款支出决算变动情况-图5'!$A$2:$B$2</c:f>
              <c:numCache>
                <c:formatCode>General</c:formatCode>
                <c:ptCount val="2"/>
                <c:pt idx="0">
                  <c:v>629.22</c:v>
                </c:pt>
                <c:pt idx="1" c:formatCode="#,##0.00">
                  <c:v>655.95</c:v>
                </c:pt>
              </c:numCache>
            </c:numRef>
          </c:val>
        </c:ser>
        <c:dLbls>
          <c:showLegendKey val="0"/>
          <c:showVal val="0"/>
          <c:showCatName val="0"/>
          <c:showSerName val="0"/>
          <c:showPercent val="0"/>
          <c:showBubbleSize val="0"/>
        </c:dLbls>
        <c:gapWidth val="150"/>
        <c:overlap val="0"/>
        <c:axId val="985648338"/>
        <c:axId val="653504923"/>
      </c:barChart>
      <c:catAx>
        <c:axId val="98564833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53504923"/>
        <c:crosses val="autoZero"/>
        <c:auto val="1"/>
        <c:lblAlgn val="ctr"/>
        <c:lblOffset val="100"/>
        <c:noMultiLvlLbl val="0"/>
      </c:catAx>
      <c:valAx>
        <c:axId val="653504923"/>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985648338"/>
        <c:crosses val="autoZero"/>
        <c:crossBetween val="between"/>
      </c:valAx>
      <c:spPr>
        <a:noFill/>
        <a:ln w="3175">
          <a:noFill/>
        </a:ln>
      </c:spPr>
    </c:plotArea>
    <c:plotVisOnly val="1"/>
    <c:dispBlanksAs val="gap"/>
    <c:showDLblsOverMax val="0"/>
    <c:extLst>
      <c:ext uri="{0b15fc19-7d7d-44ad-8c2d-2c3a37ce22c3}">
        <chartProps xmlns="https://web.wps.cn/et/2018/main" chartId="{659f1469-e847-44da-a90a-df7ea9bec890}"/>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沐川县行政审批局一般公共预算财政拨款支出决算结构图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'[作参考：饼状（直方）图绘制方法(2).xls]一般公共预算财政拨款支出决算结构-图6'!$A$8</c:f>
              <c:strCache>
                <c:ptCount val="1"/>
                <c:pt idx="0">
                  <c:v>沐川县行政审批局一般公共预算财政拨款支出决算结构图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Lbls>
            <c:dLbl>
              <c:idx val="0"/>
              <c:layout>
                <c:manualLayout>
                  <c:x val="-0.122825912977659"/>
                  <c:y val="-0.361740626182898"/>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'[作参考：饼状（直方）图绘制方法(2).xls]一般公共预算财政拨款支出决算结构-图6'!$A$1:$D$1</c:f>
              <c:strCache>
                <c:ptCount val="4"/>
                <c:pt idx="0">
                  <c:v>一般公共服务支出</c:v>
                </c:pt>
                <c:pt idx="1">
                  <c:v>社会保障和就业支出</c:v>
                </c:pt>
                <c:pt idx="2">
                  <c:v>卫生健康支出</c:v>
                </c:pt>
                <c:pt idx="3">
                  <c:v>住房保障支出</c:v>
                </c:pt>
              </c:strCache>
            </c:strRef>
          </c:cat>
          <c:val>
            <c:numRef>
              <c:f>'[作参考：饼状（直方）图绘制方法(2).xls]一般公共预算财政拨款支出决算结构-图6'!$A$2:$D$2</c:f>
              <c:numCache>
                <c:formatCode>General</c:formatCode>
                <c:ptCount val="4"/>
                <c:pt idx="0">
                  <c:v>521.08</c:v>
                </c:pt>
                <c:pt idx="1">
                  <c:v>67.22</c:v>
                </c:pt>
                <c:pt idx="2">
                  <c:v>22.83</c:v>
                </c:pt>
                <c:pt idx="3">
                  <c:v>44.81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275"/>
          <c:h val="0.55325"/>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48bb76d7-538d-4c1e-8e69-8c7b37eedf12}"/>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9625"/>
          <c:y val="0.3"/>
          <c:w val="0.2635"/>
          <c:h val="0.527"/>
        </c:manualLayout>
      </c:layout>
      <c:pieChart>
        <c:varyColors val="1"/>
        <c:ser>
          <c:idx val="0"/>
          <c:order val="0"/>
          <c:tx>
            <c:strRef>
              <c:f>'[作参考：饼状（直方）图绘制方法(2).xls]三公经费财政拨款支出结构-图7'!$B$8</c:f>
              <c:strCache>
                <c:ptCount val="1"/>
                <c:pt idx="0">
                  <c:v>沐川县行政审批局“三公”经费财政拨款支出结构图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dLbl>
              <c:idx val="0"/>
              <c:layout/>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'[作参考：饼状（直方）图绘制方法(2).xls]三公经费财政拨款支出结构-图7'!$A$1:$C$1</c:f>
              <c:strCache>
                <c:ptCount val="3"/>
                <c:pt idx="0">
                  <c:v>因公出国（境）费支出</c:v>
                </c:pt>
                <c:pt idx="1">
                  <c:v>公务用车购置及运行维护费支出</c:v>
                </c:pt>
                <c:pt idx="2">
                  <c:v>公务接待费支出</c:v>
                </c:pt>
              </c:strCache>
            </c:strRef>
          </c:cat>
          <c:val>
            <c:numRef>
              <c:f>'[作参考：饼状（直方）图绘制方法(2).xls]三公经费财政拨款支出结构-图7'!$A$2:$C$2</c:f>
              <c:numCache>
                <c:formatCode>General</c:formatCode>
                <c:ptCount val="3"/>
                <c:pt idx="0">
                  <c:v>0</c:v>
                </c:pt>
                <c:pt idx="1">
                  <c:v>0</c:v>
                </c:pt>
                <c:pt idx="2">
                  <c:v>0.095</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3"/>
          <c:y val="0.3845"/>
          <c:w val="0.3375"/>
          <c:h val="0.3765"/>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2707bcd5-af36-4495-90a8-b8534afc909a}"/>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45</Pages>
  <Words>14902</Words>
  <Characters>16718</Characters>
  <Lines>61</Lines>
  <Paragraphs>17</Paragraphs>
  <TotalTime>2</TotalTime>
  <ScaleCrop>false</ScaleCrop>
  <LinksUpToDate>false</LinksUpToDate>
  <CharactersWithSpaces>16815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cp:lastModifiedBy>
  <cp:lastPrinted>2025-08-06T17:34:00Z</cp:lastPrinted>
  <dcterms:modified xsi:type="dcterms:W3CDTF">2025-09-25T03:33:36Z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eyJoZGlkIjoiMDg1MDMxYWM1NWY1ODczNTc3MmZiNDZjMzkzOTRmMDIiLCJ1c2VySWQiOiIyNjE5NzU2MzcifQ==</vt:lpwstr>
  </property>
</Properties>
</file>