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84569">
      <w:pPr>
        <w:suppressAutoHyphens/>
        <w:bidi w:val="0"/>
        <w:adjustRightInd w:val="0"/>
        <w:snapToGrid w:val="0"/>
        <w:spacing w:line="360" w:lineRule="auto"/>
        <w:jc w:val="both"/>
        <w:outlineLvl w:val="0"/>
        <w:rPr>
          <w:rFonts w:hint="eastAsia" w:ascii="方正小标宋简体" w:hAnsi="方正小标宋简体" w:eastAsia="方正小标宋简体" w:cs="方正小标宋简体"/>
          <w:color w:val="auto"/>
          <w:sz w:val="72"/>
          <w:szCs w:val="72"/>
        </w:rPr>
      </w:pPr>
      <w:bookmarkStart w:id="0" w:name="_Toc15396597"/>
      <w:bookmarkStart w:id="1" w:name="_Toc15378441"/>
      <w:bookmarkStart w:id="2" w:name="_Toc15377193"/>
      <w:bookmarkStart w:id="3" w:name="_Toc15306267"/>
      <w:bookmarkStart w:id="4" w:name="_Toc15396475"/>
      <w:bookmarkStart w:id="5" w:name="_Toc15377425"/>
    </w:p>
    <w:p w14:paraId="5F2FBC22">
      <w:pPr>
        <w:suppressAutoHyphens/>
        <w:bidi w:val="0"/>
        <w:adjustRightInd w:val="0"/>
        <w:snapToGrid w:val="0"/>
        <w:spacing w:line="360" w:lineRule="auto"/>
        <w:jc w:val="center"/>
        <w:outlineLvl w:val="0"/>
        <w:rPr>
          <w:rFonts w:ascii="方正小标宋简体" w:hAnsi="方正小标宋简体" w:eastAsia="方正小标宋简体" w:cs="方正小标宋简体"/>
          <w:color w:val="auto"/>
          <w:sz w:val="72"/>
          <w:szCs w:val="72"/>
        </w:rPr>
      </w:pPr>
      <w:r>
        <w:rPr>
          <w:rFonts w:hint="eastAsia" w:ascii="方正小标宋简体" w:hAnsi="方正小标宋简体" w:eastAsia="方正小标宋简体" w:cs="方正小标宋简体"/>
          <w:color w:val="auto"/>
          <w:sz w:val="72"/>
          <w:szCs w:val="72"/>
        </w:rPr>
        <w:t>202</w:t>
      </w:r>
      <w:r>
        <w:rPr>
          <w:rFonts w:hint="eastAsia" w:ascii="方正小标宋简体" w:hAnsi="方正小标宋简体" w:eastAsia="方正小标宋简体" w:cs="方正小标宋简体"/>
          <w:color w:val="auto"/>
          <w:sz w:val="72"/>
          <w:szCs w:val="72"/>
          <w:lang w:val="en-US" w:eastAsia="zh-CN"/>
        </w:rPr>
        <w:t>5</w:t>
      </w:r>
      <w:r>
        <w:rPr>
          <w:rFonts w:hint="eastAsia" w:ascii="方正小标宋简体" w:hAnsi="方正小标宋简体" w:eastAsia="方正小标宋简体" w:cs="方正小标宋简体"/>
          <w:color w:val="auto"/>
          <w:sz w:val="72"/>
          <w:szCs w:val="72"/>
        </w:rPr>
        <w:t>年度</w:t>
      </w:r>
    </w:p>
    <w:p w14:paraId="4B6D0853">
      <w:pPr>
        <w:suppressAutoHyphens/>
        <w:bidi w:val="0"/>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lang w:eastAsia="zh-CN"/>
        </w:rPr>
      </w:pPr>
      <w:r>
        <w:rPr>
          <w:rFonts w:hint="eastAsia" w:ascii="方正小标宋简体" w:hAnsi="方正小标宋简体" w:eastAsia="方正小标宋简体" w:cs="方正小标宋简体"/>
          <w:color w:val="auto"/>
          <w:sz w:val="72"/>
          <w:szCs w:val="72"/>
        </w:rPr>
        <w:t>四川省</w:t>
      </w:r>
      <w:r>
        <w:rPr>
          <w:rFonts w:hint="eastAsia" w:ascii="方正小标宋简体" w:hAnsi="方正小标宋简体" w:eastAsia="方正小标宋简体" w:cs="方正小标宋简体"/>
          <w:color w:val="auto"/>
          <w:sz w:val="72"/>
          <w:szCs w:val="72"/>
          <w:lang w:eastAsia="zh-CN"/>
        </w:rPr>
        <w:t>沐川县自然资源局</w:t>
      </w:r>
    </w:p>
    <w:p w14:paraId="372EE4F4">
      <w:pPr>
        <w:suppressAutoHyphens/>
        <w:bidi w:val="0"/>
        <w:adjustRightInd w:val="0"/>
        <w:snapToGrid w:val="0"/>
        <w:spacing w:line="360" w:lineRule="auto"/>
        <w:jc w:val="center"/>
        <w:outlineLvl w:val="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方正小标宋简体" w:hAnsi="方正小标宋简体" w:eastAsia="方正小标宋简体" w:cs="方正小标宋简体"/>
          <w:color w:val="auto"/>
          <w:sz w:val="72"/>
          <w:szCs w:val="72"/>
          <w:lang w:eastAsia="zh-CN"/>
        </w:rPr>
        <w:t>单位</w:t>
      </w:r>
      <w:r>
        <w:rPr>
          <w:rFonts w:hint="eastAsia" w:ascii="方正小标宋简体" w:hAnsi="方正小标宋简体" w:eastAsia="方正小标宋简体" w:cs="方正小标宋简体"/>
          <w:color w:val="auto"/>
          <w:sz w:val="72"/>
          <w:szCs w:val="72"/>
        </w:rPr>
        <w:t>决算</w:t>
      </w:r>
    </w:p>
    <w:p w14:paraId="1DB80134">
      <w:pPr>
        <w:pStyle w:val="6"/>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441F873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83F748C">
      <w:pPr>
        <w:widowControl/>
        <w:jc w:val="center"/>
        <w:rPr>
          <w:rFonts w:ascii="Times New Roman" w:hAnsi="Times New Roman" w:eastAsia="黑体" w:cstheme="minorBidi"/>
          <w:color w:val="auto"/>
          <w:sz w:val="28"/>
          <w:szCs w:val="28"/>
          <w:highlight w:val="none"/>
        </w:rPr>
      </w:pPr>
    </w:p>
    <w:p w14:paraId="7D88E5C1">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日</w:t>
      </w:r>
      <w:bookmarkStart w:id="61" w:name="_GoBack"/>
      <w:bookmarkEnd w:id="61"/>
    </w:p>
    <w:p w14:paraId="1E39A8CC">
      <w:pPr>
        <w:rPr>
          <w:rFonts w:ascii="Times New Roman" w:hAnsi="Times New Roman"/>
          <w:color w:val="auto"/>
          <w:highlight w:val="none"/>
        </w:rPr>
      </w:pPr>
    </w:p>
    <w:p w14:paraId="696CA5D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.............................1-4</w:t>
      </w:r>
    </w:p>
    <w:p w14:paraId="245B337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30376F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..........4</w:t>
      </w:r>
    </w:p>
    <w:p w14:paraId="0078519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.........5-15</w:t>
      </w:r>
    </w:p>
    <w:p w14:paraId="684663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.................5</w:t>
      </w:r>
    </w:p>
    <w:p w14:paraId="6609DD5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.................................5</w:t>
      </w:r>
    </w:p>
    <w:p w14:paraId="7B74E4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.............6</w:t>
      </w:r>
    </w:p>
    <w:p w14:paraId="2B5AC3A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.....6</w:t>
      </w:r>
    </w:p>
    <w:p w14:paraId="3CC5727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..........7-10</w:t>
      </w:r>
    </w:p>
    <w:p w14:paraId="504A091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10-11</w:t>
      </w:r>
    </w:p>
    <w:p w14:paraId="78561C3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............11-13</w:t>
      </w:r>
    </w:p>
    <w:p w14:paraId="7450961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........................13</w:t>
      </w:r>
    </w:p>
    <w:p w14:paraId="4B7265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....................13</w:t>
      </w:r>
    </w:p>
    <w:p w14:paraId="31C8985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....................................13-15</w:t>
      </w:r>
    </w:p>
    <w:p w14:paraId="5320B0F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............................................................16-19</w:t>
      </w:r>
    </w:p>
    <w:p w14:paraId="69448C0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....................................................................20-45</w:t>
      </w:r>
    </w:p>
    <w:p w14:paraId="796E687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sz w:val="32"/>
          <w:szCs w:val="32"/>
          <w:highlight w:val="none"/>
          <w:lang w:val="en-US"/>
        </w:rPr>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.........................................................................46</w:t>
      </w:r>
    </w:p>
    <w:p w14:paraId="4AD2225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988A0D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79863E3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4423E9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0C24EC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8FECAA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1A174E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C94775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386BCA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28B7649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95D11E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411009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6D53DA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E32A8B4">
      <w:pPr>
        <w:pStyle w:val="3"/>
        <w:jc w:val="center"/>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numberInDash" w:start="1"/>
          <w:cols w:space="425" w:num="1"/>
          <w:docGrid w:type="lines" w:linePitch="312" w:charSpace="0"/>
        </w:sectPr>
      </w:pPr>
      <w:bookmarkStart w:id="6" w:name="_Toc15377196"/>
      <w:bookmarkStart w:id="7" w:name="_Toc15396599"/>
    </w:p>
    <w:p w14:paraId="28312C6F">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7B59C14B">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1638869">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w:t>
      </w:r>
      <w:r>
        <w:rPr>
          <w:rFonts w:ascii="仿宋" w:hAnsi="仿宋" w:eastAsia="仿宋"/>
          <w:bCs/>
          <w:kern w:val="0"/>
          <w:sz w:val="32"/>
          <w:szCs w:val="32"/>
        </w:rPr>
        <w:t>按照规定权限，履行全民所有土地、矿产、森林、湿地、水等自然资源资产所有者职责和所有国土空间用途管制职责。拟订全</w:t>
      </w:r>
      <w:r>
        <w:rPr>
          <w:rFonts w:hint="eastAsia" w:ascii="仿宋" w:hAnsi="仿宋" w:eastAsia="仿宋"/>
          <w:bCs/>
          <w:kern w:val="0"/>
          <w:sz w:val="32"/>
          <w:szCs w:val="32"/>
        </w:rPr>
        <w:t>县</w:t>
      </w:r>
      <w:r>
        <w:rPr>
          <w:rFonts w:ascii="仿宋" w:hAnsi="仿宋" w:eastAsia="仿宋"/>
          <w:bCs/>
          <w:kern w:val="0"/>
          <w:sz w:val="32"/>
          <w:szCs w:val="32"/>
        </w:rPr>
        <w:t>自然资源和国土空间规划的规范性文件，制定有关政策措施并监督检查执行情况。</w:t>
      </w:r>
    </w:p>
    <w:p w14:paraId="38E35DCC">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2.</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调查监测评价。依照自然资源调查监测评价的指标体系和统计标准，建立统一规范的自然资源调查监测评价制度。实施自然资源基础调查、专项调查和监测。负责自然资源调查监测评价成果的监督管理和信息发布。</w:t>
      </w:r>
    </w:p>
    <w:p w14:paraId="4F6E1EE4">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3.</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统一确权登记工作。组织实施各类自然资源和不动产统一确权登记、权籍调查、不动产测绘、争议调处、成果应用的制度、标准、规范。负责管理自然资源和不动产登记信息管理基础平台。负责自然资源和不动产登记资料收集、整理、共享、汇交管理等。指导监督自然资源和不动产确权登记工作。</w:t>
      </w:r>
    </w:p>
    <w:p w14:paraId="3905475F">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4.</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资产有偿使用工作。建立全民所有自然资源资产统计制度，负责全民所有自然资源资产核算。编制全民所有自然资源资产负债表，依照有关标准组织考核。按照规定权限，制定全民所有自然资源资产划拨、出让、租赁、作价出资和土地储备政策，合理配置全民所有自然资源资产。负责自然资源资产价值评估管理，依法收缴相关资产收益。</w:t>
      </w:r>
    </w:p>
    <w:p w14:paraId="57CF1FA2">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5.</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的合理开发利用。组织拟订自然资源发展规划和战略，制定自然资源开发利用地方标准并组织实施，建立政府公示自然资源价格体系，组织开展自然资源分等定级价格评估，开展自然资源利用评价考核，指导节约集约利用。负责自然资源市场监管。组织研究自然资源管理涉及宏观调控、区域协调和城乡统</w:t>
      </w:r>
      <w:r>
        <w:rPr>
          <w:rFonts w:hint="eastAsia" w:ascii="仿宋" w:hAnsi="仿宋" w:eastAsia="仿宋"/>
          <w:bCs/>
          <w:kern w:val="0"/>
          <w:sz w:val="32"/>
          <w:szCs w:val="32"/>
        </w:rPr>
        <w:t>筹</w:t>
      </w:r>
      <w:r>
        <w:rPr>
          <w:rFonts w:ascii="仿宋" w:hAnsi="仿宋" w:eastAsia="仿宋"/>
          <w:bCs/>
          <w:kern w:val="0"/>
          <w:sz w:val="32"/>
          <w:szCs w:val="32"/>
        </w:rPr>
        <w:t>的政策措施。</w:t>
      </w:r>
    </w:p>
    <w:p w14:paraId="52C3923D">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6.</w:t>
      </w:r>
      <w:r>
        <w:rPr>
          <w:rFonts w:ascii="仿宋" w:hAnsi="仿宋" w:eastAsia="仿宋"/>
          <w:bCs/>
          <w:kern w:val="0"/>
          <w:sz w:val="32"/>
          <w:szCs w:val="32"/>
        </w:rPr>
        <w:t>负责建立全</w:t>
      </w:r>
      <w:r>
        <w:rPr>
          <w:rFonts w:hint="eastAsia" w:ascii="仿宋" w:hAnsi="仿宋" w:eastAsia="仿宋"/>
          <w:bCs/>
          <w:kern w:val="0"/>
          <w:sz w:val="32"/>
          <w:szCs w:val="32"/>
        </w:rPr>
        <w:t>县</w:t>
      </w:r>
      <w:r>
        <w:rPr>
          <w:rFonts w:ascii="仿宋" w:hAnsi="仿宋" w:eastAsia="仿宋"/>
          <w:bCs/>
          <w:kern w:val="0"/>
          <w:sz w:val="32"/>
          <w:szCs w:val="32"/>
        </w:rPr>
        <w:t>空间规划体系并监督实施。推进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研究拟订城乡规划政策并监督实施。组织拟订并实施土地等自然资源年度利用计划。负责土地等国土空间用途转用工作。负责土地征收征用管理。</w:t>
      </w:r>
    </w:p>
    <w:p w14:paraId="5B55A728">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7.</w:t>
      </w:r>
      <w:r>
        <w:rPr>
          <w:rFonts w:ascii="仿宋" w:hAnsi="仿宋" w:eastAsia="仿宋"/>
          <w:bCs/>
          <w:kern w:val="0"/>
          <w:sz w:val="32"/>
          <w:szCs w:val="32"/>
        </w:rPr>
        <w:t>负责统</w:t>
      </w:r>
      <w:r>
        <w:rPr>
          <w:rFonts w:hint="eastAsia" w:ascii="仿宋" w:hAnsi="仿宋" w:eastAsia="仿宋"/>
          <w:bCs/>
          <w:kern w:val="0"/>
          <w:sz w:val="32"/>
          <w:szCs w:val="32"/>
        </w:rPr>
        <w:t>筹</w:t>
      </w:r>
      <w:r>
        <w:rPr>
          <w:rFonts w:ascii="仿宋" w:hAnsi="仿宋" w:eastAsia="仿宋"/>
          <w:bCs/>
          <w:kern w:val="0"/>
          <w:sz w:val="32"/>
          <w:szCs w:val="32"/>
        </w:rPr>
        <w:t>全</w:t>
      </w:r>
      <w:r>
        <w:rPr>
          <w:rFonts w:hint="eastAsia" w:ascii="仿宋" w:hAnsi="仿宋" w:eastAsia="仿宋"/>
          <w:bCs/>
          <w:kern w:val="0"/>
          <w:sz w:val="32"/>
          <w:szCs w:val="32"/>
        </w:rPr>
        <w:t>县国土</w:t>
      </w:r>
      <w:r>
        <w:rPr>
          <w:rFonts w:ascii="仿宋" w:hAnsi="仿宋" w:eastAsia="仿宋"/>
          <w:bCs/>
          <w:kern w:val="0"/>
          <w:sz w:val="32"/>
          <w:szCs w:val="32"/>
        </w:rPr>
        <w:t>空间生态修复。牵头组织编制全</w:t>
      </w:r>
      <w:r>
        <w:rPr>
          <w:rFonts w:hint="eastAsia" w:ascii="仿宋" w:hAnsi="仿宋" w:eastAsia="仿宋"/>
          <w:bCs/>
          <w:kern w:val="0"/>
          <w:sz w:val="32"/>
          <w:szCs w:val="32"/>
        </w:rPr>
        <w:t>县</w:t>
      </w:r>
      <w:r>
        <w:rPr>
          <w:rFonts w:ascii="仿宋" w:hAnsi="仿宋" w:eastAsia="仿宋"/>
          <w:bCs/>
          <w:kern w:val="0"/>
          <w:sz w:val="32"/>
          <w:szCs w:val="32"/>
        </w:rPr>
        <w:t>国土空间生态修复规划并实施有关生态修复重大工程。负责开展国土空间综合整治、土地整理复垦、矿山地质环境恢复治理等工作。牵头建立和实施生态保护补偿制度，制定合理利用社会资金进行生态修复的政策措施，提出重大备选项目。</w:t>
      </w:r>
    </w:p>
    <w:p w14:paraId="44DA4D5B">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8.</w:t>
      </w:r>
      <w:r>
        <w:rPr>
          <w:rFonts w:ascii="仿宋" w:hAnsi="仿宋" w:eastAsia="仿宋"/>
          <w:bCs/>
          <w:kern w:val="0"/>
          <w:sz w:val="32"/>
          <w:szCs w:val="32"/>
        </w:rPr>
        <w:t>负责组织实施最严格的耕地保护制度。牵头拟订并实施全</w:t>
      </w:r>
      <w:r>
        <w:rPr>
          <w:rFonts w:hint="eastAsia" w:ascii="仿宋" w:hAnsi="仿宋" w:eastAsia="仿宋"/>
          <w:bCs/>
          <w:kern w:val="0"/>
          <w:sz w:val="32"/>
          <w:szCs w:val="32"/>
        </w:rPr>
        <w:t>县</w:t>
      </w:r>
      <w:r>
        <w:rPr>
          <w:rFonts w:ascii="仿宋" w:hAnsi="仿宋" w:eastAsia="仿宋"/>
          <w:bCs/>
          <w:kern w:val="0"/>
          <w:sz w:val="32"/>
          <w:szCs w:val="32"/>
        </w:rPr>
        <w:t>耕地保护政策，负责耕地数量、质量、生态保护。组织实施耕地保护责任目标考核和永久基本农田特殊保护。完善耕地占补平衡制度，监督占用耕地补偿制度执行情况。</w:t>
      </w:r>
    </w:p>
    <w:p w14:paraId="40A6800E">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9.</w:t>
      </w:r>
      <w:r>
        <w:rPr>
          <w:rFonts w:ascii="仿宋" w:hAnsi="仿宋" w:eastAsia="仿宋"/>
          <w:bCs/>
          <w:kern w:val="0"/>
          <w:sz w:val="32"/>
          <w:szCs w:val="32"/>
        </w:rPr>
        <w:t>负责管理全</w:t>
      </w:r>
      <w:r>
        <w:rPr>
          <w:rFonts w:hint="eastAsia" w:ascii="仿宋" w:hAnsi="仿宋" w:eastAsia="仿宋"/>
          <w:bCs/>
          <w:kern w:val="0"/>
          <w:sz w:val="32"/>
          <w:szCs w:val="32"/>
        </w:rPr>
        <w:t>县</w:t>
      </w:r>
      <w:r>
        <w:rPr>
          <w:rFonts w:ascii="仿宋" w:hAnsi="仿宋" w:eastAsia="仿宋"/>
          <w:bCs/>
          <w:kern w:val="0"/>
          <w:sz w:val="32"/>
          <w:szCs w:val="32"/>
        </w:rPr>
        <w:t>地质勘查行业和地质工作。拟订全</w:t>
      </w:r>
      <w:r>
        <w:rPr>
          <w:rFonts w:hint="eastAsia" w:ascii="仿宋" w:hAnsi="仿宋" w:eastAsia="仿宋"/>
          <w:bCs/>
          <w:kern w:val="0"/>
          <w:sz w:val="32"/>
          <w:szCs w:val="32"/>
        </w:rPr>
        <w:t>县</w:t>
      </w:r>
      <w:r>
        <w:rPr>
          <w:rFonts w:ascii="仿宋" w:hAnsi="仿宋" w:eastAsia="仿宋"/>
          <w:bCs/>
          <w:kern w:val="0"/>
          <w:sz w:val="32"/>
          <w:szCs w:val="32"/>
        </w:rPr>
        <w:t>地质勘查规划并监督检查执行情况。管理</w:t>
      </w:r>
      <w:r>
        <w:rPr>
          <w:rFonts w:hint="eastAsia" w:ascii="仿宋" w:hAnsi="仿宋" w:eastAsia="仿宋"/>
          <w:bCs/>
          <w:kern w:val="0"/>
          <w:sz w:val="32"/>
          <w:szCs w:val="32"/>
        </w:rPr>
        <w:t>县</w:t>
      </w:r>
      <w:r>
        <w:rPr>
          <w:rFonts w:ascii="仿宋" w:hAnsi="仿宋" w:eastAsia="仿宋"/>
          <w:bCs/>
          <w:kern w:val="0"/>
          <w:sz w:val="32"/>
          <w:szCs w:val="32"/>
        </w:rPr>
        <w:t>级地质勘查项目。组织实施重大地质矿产勘查专项。负责地质灾害预防和治理，监督管理地下水过量开采及引发的地面沉降等地质问题。负责古生物化石的监督管理。</w:t>
      </w:r>
    </w:p>
    <w:p w14:paraId="46EFB478">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10.</w:t>
      </w:r>
      <w:r>
        <w:rPr>
          <w:rFonts w:ascii="仿宋" w:hAnsi="仿宋" w:eastAsia="仿宋"/>
          <w:bCs/>
          <w:kern w:val="0"/>
          <w:sz w:val="32"/>
          <w:szCs w:val="32"/>
        </w:rPr>
        <w:t>负责落实综合防灾减灾规划相关要求，组织编制全</w:t>
      </w:r>
      <w:r>
        <w:rPr>
          <w:rFonts w:hint="eastAsia" w:ascii="仿宋" w:hAnsi="仿宋" w:eastAsia="仿宋"/>
          <w:bCs/>
          <w:kern w:val="0"/>
          <w:sz w:val="32"/>
          <w:szCs w:val="32"/>
        </w:rPr>
        <w:t>县</w:t>
      </w:r>
      <w:r>
        <w:rPr>
          <w:rFonts w:ascii="仿宋" w:hAnsi="仿宋" w:eastAsia="仿宋"/>
          <w:bCs/>
          <w:kern w:val="0"/>
          <w:sz w:val="32"/>
          <w:szCs w:val="32"/>
        </w:rPr>
        <w:t>地质灾害防治规划和防护标准并指导实施。组织指导协调和监督地质灾害调查评价及隐患的普查、详查、排查。组织、指导开展群测群防、专业监测和预报预警等工作，组织、指导开展地质灾害工程治理工作。承担地质灾害应急救援的技术保障工作。</w:t>
      </w:r>
    </w:p>
    <w:p w14:paraId="4EF479C5">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11.</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矿产资源管理工作。负责矿产资源储量管理及压覆矿产资源报批。负责矿业权管理。会同有关部门承担保护性开采的特定矿种、优势矿产的调控及相关管理工作。监督指导矿产资源合理利用和保护。</w:t>
      </w:r>
    </w:p>
    <w:p w14:paraId="5BB363F1">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12.负责测绘地理信息管理工作，负责基础测绘和测绘行业管理。负责测绘资质资格、质量、可信管理，监督管理地理信息安全和市场秩序。负责地图管理、地理信息公共服务工作。负责测量标志保护。承担全县地理空间数据汇集、共享工作。负责全县航空航天遥感影像数据的统一获取、处理、提供。</w:t>
      </w:r>
    </w:p>
    <w:p w14:paraId="2D31BBC9">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13.</w:t>
      </w:r>
      <w:r>
        <w:rPr>
          <w:rFonts w:ascii="仿宋" w:hAnsi="仿宋" w:eastAsia="仿宋"/>
          <w:bCs/>
          <w:kern w:val="0"/>
          <w:sz w:val="32"/>
          <w:szCs w:val="32"/>
        </w:rPr>
        <w:t>推动全</w:t>
      </w:r>
      <w:r>
        <w:rPr>
          <w:rFonts w:hint="eastAsia" w:ascii="仿宋" w:hAnsi="仿宋" w:eastAsia="仿宋"/>
          <w:bCs/>
          <w:kern w:val="0"/>
          <w:sz w:val="32"/>
          <w:szCs w:val="32"/>
        </w:rPr>
        <w:t>县</w:t>
      </w:r>
      <w:r>
        <w:rPr>
          <w:rFonts w:ascii="仿宋" w:hAnsi="仿宋" w:eastAsia="仿宋"/>
          <w:bCs/>
          <w:kern w:val="0"/>
          <w:sz w:val="32"/>
          <w:szCs w:val="32"/>
        </w:rPr>
        <w:t>自然资源领域科技发展和对外合作。制定并实施全</w:t>
      </w:r>
      <w:r>
        <w:rPr>
          <w:rFonts w:hint="eastAsia" w:ascii="仿宋" w:hAnsi="仿宋" w:eastAsia="仿宋"/>
          <w:bCs/>
          <w:kern w:val="0"/>
          <w:sz w:val="32"/>
          <w:szCs w:val="32"/>
        </w:rPr>
        <w:t>县</w:t>
      </w:r>
      <w:r>
        <w:rPr>
          <w:rFonts w:ascii="仿宋" w:hAnsi="仿宋" w:eastAsia="仿宋"/>
          <w:bCs/>
          <w:kern w:val="0"/>
          <w:sz w:val="32"/>
          <w:szCs w:val="32"/>
        </w:rPr>
        <w:t>自然资源领域科技创新发展和人才培养规划、计划。组织实施重大科技专项及创新能力建设，推进自然资源信息化和信息资料的公共服务。组织开展全</w:t>
      </w:r>
      <w:r>
        <w:rPr>
          <w:rFonts w:hint="eastAsia" w:ascii="仿宋" w:hAnsi="仿宋" w:eastAsia="仿宋"/>
          <w:bCs/>
          <w:kern w:val="0"/>
          <w:sz w:val="32"/>
          <w:szCs w:val="32"/>
        </w:rPr>
        <w:t>县</w:t>
      </w:r>
      <w:r>
        <w:rPr>
          <w:rFonts w:ascii="仿宋" w:hAnsi="仿宋" w:eastAsia="仿宋"/>
          <w:bCs/>
          <w:kern w:val="0"/>
          <w:sz w:val="32"/>
          <w:szCs w:val="32"/>
        </w:rPr>
        <w:t>自然资源系统对外交流合作。</w:t>
      </w:r>
    </w:p>
    <w:p w14:paraId="0DA32D53">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14.</w:t>
      </w:r>
      <w:r>
        <w:rPr>
          <w:rFonts w:ascii="仿宋" w:hAnsi="仿宋" w:eastAsia="仿宋"/>
          <w:bCs/>
          <w:kern w:val="0"/>
          <w:sz w:val="32"/>
          <w:szCs w:val="32"/>
        </w:rPr>
        <w:t>组织实施自然资源督察相关工作。</w:t>
      </w:r>
      <w:r>
        <w:rPr>
          <w:rFonts w:hint="eastAsia" w:ascii="仿宋" w:hAnsi="仿宋" w:eastAsia="仿宋"/>
          <w:bCs/>
          <w:kern w:val="0"/>
          <w:sz w:val="32"/>
          <w:szCs w:val="32"/>
        </w:rPr>
        <w:t>负责查处全县自然资源开发利用、国土空间规划等领域重大违法案件。</w:t>
      </w:r>
    </w:p>
    <w:p w14:paraId="6588CA1F">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15.</w:t>
      </w:r>
      <w:r>
        <w:rPr>
          <w:rFonts w:ascii="仿宋" w:hAnsi="仿宋" w:eastAsia="仿宋"/>
          <w:bCs/>
          <w:kern w:val="0"/>
          <w:sz w:val="32"/>
          <w:szCs w:val="32"/>
        </w:rPr>
        <w:t>负责职责范围内的安全生产和职业健康、生态环境保护</w:t>
      </w:r>
      <w:r>
        <w:rPr>
          <w:rFonts w:hint="eastAsia" w:ascii="仿宋" w:hAnsi="仿宋" w:eastAsia="仿宋"/>
          <w:bCs/>
          <w:kern w:val="0"/>
          <w:sz w:val="32"/>
          <w:szCs w:val="32"/>
        </w:rPr>
        <w:t>和职业健康</w:t>
      </w:r>
      <w:r>
        <w:rPr>
          <w:rFonts w:ascii="仿宋" w:hAnsi="仿宋" w:eastAsia="仿宋"/>
          <w:bCs/>
          <w:kern w:val="0"/>
          <w:sz w:val="32"/>
          <w:szCs w:val="32"/>
        </w:rPr>
        <w:t>等工作。</w:t>
      </w:r>
    </w:p>
    <w:p w14:paraId="73E20AD5">
      <w:pPr>
        <w:widowControl/>
        <w:spacing w:line="560" w:lineRule="exact"/>
        <w:ind w:firstLine="640" w:firstLineChars="200"/>
        <w:jc w:val="left"/>
        <w:rPr>
          <w:rFonts w:hint="eastAsia"/>
          <w:lang w:eastAsia="zh-CN"/>
        </w:rPr>
      </w:pPr>
      <w:r>
        <w:rPr>
          <w:rFonts w:hint="eastAsia" w:ascii="仿宋" w:hAnsi="仿宋" w:eastAsia="仿宋"/>
          <w:bCs/>
          <w:kern w:val="0"/>
          <w:sz w:val="32"/>
          <w:szCs w:val="32"/>
        </w:rPr>
        <w:t>16.</w:t>
      </w:r>
      <w:r>
        <w:rPr>
          <w:rFonts w:ascii="仿宋" w:hAnsi="仿宋" w:eastAsia="仿宋"/>
          <w:bCs/>
          <w:kern w:val="0"/>
          <w:sz w:val="32"/>
          <w:szCs w:val="32"/>
        </w:rPr>
        <w:t>完成</w:t>
      </w:r>
      <w:r>
        <w:rPr>
          <w:rFonts w:hint="eastAsia" w:ascii="仿宋" w:hAnsi="仿宋" w:eastAsia="仿宋"/>
          <w:bCs/>
          <w:kern w:val="0"/>
          <w:sz w:val="32"/>
          <w:szCs w:val="32"/>
        </w:rPr>
        <w:t>县</w:t>
      </w:r>
      <w:r>
        <w:rPr>
          <w:rFonts w:ascii="仿宋" w:hAnsi="仿宋" w:eastAsia="仿宋"/>
          <w:bCs/>
          <w:kern w:val="0"/>
          <w:sz w:val="32"/>
          <w:szCs w:val="32"/>
        </w:rPr>
        <w:t>委、</w:t>
      </w:r>
      <w:r>
        <w:rPr>
          <w:rFonts w:hint="eastAsia" w:ascii="仿宋" w:hAnsi="仿宋" w:eastAsia="仿宋"/>
          <w:bCs/>
          <w:kern w:val="0"/>
          <w:sz w:val="32"/>
          <w:szCs w:val="32"/>
        </w:rPr>
        <w:t>县</w:t>
      </w:r>
      <w:r>
        <w:rPr>
          <w:rFonts w:ascii="仿宋" w:hAnsi="仿宋" w:eastAsia="仿宋"/>
          <w:bCs/>
          <w:kern w:val="0"/>
          <w:sz w:val="32"/>
          <w:szCs w:val="32"/>
        </w:rPr>
        <w:t>政府交办的其他工作。</w:t>
      </w:r>
    </w:p>
    <w:p w14:paraId="04FC87D2">
      <w:pPr>
        <w:pStyle w:val="4"/>
        <w:rPr>
          <w:rStyle w:val="31"/>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8"/>
      <w:bookmarkEnd w:id="9"/>
    </w:p>
    <w:p w14:paraId="210EE4E6">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沐川县自然资源局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沐川县土地事务服务中心、沐川县不动产登记中心、沐川县规划设计中心、沐川县地质环境监测站，沐溪片区自然资源所、舟坝片区自然资源所、大楠片区自然资源所、利店片区自然资源所</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w:t>
      </w:r>
    </w:p>
    <w:p w14:paraId="034EA149">
      <w:pPr>
        <w:pStyle w:val="6"/>
        <w:adjustRightInd w:val="0"/>
        <w:snapToGrid w:val="0"/>
        <w:spacing w:before="93" w:line="600" w:lineRule="exact"/>
        <w:ind w:firstLine="672" w:firstLineChars="210"/>
        <w:rPr>
          <w:rFonts w:hint="eastAsia"/>
        </w:rPr>
      </w:pPr>
      <w:r>
        <w:rPr>
          <w:rFonts w:hint="eastAsia" w:ascii="仿宋" w:hAnsi="仿宋" w:eastAsia="仿宋"/>
          <w:color w:val="000000"/>
          <w:sz w:val="32"/>
          <w:szCs w:val="32"/>
          <w:lang w:eastAsia="zh-CN"/>
        </w:rPr>
        <w:t>以上单位全部</w:t>
      </w:r>
      <w:r>
        <w:rPr>
          <w:rFonts w:hint="eastAsia" w:ascii="仿宋" w:hAnsi="仿宋" w:eastAsia="仿宋"/>
          <w:color w:val="000000"/>
          <w:sz w:val="32"/>
          <w:szCs w:val="32"/>
        </w:rPr>
        <w:t>纳入202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年度部门决算编制范围</w:t>
      </w:r>
      <w:r>
        <w:rPr>
          <w:rFonts w:hint="eastAsia" w:ascii="仿宋" w:hAnsi="仿宋" w:eastAsia="仿宋"/>
          <w:color w:val="000000"/>
          <w:sz w:val="32"/>
          <w:szCs w:val="32"/>
          <w:lang w:eastAsia="zh-CN"/>
        </w:rPr>
        <w:t>。</w:t>
      </w:r>
    </w:p>
    <w:p w14:paraId="647E1090">
      <w:pPr>
        <w:rPr>
          <w:rFonts w:hint="eastAsia"/>
        </w:rPr>
      </w:pPr>
      <w:bookmarkStart w:id="10" w:name="_Toc15377204"/>
      <w:bookmarkStart w:id="11" w:name="_Toc15396602"/>
    </w:p>
    <w:p w14:paraId="286C133C">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0ABFCDFA">
      <w:pPr>
        <w:rPr>
          <w:rFonts w:ascii="Times New Roman" w:hAnsi="Times New Roman"/>
          <w:color w:val="auto"/>
          <w:highlight w:val="none"/>
        </w:rPr>
      </w:pPr>
    </w:p>
    <w:p w14:paraId="5B78495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2"/>
      <w:bookmarkEnd w:id="13"/>
    </w:p>
    <w:p w14:paraId="178CE50E">
      <w:pPr>
        <w:spacing w:line="560" w:lineRule="exact"/>
        <w:ind w:firstLine="640" w:firstLineChars="20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15333.54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790.53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5.4</w:t>
      </w:r>
      <w:r>
        <w:rPr>
          <w:rFonts w:hint="eastAsia" w:ascii="Times New Roman" w:hAnsi="Times New Roman" w:eastAsia="仿宋_GB2312" w:cs="仿宋_GB2312"/>
          <w:color w:val="auto"/>
          <w:sz w:val="32"/>
          <w:szCs w:val="32"/>
          <w:highlight w:val="none"/>
        </w:rPr>
        <w:t>%。主要变动原因</w:t>
      </w:r>
      <w:r>
        <w:rPr>
          <w:rFonts w:hint="eastAsia" w:ascii="Times New Roman" w:hAnsi="Times New Roman" w:eastAsia="仿宋_GB2312" w:cs="仿宋_GB2312"/>
          <w:color w:val="auto"/>
          <w:sz w:val="32"/>
          <w:szCs w:val="32"/>
          <w:highlight w:val="none"/>
          <w:lang w:eastAsia="zh-CN"/>
        </w:rPr>
        <w:t>是</w:t>
      </w:r>
      <w:r>
        <w:rPr>
          <w:rFonts w:hint="eastAsia" w:ascii="Times New Roman" w:hAnsi="Times New Roman" w:eastAsia="仿宋_GB2312" w:cs="仿宋_GB2312"/>
          <w:color w:val="auto"/>
          <w:sz w:val="32"/>
          <w:szCs w:val="32"/>
          <w:highlight w:val="none"/>
        </w:rPr>
        <w:t>新增耕地和双挂钩项目</w:t>
      </w:r>
      <w:r>
        <w:rPr>
          <w:rFonts w:hint="eastAsia" w:eastAsia="仿宋_GB2312" w:cs="仿宋_GB2312"/>
          <w:color w:val="auto"/>
          <w:sz w:val="32"/>
          <w:szCs w:val="32"/>
          <w:highlight w:val="none"/>
          <w:lang w:eastAsia="zh-CN"/>
        </w:rPr>
        <w:t>、收回收购沐溪镇城北路和交通街路政大队存量闲置土地项目</w:t>
      </w:r>
      <w:r>
        <w:rPr>
          <w:rFonts w:hint="eastAsia" w:ascii="仿宋" w:hAnsi="仿宋" w:eastAsia="仿宋"/>
          <w:color w:val="auto"/>
          <w:kern w:val="0"/>
          <w:sz w:val="32"/>
          <w:szCs w:val="32"/>
          <w:lang w:eastAsia="zh-CN"/>
        </w:rPr>
        <w:t>预算收入、支出均增多。</w:t>
      </w:r>
    </w:p>
    <w:p w14:paraId="7404BC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 w:hAnsi="仿宋" w:eastAsia="仿宋" w:cs="仿宋"/>
          <w:sz w:val="32"/>
          <w:szCs w:val="32"/>
          <w:lang w:val="en-US" w:eastAsia="zh-CN"/>
        </w:rPr>
        <w:object>
          <v:shape id="_x0000_i1025" o:spt="75" type="#_x0000_t75" style="height:222.75pt;width:375.75pt;" o:ole="t" filled="f" o:preferrelative="t" stroked="f" coordsize="21600,21600">
            <v:path/>
            <v:fill on="f" focussize="0,0"/>
            <v:stroke on="f"/>
            <v:imagedata r:id="rId11" o:title=""/>
            <o:lock v:ext="edit" aspectratio="t"/>
            <w10:wrap type="none"/>
            <w10:anchorlock/>
          </v:shape>
          <o:OLEObject Type="Embed" ProgID="Excel.Chart.8" ShapeID="_x0000_i1025" DrawAspect="Content" ObjectID="_1468075725" r:id="rId10">
            <o:LockedField>false</o:LockedField>
          </o:OLEObject>
        </w:object>
      </w:r>
    </w:p>
    <w:p w14:paraId="47AD1AC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1DE7388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14955.75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2351.36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15.72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12491.41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83.52</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112.98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w:t>
      </w:r>
    </w:p>
    <w:p w14:paraId="3C71FE6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38371F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 w:eastAsia="仿宋_GB2312"/>
          <w:sz w:val="32"/>
          <w:szCs w:val="32"/>
          <w:highlight w:val="none"/>
          <w:lang w:eastAsia="zh-CN"/>
        </w:rPr>
        <w:object>
          <v:shape id="_x0000_i1026" o:spt="75" type="#_x0000_t75" style="height:222.75pt;width:366.75pt;" o:ole="t" filled="f" o:preferrelative="t" stroked="f" coordsize="21600,21600">
            <v:path/>
            <v:fill on="f" focussize="0,0"/>
            <v:stroke on="f"/>
            <v:imagedata r:id="rId13" o:title=""/>
            <o:lock v:ext="edit" aspectratio="t"/>
            <w10:wrap type="none"/>
            <w10:anchorlock/>
          </v:shape>
          <o:OLEObject Type="Embed" ProgID="Excel.Chart.8" ShapeID="_x0000_i1026" DrawAspect="Content" ObjectID="_1468075726" r:id="rId12">
            <o:LockedField>false</o:LockedField>
          </o:OLEObject>
        </w:object>
      </w:r>
    </w:p>
    <w:p w14:paraId="67ED594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6"/>
      <w:bookmarkEnd w:id="17"/>
    </w:p>
    <w:p w14:paraId="41FBE65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15333.54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1106.66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7.2</w:t>
      </w:r>
      <w:r>
        <w:rPr>
          <w:rFonts w:hint="eastAsia" w:ascii="仿宋_GB2312" w:hAnsi="仿宋_GB2312" w:eastAsia="仿宋_GB2312" w:cs="仿宋_GB2312"/>
          <w:sz w:val="32"/>
          <w:szCs w:val="32"/>
          <w:lang w:val="en-US" w:eastAsia="zh-CN"/>
        </w:rPr>
        <w:t>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14226.88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92.78</w:t>
      </w:r>
      <w:r>
        <w:rPr>
          <w:rFonts w:hint="eastAsia" w:ascii="Times New Roman" w:hAnsi="Times New Roman" w:eastAsia="仿宋_GB2312" w:cs="仿宋_GB2312"/>
          <w:color w:val="auto"/>
          <w:sz w:val="32"/>
          <w:szCs w:val="32"/>
          <w:highlight w:val="none"/>
          <w:lang w:eastAsia="zh-CN"/>
        </w:rPr>
        <w:t>%。</w:t>
      </w:r>
    </w:p>
    <w:p w14:paraId="7A44D357">
      <w:pPr>
        <w:ind w:firstLine="840" w:firstLineChars="400"/>
        <w:rPr>
          <w:rFonts w:hint="eastAsia" w:ascii="Times New Roman" w:hAnsi="Times New Roman" w:eastAsia="仿宋_GB2312" w:cs="仿宋_GB2312"/>
          <w:color w:val="auto"/>
          <w:sz w:val="32"/>
          <w:szCs w:val="32"/>
          <w:highlight w:val="none"/>
          <w:lang w:eastAsia="zh-CN"/>
        </w:rPr>
      </w:pPr>
      <w:r>
        <w:rPr>
          <w:rFonts w:hint="default"/>
          <w:lang w:val="en-US" w:eastAsia="zh-CN"/>
        </w:rPr>
        <w:object>
          <v:shape id="_x0000_i1027" o:spt="75" type="#_x0000_t75" style="height:222.75pt;width:366.75pt;" o:ole="t" filled="f" o:preferrelative="t" stroked="f" coordsize="21600,21600">
            <v:path/>
            <v:fill on="f" focussize="0,0"/>
            <v:stroke on="f"/>
            <v:imagedata r:id="rId15" o:title=""/>
            <o:lock v:ext="edit" aspectratio="t"/>
            <w10:wrap type="none"/>
            <w10:anchorlock/>
          </v:shape>
          <o:OLEObject Type="Embed" ProgID="Excel.Chart.8" ShapeID="_x0000_i1027" DrawAspect="Content" ObjectID="_1468075727" r:id="rId14">
            <o:LockedField>false</o:LockedField>
          </o:OLEObject>
        </w:object>
      </w:r>
    </w:p>
    <w:p w14:paraId="6AEC0D9E">
      <w:pPr>
        <w:spacing w:line="600" w:lineRule="exact"/>
        <w:ind w:firstLine="640" w:firstLineChars="200"/>
        <w:outlineLvl w:val="1"/>
        <w:rPr>
          <w:rStyle w:val="31"/>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8"/>
      <w:bookmarkEnd w:id="19"/>
    </w:p>
    <w:p w14:paraId="582DAA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15220.56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830.89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5.77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kern w:val="0"/>
          <w:sz w:val="32"/>
          <w:szCs w:val="32"/>
          <w:lang w:eastAsia="zh-CN"/>
        </w:rPr>
        <w:t>政府性基金清欠专项债券和地方政府收储土地专项债</w:t>
      </w:r>
      <w:r>
        <w:rPr>
          <w:rFonts w:hint="eastAsia" w:ascii="仿宋" w:hAnsi="仿宋" w:eastAsia="仿宋"/>
          <w:color w:val="auto"/>
          <w:kern w:val="0"/>
          <w:sz w:val="32"/>
          <w:szCs w:val="32"/>
        </w:rPr>
        <w:t>资金</w:t>
      </w:r>
      <w:r>
        <w:rPr>
          <w:rFonts w:hint="eastAsia" w:ascii="仿宋" w:hAnsi="仿宋" w:eastAsia="仿宋"/>
          <w:color w:val="auto"/>
          <w:kern w:val="0"/>
          <w:sz w:val="32"/>
          <w:szCs w:val="32"/>
          <w:lang w:eastAsia="zh-CN"/>
        </w:rPr>
        <w:t>预算收入、支出均增多。</w:t>
      </w:r>
    </w:p>
    <w:p w14:paraId="785F1032">
      <w:pPr>
        <w:pStyle w:val="14"/>
        <w:ind w:firstLine="640" w:firstLineChars="200"/>
        <w:rPr>
          <w:rFonts w:hint="eastAsia"/>
          <w:lang w:val="en-US" w:eastAsia="zh-CN"/>
        </w:rPr>
      </w:pPr>
      <w:r>
        <w:rPr>
          <w:rFonts w:hint="eastAsia" w:ascii="仿宋" w:hAnsi="仿宋" w:eastAsia="仿宋" w:cs="仿宋"/>
          <w:sz w:val="32"/>
          <w:szCs w:val="32"/>
          <w:lang w:val="en-US" w:eastAsia="zh-CN"/>
        </w:rPr>
        <w:object>
          <v:shape id="_x0000_i1028" o:spt="75" type="#_x0000_t75" style="height:222.75pt;width:375.75pt;" o:ole="t" filled="f" o:preferrelative="t" stroked="f" coordsize="21600,21600">
            <v:path/>
            <v:fill on="f" focussize="0,0"/>
            <v:stroke on="f"/>
            <v:imagedata r:id="rId17" o:title=""/>
            <o:lock v:ext="edit" aspectratio="t"/>
            <w10:wrap type="none"/>
            <w10:anchorlock/>
          </v:shape>
          <o:OLEObject Type="Embed" ProgID="Excel.Chart.8" ShapeID="_x0000_i1028" DrawAspect="Content" ObjectID="_1468075728" r:id="rId16">
            <o:LockedField>false</o:LockedField>
          </o:OLEObject>
        </w:object>
      </w:r>
    </w:p>
    <w:p w14:paraId="049419E3">
      <w:pPr>
        <w:spacing w:line="600" w:lineRule="exact"/>
        <w:ind w:firstLine="640" w:firstLineChars="200"/>
        <w:outlineLvl w:val="1"/>
        <w:rPr>
          <w:rStyle w:val="31"/>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0"/>
      <w:bookmarkEnd w:id="21"/>
    </w:p>
    <w:p w14:paraId="664751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77E66F4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17.79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7674.07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73.84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是项目类</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减少，2025年该类资金多在政府性基金中解决。</w:t>
      </w:r>
    </w:p>
    <w:p w14:paraId="5104DCD9">
      <w:pPr>
        <w:pStyle w:val="2"/>
        <w:rPr>
          <w:rFonts w:hint="eastAsia"/>
          <w:lang w:val="en-US" w:eastAsia="zh-CN"/>
        </w:rPr>
      </w:pPr>
    </w:p>
    <w:p w14:paraId="736CCE35">
      <w:pPr>
        <w:pStyle w:val="8"/>
        <w:ind w:left="638" w:leftChars="304" w:firstLine="0" w:firstLineChars="0"/>
        <w:rPr>
          <w:rFonts w:hint="eastAsia" w:ascii="Times New Roman" w:hAnsi="Times New Roman" w:eastAsia="楷体_GB2312" w:cs="楷体_GB2312"/>
          <w:b/>
          <w:color w:val="auto"/>
          <w:sz w:val="32"/>
          <w:szCs w:val="32"/>
          <w:highlight w:val="none"/>
        </w:rPr>
      </w:pPr>
      <w:r>
        <w:rPr>
          <w:rFonts w:hint="eastAsia" w:ascii="仿宋" w:hAnsi="仿宋" w:eastAsia="仿宋" w:cs="仿宋"/>
          <w:sz w:val="32"/>
          <w:szCs w:val="32"/>
          <w:lang w:val="en-US" w:eastAsia="zh-CN"/>
        </w:rPr>
        <w:object>
          <v:shape id="_x0000_i1029" o:spt="75" type="#_x0000_t75" style="height:222.75pt;width:375.75pt;" o:ole="t" filled="f" o:preferrelative="t" stroked="f" coordsize="21600,21600">
            <v:path/>
            <v:fill on="f" focussize="0,0"/>
            <v:stroke on="f"/>
            <v:imagedata r:id="rId19" o:title=""/>
            <o:lock v:ext="edit" aspectratio="t"/>
            <w10:wrap type="none"/>
            <w10:anchorlock/>
          </v:shape>
          <o:OLEObject Type="Embed" ProgID="Excel.Chart.8" ShapeID="_x0000_i1029" DrawAspect="Content" ObjectID="_1468075729" r:id="rId18">
            <o:LockedField>false</o:LockedField>
          </o:OLEObject>
        </w:object>
      </w:r>
      <w:bookmarkStart w:id="23" w:name="_Toc15377211"/>
      <w:r>
        <w:rPr>
          <w:rFonts w:hint="eastAsia" w:ascii="仿宋" w:hAnsi="仿宋" w:eastAsia="仿宋" w:cs="仿宋"/>
          <w:sz w:val="32"/>
          <w:szCs w:val="32"/>
          <w:lang w:val="en-US" w:eastAsia="zh-CN"/>
        </w:rPr>
        <w:t xml:space="preserve"> </w:t>
      </w:r>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17D9587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112.28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114.78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40.68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1.49</w:t>
      </w:r>
      <w:r>
        <w:rPr>
          <w:rFonts w:hint="eastAsia" w:ascii="Times New Roman" w:hAnsi="Times New Roman" w:eastAsia="仿宋_GB2312" w:cs="仿宋_GB2312"/>
          <w:color w:val="auto"/>
          <w:kern w:val="2"/>
          <w:sz w:val="32"/>
          <w:szCs w:val="32"/>
          <w:highlight w:val="none"/>
          <w:lang w:val="en-US" w:eastAsia="zh-CN" w:bidi="ar-SA"/>
        </w:rPr>
        <w:t>%；农林水支出0.71万元，占0.03%；自然资源海洋气象等支出1654.18万元，占60.61%；住房保障支出</w:t>
      </w:r>
      <w:r>
        <w:rPr>
          <w:rFonts w:hint="eastAsia" w:eastAsia="仿宋_GB2312" w:cs="仿宋_GB2312"/>
          <w:color w:val="auto"/>
          <w:kern w:val="2"/>
          <w:sz w:val="32"/>
          <w:szCs w:val="32"/>
          <w:highlight w:val="none"/>
          <w:lang w:val="en-US" w:eastAsia="zh-CN" w:bidi="ar-SA"/>
        </w:rPr>
        <w:t>77.59</w:t>
      </w:r>
      <w:r>
        <w:rPr>
          <w:rFonts w:hint="eastAsia" w:ascii="Times New Roman" w:hAnsi="Times New Roman" w:eastAsia="仿宋_GB2312" w:cs="仿宋_GB2312"/>
          <w:color w:val="auto"/>
          <w:kern w:val="2"/>
          <w:sz w:val="32"/>
          <w:szCs w:val="32"/>
          <w:highlight w:val="none"/>
          <w:lang w:val="en-US" w:eastAsia="zh-CN" w:bidi="ar-SA"/>
        </w:rPr>
        <w:t>万元，占2.84%；灾害防治及应急管理支出728.93万元，占26.71%.</w:t>
      </w:r>
    </w:p>
    <w:p w14:paraId="20772E37">
      <w:pPr>
        <w:pStyle w:val="14"/>
        <w:rPr>
          <w:rFonts w:hint="eastAsia" w:ascii="Times New Roman" w:hAnsi="Times New Roman" w:eastAsia="仿宋_GB2312" w:cs="仿宋_GB2312"/>
          <w:color w:val="auto"/>
          <w:kern w:val="2"/>
          <w:sz w:val="32"/>
          <w:szCs w:val="32"/>
          <w:highlight w:val="none"/>
          <w:lang w:val="en-US" w:eastAsia="zh-CN" w:bidi="ar-SA"/>
        </w:rPr>
      </w:pPr>
    </w:p>
    <w:p w14:paraId="2347A401">
      <w:pPr>
        <w:pStyle w:val="8"/>
        <w:rPr>
          <w:rFonts w:hint="eastAsia" w:ascii="Times New Roman" w:hAnsi="Times New Roman" w:eastAsia="仿宋_GB2312" w:cs="仿宋_GB2312"/>
          <w:color w:val="auto"/>
          <w:kern w:val="2"/>
          <w:sz w:val="32"/>
          <w:szCs w:val="32"/>
          <w:highlight w:val="none"/>
          <w:lang w:val="en-US" w:eastAsia="zh-CN" w:bidi="ar-SA"/>
        </w:rPr>
      </w:pPr>
      <w:r>
        <w:rPr>
          <w:rFonts w:hint="default"/>
          <w:lang w:val="en-US" w:eastAsia="zh-CN"/>
        </w:rPr>
        <w:object>
          <v:shape id="_x0000_i1030" o:spt="75" type="#_x0000_t75" style="height:222.75pt;width:366.75pt;" o:ole="t" filled="f" o:preferrelative="t" stroked="f" coordsize="21600,21600">
            <v:path/>
            <v:fill on="f" focussize="0,0"/>
            <v:stroke on="f"/>
            <v:imagedata r:id="rId21" o:title=""/>
            <o:lock v:ext="edit" aspectratio="t"/>
            <w10:wrap type="none"/>
            <w10:anchorlock/>
          </v:shape>
          <o:OLEObject Type="Embed" ProgID="Excel.Chart.8" ShapeID="_x0000_i1030" DrawAspect="Content" ObjectID="_1468075730" r:id="rId20">
            <o:LockedField>false</o:LockedField>
          </o:OLEObject>
        </w:object>
      </w:r>
    </w:p>
    <w:p w14:paraId="05BE7C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70145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7213"/>
      <w:bookmarkStart w:id="2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93.75</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08FCE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教育支出（类）</w:t>
      </w:r>
      <w:r>
        <w:rPr>
          <w:rFonts w:hint="eastAsia" w:eastAsia="仿宋_GB2312" w:cs="仿宋_GB2312"/>
          <w:color w:val="auto"/>
          <w:kern w:val="2"/>
          <w:sz w:val="32"/>
          <w:szCs w:val="32"/>
          <w:highlight w:val="none"/>
          <w:lang w:val="en-US" w:eastAsia="zh-CN" w:bidi="ar-SA"/>
        </w:rPr>
        <w:t>：普通教育（款）：其他普通教育支出（项）：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112.28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1686CD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行政事业单位养老支出（款）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93.5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职业年金缴费支出（项）：支出决算为5.59万元，完成预算100%；其他行政事业单位养老支出（项）：支出决算为4.58万元，完成预算100%。抚恤（款）：死亡抚恤（项）：支出决算为6.73万元，完成预算100%。其他社会保障和就业支出（款）：其他社会保障和就业支出（项）：支出预算为4.38万元，完成预算100%。</w:t>
      </w:r>
    </w:p>
    <w:p w14:paraId="49FEE2F7">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3.卫生健康支出（类）行政事业单位医疗（款）行政单位医疗（项）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；事业单位医疗（项）：支出决算为29.51万元，完成预算100%；公务员医疗补助（项）：支出决算为4.98万元，完成预算100%。</w:t>
      </w:r>
    </w:p>
    <w:p w14:paraId="78662A22">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4.农林水支出（类）巩固脱贫攻坚成果衔接乡村振兴（款）农村基础设施建设（项）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5DC2A5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5.自然资源海洋气象等支出（类）自然资源事务（款）行政运行（项）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301.81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一般行政管理事务</w:t>
      </w:r>
      <w:r>
        <w:rPr>
          <w:rFonts w:hint="eastAsia" w:eastAsia="仿宋_GB2312" w:cs="仿宋_GB2312"/>
          <w:color w:val="auto"/>
          <w:kern w:val="2"/>
          <w:sz w:val="32"/>
          <w:szCs w:val="32"/>
          <w:highlight w:val="none"/>
          <w:lang w:val="en-US" w:eastAsia="zh-CN" w:bidi="ar-SA"/>
        </w:rPr>
        <w:t>（项）：支出决算为20.4万元，完成预算100%；自然资源规划及管理（项）：支出预算为150.5万元，完成预算100%；自然资源利用与保护（项）77.46万元，完成预算100%；事业运行（项）：支出预算为571.8万元，完成预算100%；其他自然资源事务支出（项）：支出预算为532.21万元，完成预算100%。</w:t>
      </w:r>
    </w:p>
    <w:p w14:paraId="0DBB08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77.59</w:t>
      </w:r>
      <w:r>
        <w:rPr>
          <w:rFonts w:hint="eastAsia" w:ascii="Times New Roman" w:hAnsi="Times New Roman" w:eastAsia="仿宋_GB2312" w:cs="仿宋_GB2312"/>
          <w:color w:val="auto"/>
          <w:kern w:val="2"/>
          <w:sz w:val="32"/>
          <w:szCs w:val="32"/>
          <w:highlight w:val="none"/>
          <w:lang w:val="en-US" w:eastAsia="zh-CN" w:bidi="ar-SA"/>
        </w:rPr>
        <w:t>万元，完成预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40104AD">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7.灾害防治及应急管理支出（类）：自然灾害防治（款）：地质灾害防治（项）：支出预算为728.93万元，完成预算82.32%。</w:t>
      </w:r>
    </w:p>
    <w:p w14:paraId="6579FD11">
      <w:pPr>
        <w:tabs>
          <w:tab w:val="right" w:pos="8306"/>
        </w:tabs>
        <w:spacing w:line="600" w:lineRule="exact"/>
        <w:ind w:firstLine="640"/>
        <w:outlineLvl w:val="1"/>
        <w:rPr>
          <w:rStyle w:val="31"/>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8"/>
      <w:bookmarkEnd w:id="29"/>
      <w:r>
        <w:rPr>
          <w:rStyle w:val="31"/>
          <w:rFonts w:ascii="Times New Roman" w:hAnsi="Times New Roman" w:eastAsia="黑体"/>
          <w:b w:val="0"/>
          <w:color w:val="auto"/>
          <w:highlight w:val="none"/>
        </w:rPr>
        <w:tab/>
      </w:r>
    </w:p>
    <w:p w14:paraId="68954A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1106.66</w:t>
      </w:r>
      <w:r>
        <w:rPr>
          <w:rFonts w:hint="eastAsia" w:ascii="Times New Roman" w:hAnsi="Times New Roman" w:eastAsia="仿宋_GB2312" w:cs="仿宋_GB2312"/>
          <w:color w:val="auto"/>
          <w:kern w:val="2"/>
          <w:sz w:val="32"/>
          <w:szCs w:val="32"/>
          <w:highlight w:val="none"/>
          <w:lang w:val="en-US" w:eastAsia="zh-CN" w:bidi="ar-SA"/>
        </w:rPr>
        <w:t>万元，其中：</w:t>
      </w:r>
    </w:p>
    <w:p w14:paraId="786326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1018.23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其他工资福利支出、抚恤金、生活补助、奖励金、其他对个人和家庭的补助支出等。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88.43</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万元，主要包括：办公费、水费、电费、邮电费、差旅费、维修（护）费、租赁费、会议费、培训费、公务接待费、劳务费、工会经费、福利费、公务用车运行维护费、其他交通费</w:t>
      </w:r>
      <w:r>
        <w:rPr>
          <w:rFonts w:hint="eastAsia" w:eastAsia="仿宋_GB2312" w:cs="仿宋_GB2312"/>
          <w:color w:val="auto"/>
          <w:kern w:val="2"/>
          <w:sz w:val="32"/>
          <w:szCs w:val="32"/>
          <w:highlight w:val="none"/>
          <w:lang w:val="en-US" w:eastAsia="zh-CN" w:bidi="ar-SA"/>
        </w:rPr>
        <w:t>。</w:t>
      </w:r>
    </w:p>
    <w:p w14:paraId="09E33D2F">
      <w:pPr>
        <w:spacing w:line="600" w:lineRule="exact"/>
        <w:ind w:firstLine="640"/>
        <w:outlineLvl w:val="1"/>
        <w:rPr>
          <w:rStyle w:val="31"/>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0"/>
      <w:bookmarkEnd w:id="31"/>
    </w:p>
    <w:p w14:paraId="359DAD4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40CB6F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color w:val="auto"/>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5.83</w:t>
      </w:r>
      <w:r>
        <w:rPr>
          <w:rFonts w:hint="eastAsia" w:ascii="Times New Roman" w:hAnsi="Times New Roman" w:eastAsia="仿宋_GB2312" w:cs="仿宋_GB2312"/>
          <w:color w:val="auto"/>
          <w:kern w:val="2"/>
          <w:sz w:val="32"/>
          <w:szCs w:val="32"/>
          <w:highlight w:val="none"/>
          <w:lang w:val="en-US" w:eastAsia="zh-CN" w:bidi="ar-SA"/>
        </w:rPr>
        <w:t>%。</w:t>
      </w:r>
    </w:p>
    <w:p w14:paraId="531B2E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43D118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财政拨款“三公”经费支出决算中，因公出国（境）费支出决算0万元，占0%；公务用车购置及运行维护费支出决算</w:t>
      </w:r>
      <w:r>
        <w:rPr>
          <w:rFonts w:hint="eastAsia" w:ascii="仿宋_GB2312" w:hAnsi="仿宋_GB2312" w:eastAsia="仿宋_GB2312" w:cs="仿宋_GB2312"/>
          <w:sz w:val="32"/>
          <w:szCs w:val="32"/>
        </w:rPr>
        <w:t>1.15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79.31</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20.69</w:t>
      </w:r>
      <w:r>
        <w:rPr>
          <w:rFonts w:hint="eastAsia" w:ascii="Times New Roman" w:hAnsi="Times New Roman" w:eastAsia="仿宋_GB2312" w:cs="仿宋_GB2312"/>
          <w:color w:val="auto"/>
          <w:kern w:val="2"/>
          <w:sz w:val="32"/>
          <w:szCs w:val="32"/>
          <w:highlight w:val="none"/>
          <w:lang w:val="en-US" w:eastAsia="zh-CN" w:bidi="ar-SA"/>
        </w:rPr>
        <w:t>%。具体情况如下：</w:t>
      </w:r>
    </w:p>
    <w:p w14:paraId="2BED6A7A">
      <w:pPr>
        <w:ind w:firstLine="630" w:firstLineChars="300"/>
        <w:rPr>
          <w:rFonts w:hint="eastAsia" w:ascii="Times New Roman" w:hAnsi="Times New Roman" w:eastAsia="仿宋_GB2312" w:cs="仿宋_GB2312"/>
          <w:color w:val="auto"/>
          <w:kern w:val="2"/>
          <w:sz w:val="32"/>
          <w:szCs w:val="32"/>
          <w:highlight w:val="none"/>
          <w:lang w:val="en-US" w:eastAsia="zh-CN" w:bidi="ar-SA"/>
        </w:rPr>
      </w:pPr>
      <w:r>
        <w:rPr>
          <w:rFonts w:hint="default"/>
          <w:lang w:val="en-US" w:eastAsia="zh-CN"/>
        </w:rPr>
        <w:object>
          <v:shape id="_x0000_i1031" o:spt="75" type="#_x0000_t75" style="height:222.75pt;width:366.75pt;" o:ole="t" filled="f" o:preferrelative="t" stroked="f" coordsize="21600,21600">
            <v:path/>
            <v:fill on="f" focussize="0,0"/>
            <v:stroke on="f"/>
            <v:imagedata r:id="rId23" o:title=""/>
            <o:lock v:ext="edit" aspectratio="t"/>
            <w10:wrap type="none"/>
            <w10:anchorlock/>
          </v:shape>
          <o:OLEObject Type="Embed" ProgID="Excel.Chart.8" ShapeID="_x0000_i1031" DrawAspect="Content" ObjectID="_1468075731" r:id="rId22">
            <o:LockedField>false</o:LockedField>
          </o:OLEObject>
        </w:object>
      </w:r>
    </w:p>
    <w:p w14:paraId="7C542A9D">
      <w:pPr>
        <w:pStyle w:val="14"/>
        <w:rPr>
          <w:rFonts w:hint="eastAsia"/>
          <w:lang w:val="en-US" w:eastAsia="zh-CN"/>
        </w:rPr>
      </w:pPr>
    </w:p>
    <w:p w14:paraId="17DE5B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07BE32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1.15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16.16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2025年公车使用率增加，费用相对有所增加。</w:t>
      </w:r>
    </w:p>
    <w:p w14:paraId="22609A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r>
        <w:rPr>
          <w:rFonts w:hint="eastAsia" w:ascii="仿宋_GB2312" w:eastAsia="仿宋_GB2312"/>
          <w:b w:val="0"/>
          <w:bCs w:val="0"/>
          <w:color w:val="auto"/>
          <w:sz w:val="32"/>
          <w:szCs w:val="32"/>
          <w:highlight w:val="none"/>
        </w:rPr>
        <w:t>公务用车购置支出</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万元。全年按规定更新购置公务用车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辆，截至</w:t>
      </w:r>
      <w:r>
        <w:rPr>
          <w:rFonts w:hint="eastAsia" w:ascii="仿宋_GB2312" w:eastAsia="仿宋_GB2312"/>
          <w:b w:val="0"/>
          <w:bCs w:val="0"/>
          <w:color w:val="auto"/>
          <w:sz w:val="32"/>
          <w:szCs w:val="32"/>
          <w:highlight w:val="none"/>
          <w:lang w:eastAsia="zh-CN"/>
        </w:rPr>
        <w:t>202</w:t>
      </w:r>
      <w:r>
        <w:rPr>
          <w:rFonts w:hint="eastAsia" w:ascii="仿宋_GB2312" w:eastAsia="仿宋_GB2312"/>
          <w:b w:val="0"/>
          <w:bCs w:val="0"/>
          <w:color w:val="auto"/>
          <w:sz w:val="32"/>
          <w:szCs w:val="32"/>
          <w:highlight w:val="none"/>
          <w:lang w:val="en-US" w:eastAsia="zh-CN"/>
        </w:rPr>
        <w:t>5</w:t>
      </w:r>
      <w:r>
        <w:rPr>
          <w:rFonts w:hint="eastAsia" w:ascii="仿宋_GB2312" w:eastAsia="仿宋_GB2312"/>
          <w:b w:val="0"/>
          <w:bCs w:val="0"/>
          <w:color w:val="auto"/>
          <w:sz w:val="32"/>
          <w:szCs w:val="32"/>
          <w:highlight w:val="none"/>
        </w:rPr>
        <w:t>年</w:t>
      </w:r>
      <w:r>
        <w:rPr>
          <w:rFonts w:ascii="仿宋_GB2312" w:eastAsia="仿宋_GB2312"/>
          <w:b w:val="0"/>
          <w:bCs w:val="0"/>
          <w:color w:val="auto"/>
          <w:sz w:val="32"/>
          <w:szCs w:val="32"/>
          <w:highlight w:val="none"/>
        </w:rPr>
        <w:t>12</w:t>
      </w:r>
      <w:r>
        <w:rPr>
          <w:rFonts w:hint="eastAsia" w:ascii="仿宋_GB2312" w:eastAsia="仿宋_GB2312"/>
          <w:b w:val="0"/>
          <w:bCs w:val="0"/>
          <w:color w:val="auto"/>
          <w:sz w:val="32"/>
          <w:szCs w:val="32"/>
          <w:highlight w:val="none"/>
        </w:rPr>
        <w:t>月</w:t>
      </w:r>
      <w:r>
        <w:rPr>
          <w:rFonts w:hint="eastAsia" w:ascii="仿宋_GB2312" w:eastAsia="仿宋_GB2312"/>
          <w:b w:val="0"/>
          <w:bCs w:val="0"/>
          <w:color w:val="auto"/>
          <w:sz w:val="32"/>
          <w:szCs w:val="32"/>
          <w:highlight w:val="none"/>
          <w:lang w:val="en-US" w:eastAsia="zh-CN"/>
        </w:rPr>
        <w:t>31日</w:t>
      </w:r>
      <w:r>
        <w:rPr>
          <w:rFonts w:hint="eastAsia" w:ascii="仿宋_GB2312" w:eastAsia="仿宋_GB2312"/>
          <w:b w:val="0"/>
          <w:bCs w:val="0"/>
          <w:color w:val="auto"/>
          <w:sz w:val="32"/>
          <w:szCs w:val="32"/>
          <w:highlight w:val="none"/>
        </w:rPr>
        <w:t>，单位共有公务用车</w:t>
      </w:r>
      <w:r>
        <w:rPr>
          <w:rFonts w:hint="eastAsia" w:ascii="仿宋_GB2312" w:eastAsia="仿宋_GB2312"/>
          <w:b w:val="0"/>
          <w:bCs w:val="0"/>
          <w:color w:val="auto"/>
          <w:sz w:val="32"/>
          <w:szCs w:val="32"/>
          <w:highlight w:val="none"/>
          <w:lang w:val="en-US" w:eastAsia="zh-CN"/>
        </w:rPr>
        <w:t>1</w:t>
      </w:r>
      <w:r>
        <w:rPr>
          <w:rFonts w:hint="eastAsia" w:ascii="仿宋_GB2312" w:eastAsia="仿宋_GB2312"/>
          <w:b w:val="0"/>
          <w:bCs w:val="0"/>
          <w:color w:val="auto"/>
          <w:sz w:val="32"/>
          <w:szCs w:val="32"/>
          <w:highlight w:val="none"/>
        </w:rPr>
        <w:t>辆，其中：轿车</w:t>
      </w:r>
      <w:r>
        <w:rPr>
          <w:rFonts w:hint="eastAsia" w:ascii="仿宋_GB2312" w:eastAsia="仿宋_GB2312"/>
          <w:b w:val="0"/>
          <w:bCs w:val="0"/>
          <w:color w:val="auto"/>
          <w:sz w:val="32"/>
          <w:szCs w:val="32"/>
          <w:highlight w:val="none"/>
          <w:lang w:val="en-US" w:eastAsia="zh-CN"/>
        </w:rPr>
        <w:t>1</w:t>
      </w:r>
      <w:r>
        <w:rPr>
          <w:rFonts w:hint="eastAsia" w:ascii="仿宋_GB2312" w:eastAsia="仿宋_GB2312"/>
          <w:b w:val="0"/>
          <w:bCs w:val="0"/>
          <w:color w:val="auto"/>
          <w:sz w:val="32"/>
          <w:szCs w:val="32"/>
          <w:highlight w:val="none"/>
        </w:rPr>
        <w:t>辆、越野车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辆、载客汽车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w:t>
      </w:r>
    </w:p>
    <w:p w14:paraId="07EBF1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1.15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olor w:val="000000"/>
          <w:sz w:val="32"/>
          <w:szCs w:val="32"/>
        </w:rPr>
        <w:t>规划中心日常</w:t>
      </w:r>
      <w:r>
        <w:rPr>
          <w:rFonts w:hint="eastAsia" w:ascii="仿宋" w:hAnsi="仿宋" w:eastAsia="仿宋"/>
          <w:color w:val="000000"/>
          <w:sz w:val="32"/>
          <w:szCs w:val="32"/>
          <w:lang w:eastAsia="zh-CN"/>
        </w:rPr>
        <w:t>办公</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所需的公务用车燃料费、维修费、过路过桥费等支出。</w:t>
      </w:r>
    </w:p>
    <w:p w14:paraId="44F6A3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21.05</w:t>
      </w:r>
      <w:r>
        <w:rPr>
          <w:rFonts w:hint="eastAsia" w:ascii="Times New Roman" w:hAnsi="Times New Roman" w:eastAsia="仿宋_GB2312" w:cs="仿宋_GB2312"/>
          <w:color w:val="auto"/>
          <w:kern w:val="2"/>
          <w:sz w:val="32"/>
          <w:szCs w:val="32"/>
          <w:highlight w:val="none"/>
          <w:lang w:val="en-US" w:eastAsia="zh-CN" w:bidi="ar-SA"/>
        </w:rPr>
        <w:t>%。主要原因是单位内部管理，坚持“三单”制，厉行节约原则，公务接待规范合理。其中：</w:t>
      </w:r>
    </w:p>
    <w:p w14:paraId="0E5948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olor w:val="000000"/>
          <w:sz w:val="32"/>
          <w:szCs w:val="32"/>
        </w:rPr>
        <w:t>省、市对地质灾害，</w:t>
      </w:r>
      <w:r>
        <w:rPr>
          <w:rFonts w:hint="eastAsia" w:ascii="仿宋" w:hAnsi="仿宋" w:eastAsia="仿宋"/>
          <w:color w:val="000000"/>
          <w:sz w:val="32"/>
          <w:szCs w:val="32"/>
          <w:lang w:eastAsia="zh-CN"/>
        </w:rPr>
        <w:t>土地整理</w:t>
      </w:r>
      <w:r>
        <w:rPr>
          <w:rFonts w:hint="eastAsia" w:ascii="仿宋" w:hAnsi="仿宋" w:eastAsia="仿宋"/>
          <w:color w:val="000000"/>
          <w:sz w:val="32"/>
          <w:szCs w:val="32"/>
        </w:rPr>
        <w:t>等项目检查接待费用。</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lang w:val="en-US" w:eastAsia="zh-CN"/>
        </w:rPr>
        <w:t>21</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7D235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14:paraId="06C7CB36">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4"/>
      <w:bookmarkEnd w:id="35"/>
    </w:p>
    <w:p w14:paraId="05CBB2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12491.41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81.46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其中：一般</w:t>
      </w:r>
      <w:r>
        <w:rPr>
          <w:rFonts w:hint="eastAsia" w:ascii="Times New Roman" w:hAnsi="Times New Roman" w:eastAsia="仿宋_GB2312" w:cs="仿宋_GB2312"/>
          <w:color w:val="auto"/>
          <w:kern w:val="2"/>
          <w:sz w:val="32"/>
          <w:szCs w:val="32"/>
          <w:highlight w:val="none"/>
          <w:lang w:val="en-US" w:eastAsia="zh-CN" w:bidi="ar-SA"/>
        </w:rPr>
        <w:t>政府性基金预算</w:t>
      </w:r>
      <w:r>
        <w:rPr>
          <w:rFonts w:hint="eastAsia" w:eastAsia="仿宋_GB2312" w:cs="仿宋_GB2312"/>
          <w:color w:val="auto"/>
          <w:kern w:val="2"/>
          <w:sz w:val="32"/>
          <w:szCs w:val="32"/>
          <w:highlight w:val="none"/>
          <w:lang w:val="en-US" w:eastAsia="zh-CN" w:bidi="ar-SA"/>
        </w:rPr>
        <w:t>支出5941.49万元，专项债券支出6549.92万元。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8494.97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212.56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一般政府性基金预算财政拨款支出用于新增耕地和双挂钩项目费用增加；新增专项债券支出，其中：2025年清欠专项债券支出4351.92万元，用于新增耕地和双挂钩项目支出；2023年地方政府专项债券支出2198万元，用于收回收购沐溪镇城北路和交通街路政大队存量闲置土地项目。</w:t>
      </w:r>
    </w:p>
    <w:p w14:paraId="09E62EEC">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6" w:name="_Toc15377219"/>
      <w:bookmarkStart w:id="37"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6"/>
      <w:bookmarkEnd w:id="37"/>
    </w:p>
    <w:p w14:paraId="7670C5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75F2AFF">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38" w:name="_Toc15377221"/>
      <w:bookmarkStart w:id="39"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8"/>
      <w:bookmarkEnd w:id="39"/>
    </w:p>
    <w:p w14:paraId="68963B0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3F55A6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88.43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12.61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16.63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增加了办公费、</w:t>
      </w:r>
      <w:r>
        <w:rPr>
          <w:rFonts w:hint="eastAsia" w:ascii="Times New Roman" w:hAnsi="Times New Roman" w:eastAsia="仿宋_GB2312" w:cs="仿宋_GB2312"/>
          <w:color w:val="auto"/>
          <w:kern w:val="2"/>
          <w:sz w:val="32"/>
          <w:szCs w:val="32"/>
          <w:highlight w:val="none"/>
          <w:lang w:val="en-US" w:eastAsia="zh-CN" w:bidi="ar-SA"/>
        </w:rPr>
        <w:t>残疾人就业保障金</w:t>
      </w:r>
      <w:r>
        <w:rPr>
          <w:rFonts w:hint="eastAsia" w:eastAsia="仿宋_GB2312" w:cs="仿宋_GB2312"/>
          <w:color w:val="auto"/>
          <w:kern w:val="2"/>
          <w:sz w:val="32"/>
          <w:szCs w:val="32"/>
          <w:highlight w:val="none"/>
          <w:lang w:val="en-US" w:eastAsia="zh-CN" w:bidi="ar-SA"/>
        </w:rPr>
        <w:t>及退休人员活动费。</w:t>
      </w:r>
    </w:p>
    <w:p w14:paraId="6EF395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6633B8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F88F2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1D2539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eastAsia="zh-CN"/>
        </w:rPr>
        <w:t>规划服务中心日常公务用车</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D3676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A700A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在2025年度，组织对规划编制服务费</w:t>
      </w:r>
      <w:r>
        <w:rPr>
          <w:rFonts w:hint="eastAsia" w:eastAsia="仿宋_GB2312" w:cs="仿宋_GB2312"/>
          <w:color w:val="auto"/>
          <w:kern w:val="2"/>
          <w:sz w:val="32"/>
          <w:szCs w:val="32"/>
          <w:highlight w:val="none"/>
          <w:lang w:val="en-US" w:eastAsia="zh-CN" w:bidi="ar-SA"/>
        </w:rPr>
        <w:t>、偿还被征地农民养老保险贷款、新增耕地和双挂钩项目指标款、不动产中心房租费、田长制工作经费、征地拆迁等费用</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8220.03</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8B5D3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组织对2025年度一般公共预算资金、政府性基金、其他资金开展</w:t>
      </w:r>
      <w:r>
        <w:rPr>
          <w:rFonts w:hint="eastAsia" w:eastAsia="仿宋_GB2312" w:cs="仿宋_GB2312"/>
          <w:color w:val="auto"/>
          <w:kern w:val="2"/>
          <w:sz w:val="32"/>
          <w:szCs w:val="32"/>
          <w:highlight w:val="none"/>
          <w:lang w:val="en-US" w:eastAsia="zh-CN" w:bidi="ar-SA"/>
        </w:rPr>
        <w:t>了</w:t>
      </w:r>
      <w:r>
        <w:rPr>
          <w:rFonts w:hint="eastAsia" w:ascii="Times New Roman" w:hAnsi="Times New Roman" w:eastAsia="仿宋_GB2312" w:cs="仿宋_GB2312"/>
          <w:color w:val="auto"/>
          <w:kern w:val="2"/>
          <w:sz w:val="32"/>
          <w:szCs w:val="32"/>
          <w:highlight w:val="none"/>
          <w:lang w:val="en-US" w:eastAsia="zh-CN" w:bidi="ar-SA"/>
        </w:rPr>
        <w:t>绩效自评，形成</w:t>
      </w:r>
      <w:r>
        <w:rPr>
          <w:rFonts w:hint="eastAsia" w:ascii="仿宋" w:hAnsi="仿宋" w:eastAsia="仿宋" w:cs="FangSong_GB2312"/>
          <w:sz w:val="32"/>
          <w:szCs w:val="32"/>
          <w:lang w:eastAsia="zh-CN"/>
        </w:rPr>
        <w:t>自然资源局</w:t>
      </w:r>
      <w:r>
        <w:rPr>
          <w:rFonts w:hint="eastAsia" w:ascii="仿宋" w:hAnsi="仿宋" w:eastAsia="仿宋" w:cs="FangSong_GB2312"/>
          <w:sz w:val="32"/>
          <w:szCs w:val="32"/>
        </w:rPr>
        <w:t>部门</w:t>
      </w:r>
      <w:r>
        <w:rPr>
          <w:rFonts w:hint="eastAsia" w:ascii="Times New Roman" w:hAnsi="Times New Roman" w:eastAsia="仿宋_GB2312" w:cs="仿宋_GB2312"/>
          <w:color w:val="auto"/>
          <w:kern w:val="2"/>
          <w:sz w:val="32"/>
          <w:szCs w:val="32"/>
          <w:highlight w:val="none"/>
          <w:lang w:val="en-US" w:eastAsia="zh-CN" w:bidi="ar-SA"/>
        </w:rPr>
        <w:t>预算绩效自评报告、沐川县 2025 年地质灾害防治专项预算绩效自评报告，其中，自然资源局部门整体绩效自评得分为</w:t>
      </w:r>
      <w:r>
        <w:rPr>
          <w:rFonts w:hint="eastAsia" w:eastAsia="仿宋_GB2312" w:cs="仿宋_GB2312"/>
          <w:color w:val="auto"/>
          <w:kern w:val="2"/>
          <w:sz w:val="32"/>
          <w:szCs w:val="32"/>
          <w:highlight w:val="none"/>
          <w:lang w:val="en-US" w:eastAsia="zh-CN" w:bidi="ar-SA"/>
        </w:rPr>
        <w:t>92</w:t>
      </w:r>
      <w:r>
        <w:rPr>
          <w:rFonts w:hint="eastAsia" w:ascii="Times New Roman" w:hAnsi="Times New Roman" w:eastAsia="仿宋_GB2312" w:cs="仿宋_GB2312"/>
          <w:color w:val="auto"/>
          <w:kern w:val="2"/>
          <w:sz w:val="32"/>
          <w:szCs w:val="32"/>
          <w:highlight w:val="none"/>
          <w:lang w:val="en-US" w:eastAsia="zh-CN" w:bidi="ar-SA"/>
        </w:rPr>
        <w:t>分，绩效自评综述情况好；专项预算项目绩效自评得分为9</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分，绩效自评综述情况好。绩效自评综述</w:t>
      </w:r>
      <w:r>
        <w:rPr>
          <w:rFonts w:hint="eastAsia" w:eastAsia="仿宋_GB2312" w:cs="仿宋_GB2312"/>
          <w:color w:val="auto"/>
          <w:kern w:val="2"/>
          <w:sz w:val="32"/>
          <w:szCs w:val="32"/>
          <w:highlight w:val="none"/>
          <w:lang w:val="en-US" w:eastAsia="zh-CN" w:bidi="ar-SA"/>
        </w:rPr>
        <w:t>情况好</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6A8560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96106A">
      <w:pPr>
        <w:pStyle w:val="2"/>
        <w:rPr>
          <w:rFonts w:hint="eastAsia" w:ascii="Times New Roman" w:hAnsi="Times New Roman" w:eastAsia="仿宋_GB2312" w:cs="仿宋_GB2312"/>
          <w:color w:val="auto"/>
          <w:kern w:val="2"/>
          <w:sz w:val="32"/>
          <w:szCs w:val="32"/>
          <w:highlight w:val="none"/>
          <w:lang w:val="en-US" w:eastAsia="zh-CN" w:bidi="ar-SA"/>
        </w:rPr>
      </w:pPr>
    </w:p>
    <w:p w14:paraId="15C16151">
      <w:pPr>
        <w:rPr>
          <w:rFonts w:hint="eastAsia" w:ascii="Times New Roman" w:hAnsi="Times New Roman" w:eastAsia="仿宋_GB2312" w:cs="仿宋_GB2312"/>
          <w:color w:val="auto"/>
          <w:kern w:val="2"/>
          <w:sz w:val="32"/>
          <w:szCs w:val="32"/>
          <w:highlight w:val="none"/>
          <w:lang w:val="en-US" w:eastAsia="zh-CN" w:bidi="ar-SA"/>
        </w:rPr>
      </w:pPr>
    </w:p>
    <w:p w14:paraId="0226047D">
      <w:pPr>
        <w:pStyle w:val="2"/>
        <w:rPr>
          <w:rFonts w:hint="eastAsia" w:ascii="Times New Roman" w:hAnsi="Times New Roman" w:eastAsia="仿宋_GB2312" w:cs="仿宋_GB2312"/>
          <w:color w:val="auto"/>
          <w:kern w:val="2"/>
          <w:sz w:val="32"/>
          <w:szCs w:val="32"/>
          <w:highlight w:val="none"/>
          <w:lang w:val="en-US" w:eastAsia="zh-CN" w:bidi="ar-SA"/>
        </w:rPr>
      </w:pPr>
    </w:p>
    <w:p w14:paraId="5EBCDE6B">
      <w:pPr>
        <w:rPr>
          <w:rFonts w:hint="eastAsia" w:ascii="Times New Roman" w:hAnsi="Times New Roman" w:eastAsia="仿宋_GB2312" w:cs="仿宋_GB2312"/>
          <w:color w:val="auto"/>
          <w:kern w:val="2"/>
          <w:sz w:val="32"/>
          <w:szCs w:val="32"/>
          <w:highlight w:val="none"/>
          <w:lang w:val="en-US" w:eastAsia="zh-CN" w:bidi="ar-SA"/>
        </w:rPr>
      </w:pPr>
    </w:p>
    <w:p w14:paraId="1FE529AF">
      <w:pPr>
        <w:pStyle w:val="2"/>
        <w:rPr>
          <w:rFonts w:hint="eastAsia" w:ascii="Times New Roman" w:hAnsi="Times New Roman" w:eastAsia="仿宋_GB2312" w:cs="仿宋_GB2312"/>
          <w:color w:val="auto"/>
          <w:kern w:val="2"/>
          <w:sz w:val="32"/>
          <w:szCs w:val="32"/>
          <w:highlight w:val="none"/>
          <w:lang w:val="en-US" w:eastAsia="zh-CN" w:bidi="ar-SA"/>
        </w:rPr>
      </w:pPr>
    </w:p>
    <w:p w14:paraId="63CB3B61">
      <w:pPr>
        <w:rPr>
          <w:rFonts w:hint="eastAsia" w:ascii="Times New Roman" w:hAnsi="Times New Roman" w:eastAsia="仿宋_GB2312" w:cs="仿宋_GB2312"/>
          <w:color w:val="auto"/>
          <w:kern w:val="2"/>
          <w:sz w:val="32"/>
          <w:szCs w:val="32"/>
          <w:highlight w:val="none"/>
          <w:lang w:val="en-US" w:eastAsia="zh-CN" w:bidi="ar-SA"/>
        </w:rPr>
      </w:pPr>
    </w:p>
    <w:p w14:paraId="08A250E0">
      <w:pPr>
        <w:pStyle w:val="2"/>
        <w:rPr>
          <w:rFonts w:hint="eastAsia" w:ascii="Times New Roman" w:hAnsi="Times New Roman" w:eastAsia="仿宋_GB2312" w:cs="仿宋_GB2312"/>
          <w:color w:val="auto"/>
          <w:kern w:val="2"/>
          <w:sz w:val="32"/>
          <w:szCs w:val="32"/>
          <w:highlight w:val="none"/>
          <w:lang w:val="en-US" w:eastAsia="zh-CN" w:bidi="ar-SA"/>
        </w:rPr>
      </w:pPr>
    </w:p>
    <w:p w14:paraId="733E6B23">
      <w:pPr>
        <w:rPr>
          <w:rFonts w:hint="eastAsia" w:ascii="Times New Roman" w:hAnsi="Times New Roman" w:eastAsia="仿宋_GB2312" w:cs="仿宋_GB2312"/>
          <w:color w:val="auto"/>
          <w:kern w:val="2"/>
          <w:sz w:val="32"/>
          <w:szCs w:val="32"/>
          <w:highlight w:val="none"/>
          <w:lang w:val="en-US" w:eastAsia="zh-CN" w:bidi="ar-SA"/>
        </w:rPr>
      </w:pPr>
    </w:p>
    <w:p w14:paraId="4073B5AE">
      <w:pPr>
        <w:pStyle w:val="2"/>
        <w:rPr>
          <w:rFonts w:hint="eastAsia" w:ascii="Times New Roman" w:hAnsi="Times New Roman" w:eastAsia="仿宋_GB2312" w:cs="仿宋_GB2312"/>
          <w:color w:val="auto"/>
          <w:kern w:val="2"/>
          <w:sz w:val="32"/>
          <w:szCs w:val="32"/>
          <w:highlight w:val="none"/>
          <w:lang w:val="en-US" w:eastAsia="zh-CN" w:bidi="ar-SA"/>
        </w:rPr>
      </w:pPr>
    </w:p>
    <w:p w14:paraId="412754A8">
      <w:pPr>
        <w:rPr>
          <w:rFonts w:hint="eastAsia" w:ascii="Times New Roman" w:hAnsi="Times New Roman" w:eastAsia="仿宋_GB2312" w:cs="仿宋_GB2312"/>
          <w:color w:val="auto"/>
          <w:kern w:val="2"/>
          <w:sz w:val="32"/>
          <w:szCs w:val="32"/>
          <w:highlight w:val="none"/>
          <w:lang w:val="en-US" w:eastAsia="zh-CN" w:bidi="ar-SA"/>
        </w:rPr>
      </w:pPr>
    </w:p>
    <w:p w14:paraId="64049948">
      <w:pPr>
        <w:pStyle w:val="2"/>
        <w:rPr>
          <w:rFonts w:hint="eastAsia" w:ascii="Times New Roman" w:hAnsi="Times New Roman" w:eastAsia="仿宋_GB2312" w:cs="仿宋_GB2312"/>
          <w:color w:val="auto"/>
          <w:kern w:val="2"/>
          <w:sz w:val="32"/>
          <w:szCs w:val="32"/>
          <w:highlight w:val="none"/>
          <w:lang w:val="en-US" w:eastAsia="zh-CN" w:bidi="ar-SA"/>
        </w:rPr>
      </w:pPr>
    </w:p>
    <w:p w14:paraId="39313569">
      <w:pPr>
        <w:rPr>
          <w:rFonts w:hint="eastAsia" w:ascii="Times New Roman" w:hAnsi="Times New Roman" w:eastAsia="仿宋_GB2312" w:cs="仿宋_GB2312"/>
          <w:color w:val="auto"/>
          <w:kern w:val="2"/>
          <w:sz w:val="32"/>
          <w:szCs w:val="32"/>
          <w:highlight w:val="none"/>
          <w:lang w:val="en-US" w:eastAsia="zh-CN" w:bidi="ar-SA"/>
        </w:rPr>
      </w:pPr>
    </w:p>
    <w:p w14:paraId="4D78B9DA">
      <w:pPr>
        <w:pStyle w:val="2"/>
        <w:rPr>
          <w:rFonts w:hint="eastAsia" w:ascii="Times New Roman" w:hAnsi="Times New Roman" w:eastAsia="仿宋_GB2312" w:cs="仿宋_GB2312"/>
          <w:color w:val="auto"/>
          <w:kern w:val="2"/>
          <w:sz w:val="32"/>
          <w:szCs w:val="32"/>
          <w:highlight w:val="none"/>
          <w:lang w:val="en-US" w:eastAsia="zh-CN" w:bidi="ar-SA"/>
        </w:rPr>
      </w:pPr>
    </w:p>
    <w:p w14:paraId="05AEFED4">
      <w:pPr>
        <w:rPr>
          <w:rFonts w:hint="eastAsia" w:ascii="Times New Roman" w:hAnsi="Times New Roman" w:eastAsia="仿宋_GB2312" w:cs="仿宋_GB2312"/>
          <w:color w:val="auto"/>
          <w:kern w:val="2"/>
          <w:sz w:val="32"/>
          <w:szCs w:val="32"/>
          <w:highlight w:val="none"/>
          <w:lang w:val="en-US" w:eastAsia="zh-CN" w:bidi="ar-SA"/>
        </w:rPr>
      </w:pPr>
    </w:p>
    <w:p w14:paraId="71D86410">
      <w:pPr>
        <w:pStyle w:val="2"/>
        <w:rPr>
          <w:rFonts w:hint="eastAsia" w:ascii="Times New Roman" w:hAnsi="Times New Roman" w:eastAsia="仿宋_GB2312" w:cs="仿宋_GB2312"/>
          <w:color w:val="auto"/>
          <w:kern w:val="2"/>
          <w:sz w:val="32"/>
          <w:szCs w:val="32"/>
          <w:highlight w:val="none"/>
          <w:lang w:val="en-US" w:eastAsia="zh-CN" w:bidi="ar-SA"/>
        </w:rPr>
      </w:pPr>
    </w:p>
    <w:p w14:paraId="2AA2E946">
      <w:pPr>
        <w:rPr>
          <w:rFonts w:hint="eastAsia" w:ascii="Times New Roman" w:hAnsi="Times New Roman" w:eastAsia="仿宋_GB2312" w:cs="仿宋_GB2312"/>
          <w:color w:val="auto"/>
          <w:kern w:val="2"/>
          <w:sz w:val="32"/>
          <w:szCs w:val="32"/>
          <w:highlight w:val="none"/>
          <w:lang w:val="en-US" w:eastAsia="zh-CN" w:bidi="ar-SA"/>
        </w:rPr>
      </w:pPr>
    </w:p>
    <w:p w14:paraId="2F0EDB2C">
      <w:pPr>
        <w:pStyle w:val="2"/>
        <w:rPr>
          <w:rFonts w:hint="eastAsia" w:ascii="Times New Roman" w:hAnsi="Times New Roman" w:eastAsia="仿宋_GB2312" w:cs="仿宋_GB2312"/>
          <w:color w:val="auto"/>
          <w:kern w:val="2"/>
          <w:sz w:val="32"/>
          <w:szCs w:val="32"/>
          <w:highlight w:val="none"/>
          <w:lang w:val="en-US" w:eastAsia="zh-CN" w:bidi="ar-SA"/>
        </w:rPr>
      </w:pPr>
    </w:p>
    <w:p w14:paraId="44B2AA90">
      <w:pPr>
        <w:rPr>
          <w:rFonts w:hint="eastAsia" w:ascii="Times New Roman" w:hAnsi="Times New Roman" w:eastAsia="仿宋_GB2312" w:cs="仿宋_GB2312"/>
          <w:color w:val="auto"/>
          <w:kern w:val="2"/>
          <w:sz w:val="32"/>
          <w:szCs w:val="32"/>
          <w:highlight w:val="none"/>
          <w:lang w:val="en-US" w:eastAsia="zh-CN" w:bidi="ar-SA"/>
        </w:rPr>
      </w:pPr>
    </w:p>
    <w:p w14:paraId="54654D5B">
      <w:pPr>
        <w:pStyle w:val="2"/>
        <w:rPr>
          <w:rFonts w:hint="eastAsia" w:ascii="Times New Roman" w:hAnsi="Times New Roman" w:eastAsia="仿宋_GB2312" w:cs="仿宋_GB2312"/>
          <w:color w:val="auto"/>
          <w:kern w:val="2"/>
          <w:sz w:val="32"/>
          <w:szCs w:val="32"/>
          <w:highlight w:val="none"/>
          <w:lang w:val="en-US" w:eastAsia="zh-CN" w:bidi="ar-SA"/>
        </w:rPr>
      </w:pPr>
    </w:p>
    <w:p w14:paraId="69469BEA">
      <w:pPr>
        <w:rPr>
          <w:rFonts w:hint="eastAsia"/>
          <w:lang w:val="en-US" w:eastAsia="zh-CN"/>
        </w:rPr>
      </w:pPr>
    </w:p>
    <w:p w14:paraId="03CCE653">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28659CEC">
      <w:pPr>
        <w:spacing w:line="600" w:lineRule="exact"/>
        <w:jc w:val="left"/>
        <w:rPr>
          <w:rFonts w:ascii="Times New Roman" w:hAnsi="Times New Roman"/>
          <w:b/>
          <w:color w:val="auto"/>
          <w:sz w:val="44"/>
          <w:szCs w:val="44"/>
          <w:highlight w:val="none"/>
        </w:rPr>
      </w:pPr>
    </w:p>
    <w:p w14:paraId="0CAFCC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27D81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7696D5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2A12B3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29D83B75">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.教育</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普通教育</w:t>
      </w:r>
      <w:r>
        <w:rPr>
          <w:rFonts w:hint="eastAsia" w:ascii="Times New Roman" w:hAnsi="Times New Roman" w:eastAsia="仿宋_GB2312" w:cs="仿宋_GB2312"/>
          <w:color w:val="auto"/>
          <w:kern w:val="2"/>
          <w:sz w:val="32"/>
          <w:szCs w:val="32"/>
          <w:highlight w:val="none"/>
          <w:lang w:val="en-US" w:eastAsia="zh-CN" w:bidi="ar-SA"/>
        </w:rPr>
        <w:t>（款）其他普通教育支出（项）：指</w:t>
      </w:r>
      <w:r>
        <w:rPr>
          <w:rFonts w:hint="eastAsia" w:eastAsia="仿宋_GB2312" w:cs="仿宋_GB2312"/>
          <w:color w:val="auto"/>
          <w:kern w:val="2"/>
          <w:sz w:val="32"/>
          <w:szCs w:val="32"/>
          <w:highlight w:val="none"/>
          <w:lang w:val="en-US" w:eastAsia="zh-CN" w:bidi="ar-SA"/>
        </w:rPr>
        <w:t>反映其他用于普通教育方面的支出。</w:t>
      </w:r>
    </w:p>
    <w:p w14:paraId="7A31A21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机关事业单位基本养老保险缴费支出（项）：指</w:t>
      </w:r>
      <w:r>
        <w:rPr>
          <w:rFonts w:hint="eastAsia" w:eastAsia="仿宋_GB2312" w:cs="仿宋_GB2312"/>
          <w:color w:val="auto"/>
          <w:kern w:val="2"/>
          <w:sz w:val="32"/>
          <w:szCs w:val="32"/>
          <w:highlight w:val="none"/>
          <w:lang w:val="en-US" w:eastAsia="zh-CN" w:bidi="ar-SA"/>
        </w:rPr>
        <w:t>反映机关事务单位实施养老保险制度由单位缴纳的基本养老保险费支出。</w:t>
      </w:r>
    </w:p>
    <w:p w14:paraId="3DBD084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w:t>
      </w:r>
      <w:r>
        <w:rPr>
          <w:rFonts w:hint="eastAsia" w:eastAsia="仿宋_GB2312" w:cs="仿宋_GB2312"/>
          <w:color w:val="auto"/>
          <w:kern w:val="2"/>
          <w:sz w:val="32"/>
          <w:szCs w:val="32"/>
          <w:highlight w:val="none"/>
          <w:lang w:val="en-US" w:eastAsia="zh-CN" w:bidi="ar-SA"/>
        </w:rPr>
        <w:t>）机关事业单位职业年金缴费</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（项）：指机关事业单位实施养老保险制度由单位缴纳的养老保险费支出。</w:t>
      </w:r>
    </w:p>
    <w:p w14:paraId="47737C8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社会保障和就业（类）行政事业单位养老（款</w:t>
      </w:r>
      <w:r>
        <w:rPr>
          <w:rFonts w:hint="eastAsia" w:eastAsia="仿宋_GB2312" w:cs="仿宋_GB2312"/>
          <w:color w:val="auto"/>
          <w:kern w:val="2"/>
          <w:sz w:val="32"/>
          <w:szCs w:val="32"/>
          <w:highlight w:val="none"/>
          <w:lang w:val="en-US" w:eastAsia="zh-CN" w:bidi="ar-SA"/>
        </w:rPr>
        <w:t>）其他行政事业单位养老支出（项）：指反映其他用于行政事业单位养老方面的支出。</w:t>
      </w:r>
    </w:p>
    <w:p w14:paraId="299EAF1B">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抚恤（款）死亡抚恤（项）：指用于病故人员家属的一次性和定期抚恤金、丧葬补助费支出。</w:t>
      </w:r>
    </w:p>
    <w:p w14:paraId="73A132D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其他社会保障和就业支出（款）其他社会保障和就业支出（项）：指反映其他用于社会保障和就业方面的支出。</w:t>
      </w:r>
    </w:p>
    <w:p w14:paraId="42BEAEC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行政事业单位医疗（款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行政单位医疗（项）：</w:t>
      </w:r>
      <w:r>
        <w:rPr>
          <w:rFonts w:hint="eastAsia" w:ascii="仿宋" w:hAnsi="仿宋" w:eastAsia="仿宋" w:cs="仿宋"/>
          <w:color w:val="000000"/>
          <w:kern w:val="0"/>
          <w:sz w:val="32"/>
          <w:szCs w:val="32"/>
        </w:rPr>
        <w:t>指行政单位基本医疗保险缴纳资金。</w:t>
      </w:r>
    </w:p>
    <w:p w14:paraId="3CF2FC9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卫生健康</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（类）行政事业单位医疗（款）事业单位医疗（项）：指事业</w:t>
      </w:r>
      <w:r>
        <w:rPr>
          <w:rFonts w:hint="eastAsia" w:ascii="Times New Roman" w:hAnsi="Times New Roman" w:eastAsia="仿宋_GB2312" w:cs="仿宋_GB2312"/>
          <w:color w:val="auto"/>
          <w:kern w:val="2"/>
          <w:sz w:val="32"/>
          <w:szCs w:val="32"/>
          <w:highlight w:val="none"/>
          <w:lang w:val="en-US" w:eastAsia="zh-CN" w:bidi="ar-SA"/>
        </w:rPr>
        <w:t>单位</w:t>
      </w:r>
      <w:r>
        <w:rPr>
          <w:rFonts w:hint="eastAsia" w:eastAsia="仿宋_GB2312" w:cs="仿宋_GB2312"/>
          <w:color w:val="auto"/>
          <w:kern w:val="2"/>
          <w:sz w:val="32"/>
          <w:szCs w:val="32"/>
          <w:highlight w:val="none"/>
          <w:lang w:val="en-US" w:eastAsia="zh-CN" w:bidi="ar-SA"/>
        </w:rPr>
        <w:t>基本医疗保险缴纳资金。</w:t>
      </w:r>
    </w:p>
    <w:p w14:paraId="6525E1B3">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卫生健康</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（类）行政事业单位医疗（款）公务员医疗补助（项）：指反映财政部门安排的公务员医疗补助经费。</w:t>
      </w:r>
    </w:p>
    <w:p w14:paraId="3563066A">
      <w:pPr>
        <w:spacing w:line="600" w:lineRule="exact"/>
        <w:ind w:firstLine="640"/>
        <w:rPr>
          <w:rFonts w:hint="default"/>
          <w:lang w:val="en-US" w:eastAsia="zh-CN"/>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农林水支出（类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巩固脱贫攻坚成果衔接乡村振兴（款）农村基础设施建设（项）：</w:t>
      </w:r>
      <w:r>
        <w:rPr>
          <w:rFonts w:hint="eastAsia" w:eastAsia="仿宋_GB2312" w:cs="仿宋_GB2312"/>
          <w:color w:val="auto"/>
          <w:kern w:val="2"/>
          <w:sz w:val="32"/>
          <w:szCs w:val="32"/>
          <w:highlight w:val="none"/>
          <w:lang w:val="en-US" w:eastAsia="zh-CN" w:bidi="ar-SA"/>
        </w:rPr>
        <w:t>指用农村欠发达地区乡村道路、住房、基本农田、水利设施、人畜饮水、生态环境保护等生产生活条件改善方面的支出。</w:t>
      </w:r>
    </w:p>
    <w:p w14:paraId="0EEECCF3">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自然资源海洋气象等支出（类）自然资源事务（款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行政运行（项）：指</w:t>
      </w:r>
      <w:r>
        <w:rPr>
          <w:rFonts w:hint="eastAsia" w:eastAsia="仿宋_GB2312" w:cs="仿宋_GB2312"/>
          <w:color w:val="auto"/>
          <w:kern w:val="2"/>
          <w:sz w:val="32"/>
          <w:szCs w:val="32"/>
          <w:highlight w:val="none"/>
          <w:lang w:val="en-US" w:eastAsia="zh-CN" w:bidi="ar-SA"/>
        </w:rPr>
        <w:t>用于行政单位（包括实行公务员管理的事业单位）的基本支出。</w:t>
      </w:r>
    </w:p>
    <w:p w14:paraId="4E47AD09">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自然资源海洋气象</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等（类）自然资源事务（款）一般行政管理事务（项）：指反映用于行政单位（包括实行公务员管理的事业单位）未单独设置项级科目的其他项目支出。</w:t>
      </w:r>
    </w:p>
    <w:p w14:paraId="3D2D21D8">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）自然资源规划及管理（项）：指用于国土空间规划、国土空间开发适宜性评价等方面的支出。</w:t>
      </w:r>
    </w:p>
    <w:p w14:paraId="062A96D0">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）自然资源利用与保护（项）：指反映用于自然资源有偿使用与合理开发利用，国土空间生态修复，国土整治，耕地保护等方面的支出。</w:t>
      </w:r>
    </w:p>
    <w:p w14:paraId="2E75B8FE">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）事业运行（项）：</w:t>
      </w:r>
      <w:r>
        <w:rPr>
          <w:rFonts w:hint="eastAsia" w:ascii="仿宋" w:hAnsi="仿宋" w:eastAsia="仿宋"/>
          <w:color w:val="000000"/>
          <w:sz w:val="32"/>
          <w:szCs w:val="32"/>
        </w:rPr>
        <w:t>指用于事业单位基本支出。</w:t>
      </w:r>
    </w:p>
    <w:p w14:paraId="27D654D4">
      <w:pPr>
        <w:numPr>
          <w:ilvl w:val="0"/>
          <w:numId w:val="0"/>
        </w:numPr>
        <w:spacing w:line="600" w:lineRule="exact"/>
        <w:ind w:firstLine="640" w:firstLineChars="200"/>
        <w:rPr>
          <w:rFonts w:hint="default"/>
          <w:lang w:val="en-US" w:eastAsia="zh-CN"/>
        </w:rPr>
      </w:pPr>
      <w:r>
        <w:rPr>
          <w:rFonts w:hint="eastAsia" w:ascii="Times New Roman" w:hAnsi="Times New Roman" w:eastAsia="仿宋_GB2312" w:cs="仿宋_GB2312"/>
          <w:color w:val="auto"/>
          <w:kern w:val="2"/>
          <w:sz w:val="32"/>
          <w:szCs w:val="32"/>
          <w:highlight w:val="none"/>
          <w:lang w:val="en-US" w:eastAsia="zh-CN" w:bidi="ar-SA"/>
        </w:rPr>
        <w:t>自然资源海洋气象等支出（类）自然资源事务（款</w:t>
      </w:r>
      <w:r>
        <w:rPr>
          <w:rFonts w:hint="eastAsia" w:eastAsia="仿宋_GB2312" w:cs="仿宋_GB2312"/>
          <w:color w:val="auto"/>
          <w:kern w:val="2"/>
          <w:sz w:val="32"/>
          <w:szCs w:val="32"/>
          <w:highlight w:val="none"/>
          <w:lang w:val="en-US" w:eastAsia="zh-CN" w:bidi="ar-SA"/>
        </w:rPr>
        <w:t>）其他自然资源事务支出（项）：指反映其他用于自然资源事务方面的支出。</w:t>
      </w:r>
    </w:p>
    <w:p w14:paraId="5C794330">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住房改革支出（款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住房公积金（项）：指</w:t>
      </w:r>
      <w:r>
        <w:rPr>
          <w:rFonts w:hint="eastAsia"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14:paraId="4CBE6F14">
      <w:pPr>
        <w:pStyle w:val="2"/>
        <w:numPr>
          <w:ilvl w:val="0"/>
          <w:numId w:val="0"/>
        </w:num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.灾害防治及应急管理</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（类）自然灾害防治（款）地质灾害防治（项）：指用于地质灾害方面支出。</w:t>
      </w:r>
    </w:p>
    <w:p w14:paraId="4C7AF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38377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72C438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3333D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机关运行经费：为保障行政单位运行用于购买货物和服务的各项资金，包括办公费及印刷费、邮电费、差旅费、会议费、福利费、日常维修费、一般设备购置费、办公用房水电费、公务用车运行维护费以及其他费用。</w:t>
      </w:r>
    </w:p>
    <w:p w14:paraId="7E856370">
      <w:pPr>
        <w:spacing w:line="600" w:lineRule="exact"/>
        <w:jc w:val="center"/>
        <w:rPr>
          <w:rStyle w:val="30"/>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670639C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FB1C67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42DEA9E">
      <w:pPr>
        <w:widowControl/>
        <w:spacing w:line="580" w:lineRule="exact"/>
        <w:contextualSpacing/>
        <w:jc w:val="center"/>
        <w:rPr>
          <w:rFonts w:ascii="黑体" w:hAnsi="黑体" w:eastAsia="黑体"/>
          <w:sz w:val="44"/>
          <w:szCs w:val="44"/>
          <w:shd w:val="clear" w:color="auto" w:fill="FFFFFF"/>
        </w:rPr>
      </w:pPr>
      <w:r>
        <w:rPr>
          <w:rFonts w:hint="eastAsia" w:ascii="黑体" w:hAnsi="黑体" w:eastAsia="黑体"/>
          <w:sz w:val="44"/>
          <w:szCs w:val="44"/>
          <w:shd w:val="clear" w:color="auto" w:fill="FFFFFF"/>
        </w:rPr>
        <w:t>沐川县自然资源局</w:t>
      </w:r>
    </w:p>
    <w:p w14:paraId="415B0D15">
      <w:pPr>
        <w:widowControl/>
        <w:spacing w:line="580" w:lineRule="exact"/>
        <w:contextualSpacing/>
        <w:jc w:val="center"/>
        <w:rPr>
          <w:rFonts w:ascii="黑体" w:hAnsi="黑体" w:eastAsia="黑体"/>
          <w:sz w:val="44"/>
          <w:szCs w:val="44"/>
          <w:shd w:val="clear" w:color="auto" w:fill="FFFFFF"/>
        </w:rPr>
      </w:pPr>
      <w:r>
        <w:rPr>
          <w:rFonts w:hint="eastAsia" w:ascii="黑体" w:hAnsi="黑体" w:eastAsia="黑体"/>
          <w:sz w:val="44"/>
          <w:szCs w:val="44"/>
          <w:shd w:val="clear" w:color="auto" w:fill="FFFFFF"/>
        </w:rPr>
        <w:t>202</w:t>
      </w:r>
      <w:r>
        <w:rPr>
          <w:rFonts w:hint="eastAsia" w:ascii="黑体" w:hAnsi="黑体" w:eastAsia="黑体"/>
          <w:sz w:val="44"/>
          <w:szCs w:val="44"/>
          <w:shd w:val="clear" w:color="auto" w:fill="FFFFFF"/>
          <w:lang w:val="en-US" w:eastAsia="zh-CN"/>
        </w:rPr>
        <w:t>5</w:t>
      </w:r>
      <w:r>
        <w:rPr>
          <w:rFonts w:hint="eastAsia" w:ascii="黑体" w:hAnsi="黑体" w:eastAsia="黑体"/>
          <w:sz w:val="44"/>
          <w:szCs w:val="44"/>
          <w:shd w:val="clear" w:color="auto" w:fill="FFFFFF"/>
        </w:rPr>
        <w:t>年度部门整体支出绩效自评报告</w:t>
      </w:r>
    </w:p>
    <w:p w14:paraId="412F2EC0">
      <w:pPr>
        <w:widowControl/>
        <w:spacing w:line="590" w:lineRule="exact"/>
        <w:ind w:firstLine="660" w:firstLineChars="200"/>
        <w:contextualSpacing/>
        <w:rPr>
          <w:rFonts w:eastAsia="黑体"/>
          <w:color w:val="000000"/>
          <w:kern w:val="0"/>
          <w:sz w:val="33"/>
          <w:szCs w:val="33"/>
          <w:shd w:val="clear" w:color="auto" w:fill="FFFFFF"/>
        </w:rPr>
      </w:pPr>
    </w:p>
    <w:p w14:paraId="6873EC13">
      <w:pPr>
        <w:widowControl/>
        <w:spacing w:line="590" w:lineRule="exact"/>
        <w:ind w:firstLine="660" w:firstLineChars="200"/>
        <w:contextualSpacing/>
        <w:rPr>
          <w:rFonts w:eastAsia="仿宋_GB2312"/>
          <w:sz w:val="33"/>
          <w:szCs w:val="33"/>
        </w:rPr>
      </w:pPr>
      <w:r>
        <w:rPr>
          <w:rFonts w:hint="eastAsia" w:eastAsia="黑体"/>
          <w:color w:val="000000"/>
          <w:kern w:val="0"/>
          <w:sz w:val="33"/>
          <w:szCs w:val="33"/>
          <w:shd w:val="clear" w:color="auto" w:fill="FFFFFF"/>
          <w:lang w:val="zh-CN"/>
        </w:rPr>
        <w:t>一、</w:t>
      </w:r>
      <w:r>
        <w:rPr>
          <w:rFonts w:eastAsia="黑体"/>
          <w:color w:val="000000"/>
          <w:kern w:val="0"/>
          <w:sz w:val="33"/>
          <w:szCs w:val="33"/>
          <w:shd w:val="clear" w:color="auto" w:fill="FFFFFF"/>
          <w:lang w:val="zh-CN"/>
        </w:rPr>
        <w:t>部门（单位）基本情况</w:t>
      </w:r>
    </w:p>
    <w:p w14:paraId="589D6BC6">
      <w:pPr>
        <w:widowControl/>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机构组成</w:t>
      </w:r>
    </w:p>
    <w:p w14:paraId="0B47A294">
      <w:pPr>
        <w:widowControl/>
        <w:spacing w:line="560" w:lineRule="exact"/>
        <w:ind w:firstLine="640" w:firstLineChars="200"/>
        <w:rPr>
          <w:rFonts w:hint="eastAsia" w:ascii="仿宋" w:hAnsi="仿宋" w:eastAsia="仿宋"/>
          <w:kern w:val="0"/>
          <w:sz w:val="32"/>
          <w:szCs w:val="32"/>
          <w:lang w:val="en-US" w:eastAsia="zh-CN"/>
        </w:rPr>
      </w:pPr>
      <w:r>
        <w:rPr>
          <w:rFonts w:hint="eastAsia" w:ascii="仿宋" w:hAnsi="仿宋" w:eastAsia="仿宋" w:cs="仿宋"/>
          <w:bCs/>
          <w:sz w:val="32"/>
          <w:szCs w:val="32"/>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年自然资源局决算编制范围的独立核算单位共</w:t>
      </w:r>
      <w:r>
        <w:rPr>
          <w:rFonts w:hint="eastAsia" w:ascii="仿宋" w:hAnsi="仿宋" w:eastAsia="仿宋" w:cs="仿宋"/>
          <w:bCs/>
          <w:sz w:val="32"/>
          <w:szCs w:val="32"/>
          <w:lang w:val="en-US" w:eastAsia="zh-CN"/>
        </w:rPr>
        <w:t>9</w:t>
      </w:r>
      <w:r>
        <w:rPr>
          <w:rFonts w:hint="eastAsia" w:ascii="仿宋" w:hAnsi="仿宋" w:eastAsia="仿宋" w:cs="仿宋"/>
          <w:bCs/>
          <w:sz w:val="32"/>
          <w:szCs w:val="32"/>
        </w:rPr>
        <w:t>个，包括</w:t>
      </w:r>
      <w:r>
        <w:rPr>
          <w:rFonts w:hint="eastAsia" w:ascii="仿宋" w:hAnsi="仿宋" w:eastAsia="仿宋"/>
          <w:kern w:val="0"/>
          <w:sz w:val="32"/>
          <w:szCs w:val="32"/>
        </w:rPr>
        <w:t>自然资源局机关；其他事业单位</w:t>
      </w:r>
      <w:r>
        <w:rPr>
          <w:rFonts w:hint="eastAsia" w:ascii="仿宋" w:hAnsi="仿宋" w:eastAsia="仿宋"/>
          <w:kern w:val="0"/>
          <w:sz w:val="32"/>
          <w:szCs w:val="32"/>
          <w:lang w:eastAsia="zh-CN"/>
        </w:rPr>
        <w:t>8</w:t>
      </w:r>
      <w:r>
        <w:rPr>
          <w:rFonts w:hint="eastAsia" w:ascii="仿宋" w:hAnsi="仿宋" w:eastAsia="仿宋"/>
          <w:kern w:val="0"/>
          <w:sz w:val="32"/>
          <w:szCs w:val="32"/>
        </w:rPr>
        <w:t>个：沐川县土地事务服务中心、沐川县不动产登记中心、沐川县规划设计中心、沐川县地质环境监测站，沐溪片区自然资源所、舟坝片区自然资源所、大楠片区自然资源所、利店片区自然资源所</w:t>
      </w:r>
      <w:r>
        <w:rPr>
          <w:rFonts w:hint="eastAsia" w:ascii="仿宋" w:hAnsi="仿宋" w:eastAsia="仿宋"/>
          <w:kern w:val="0"/>
          <w:sz w:val="32"/>
          <w:szCs w:val="32"/>
          <w:lang w:eastAsia="zh-CN"/>
        </w:rPr>
        <w:t>。</w:t>
      </w:r>
    </w:p>
    <w:p w14:paraId="0E239304">
      <w:pPr>
        <w:widowControl/>
        <w:spacing w:line="600" w:lineRule="exact"/>
        <w:ind w:firstLine="663" w:firstLineChars="200"/>
        <w:jc w:val="left"/>
        <w:rPr>
          <w:rFonts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（二）机构职能</w:t>
      </w:r>
      <w:r>
        <w:rPr>
          <w:rFonts w:hint="eastAsia" w:eastAsia="楷体_GB2312"/>
          <w:b/>
          <w:bCs/>
          <w:color w:val="000000"/>
          <w:kern w:val="0"/>
          <w:sz w:val="33"/>
          <w:szCs w:val="33"/>
          <w:shd w:val="clear" w:color="auto" w:fill="FFFFFF"/>
          <w:lang w:val="zh-CN"/>
        </w:rPr>
        <w:t>。</w:t>
      </w:r>
      <w:r>
        <w:rPr>
          <w:rFonts w:hint="eastAsia" w:ascii="仿宋" w:hAnsi="仿宋" w:eastAsia="仿宋" w:cs="FangSong_GB2312"/>
          <w:sz w:val="32"/>
          <w:szCs w:val="32"/>
        </w:rPr>
        <w:t>贯彻落实党中央、省委、市委关于自然资源局工作的方针政策和县委决策部署。</w:t>
      </w:r>
      <w:r>
        <w:rPr>
          <w:rFonts w:ascii="仿宋" w:hAnsi="仿宋" w:eastAsia="仿宋"/>
          <w:bCs/>
          <w:kern w:val="0"/>
          <w:sz w:val="32"/>
          <w:szCs w:val="32"/>
        </w:rPr>
        <w:t>按照规定权限，履行全民所有土地、矿产、森林、湿地、水等自然资源资产所有者职责和所有国土空间用途管制职责。负责全</w:t>
      </w:r>
      <w:r>
        <w:rPr>
          <w:rFonts w:hint="eastAsia" w:ascii="仿宋" w:hAnsi="仿宋" w:eastAsia="仿宋"/>
          <w:bCs/>
          <w:kern w:val="0"/>
          <w:sz w:val="32"/>
          <w:szCs w:val="32"/>
        </w:rPr>
        <w:t>县</w:t>
      </w:r>
      <w:r>
        <w:rPr>
          <w:rFonts w:ascii="仿宋" w:hAnsi="仿宋" w:eastAsia="仿宋"/>
          <w:bCs/>
          <w:kern w:val="0"/>
          <w:sz w:val="32"/>
          <w:szCs w:val="32"/>
        </w:rPr>
        <w:t>自然资源调查监测评价。负责全</w:t>
      </w:r>
      <w:r>
        <w:rPr>
          <w:rFonts w:hint="eastAsia" w:ascii="仿宋" w:hAnsi="仿宋" w:eastAsia="仿宋"/>
          <w:bCs/>
          <w:kern w:val="0"/>
          <w:sz w:val="32"/>
          <w:szCs w:val="32"/>
        </w:rPr>
        <w:t>县</w:t>
      </w:r>
      <w:r>
        <w:rPr>
          <w:rFonts w:ascii="仿宋" w:hAnsi="仿宋" w:eastAsia="仿宋"/>
          <w:bCs/>
          <w:kern w:val="0"/>
          <w:sz w:val="32"/>
          <w:szCs w:val="32"/>
        </w:rPr>
        <w:t>自然资源统一确权登记工作。负责全</w:t>
      </w:r>
      <w:r>
        <w:rPr>
          <w:rFonts w:hint="eastAsia" w:ascii="仿宋" w:hAnsi="仿宋" w:eastAsia="仿宋"/>
          <w:bCs/>
          <w:kern w:val="0"/>
          <w:sz w:val="32"/>
          <w:szCs w:val="32"/>
        </w:rPr>
        <w:t>县</w:t>
      </w:r>
      <w:r>
        <w:rPr>
          <w:rFonts w:ascii="仿宋" w:hAnsi="仿宋" w:eastAsia="仿宋"/>
          <w:bCs/>
          <w:kern w:val="0"/>
          <w:sz w:val="32"/>
          <w:szCs w:val="32"/>
        </w:rPr>
        <w:t>自然资源资产有偿使用工作。负责全</w:t>
      </w:r>
      <w:r>
        <w:rPr>
          <w:rFonts w:hint="eastAsia" w:ascii="仿宋" w:hAnsi="仿宋" w:eastAsia="仿宋"/>
          <w:bCs/>
          <w:kern w:val="0"/>
          <w:sz w:val="32"/>
          <w:szCs w:val="32"/>
        </w:rPr>
        <w:t>县</w:t>
      </w:r>
      <w:r>
        <w:rPr>
          <w:rFonts w:ascii="仿宋" w:hAnsi="仿宋" w:eastAsia="仿宋"/>
          <w:bCs/>
          <w:kern w:val="0"/>
          <w:sz w:val="32"/>
          <w:szCs w:val="32"/>
        </w:rPr>
        <w:t>自然资源的合理开发利用。负责建立全</w:t>
      </w:r>
      <w:r>
        <w:rPr>
          <w:rFonts w:hint="eastAsia" w:ascii="仿宋" w:hAnsi="仿宋" w:eastAsia="仿宋"/>
          <w:bCs/>
          <w:kern w:val="0"/>
          <w:sz w:val="32"/>
          <w:szCs w:val="32"/>
        </w:rPr>
        <w:t>县</w:t>
      </w:r>
      <w:r>
        <w:rPr>
          <w:rFonts w:ascii="仿宋" w:hAnsi="仿宋" w:eastAsia="仿宋"/>
          <w:bCs/>
          <w:kern w:val="0"/>
          <w:sz w:val="32"/>
          <w:szCs w:val="32"/>
        </w:rPr>
        <w:t>空间规划体系并监督实施。推进主体功能区战略和制度，组织编制并监督实施国土空间规划和相关专项规划。负责统筹全</w:t>
      </w:r>
      <w:r>
        <w:rPr>
          <w:rFonts w:hint="eastAsia" w:ascii="仿宋" w:hAnsi="仿宋" w:eastAsia="仿宋"/>
          <w:bCs/>
          <w:kern w:val="0"/>
          <w:sz w:val="32"/>
          <w:szCs w:val="32"/>
        </w:rPr>
        <w:t>县国土</w:t>
      </w:r>
      <w:r>
        <w:rPr>
          <w:rFonts w:ascii="仿宋" w:hAnsi="仿宋" w:eastAsia="仿宋"/>
          <w:bCs/>
          <w:kern w:val="0"/>
          <w:sz w:val="32"/>
          <w:szCs w:val="32"/>
        </w:rPr>
        <w:t>空间生态修复。负责组织实施最严格的耕地保护制度。负责管理全</w:t>
      </w:r>
      <w:r>
        <w:rPr>
          <w:rFonts w:hint="eastAsia" w:ascii="仿宋" w:hAnsi="仿宋" w:eastAsia="仿宋"/>
          <w:bCs/>
          <w:kern w:val="0"/>
          <w:sz w:val="32"/>
          <w:szCs w:val="32"/>
        </w:rPr>
        <w:t>县</w:t>
      </w:r>
      <w:r>
        <w:rPr>
          <w:rFonts w:ascii="仿宋" w:hAnsi="仿宋" w:eastAsia="仿宋"/>
          <w:bCs/>
          <w:kern w:val="0"/>
          <w:sz w:val="32"/>
          <w:szCs w:val="32"/>
        </w:rPr>
        <w:t>地质勘查行业和地质工作。负责落实综合防灾减灾规划相关要求，组织编制全</w:t>
      </w:r>
      <w:r>
        <w:rPr>
          <w:rFonts w:hint="eastAsia" w:ascii="仿宋" w:hAnsi="仿宋" w:eastAsia="仿宋"/>
          <w:bCs/>
          <w:kern w:val="0"/>
          <w:sz w:val="32"/>
          <w:szCs w:val="32"/>
        </w:rPr>
        <w:t>县</w:t>
      </w:r>
      <w:r>
        <w:rPr>
          <w:rFonts w:ascii="仿宋" w:hAnsi="仿宋" w:eastAsia="仿宋"/>
          <w:bCs/>
          <w:kern w:val="0"/>
          <w:sz w:val="32"/>
          <w:szCs w:val="32"/>
        </w:rPr>
        <w:t>地质灾害防治规划和防护标准并指导实施。负责全</w:t>
      </w:r>
      <w:r>
        <w:rPr>
          <w:rFonts w:hint="eastAsia" w:ascii="仿宋" w:hAnsi="仿宋" w:eastAsia="仿宋"/>
          <w:bCs/>
          <w:kern w:val="0"/>
          <w:sz w:val="32"/>
          <w:szCs w:val="32"/>
        </w:rPr>
        <w:t>县</w:t>
      </w:r>
      <w:r>
        <w:rPr>
          <w:rFonts w:ascii="仿宋" w:hAnsi="仿宋" w:eastAsia="仿宋"/>
          <w:bCs/>
          <w:kern w:val="0"/>
          <w:sz w:val="32"/>
          <w:szCs w:val="32"/>
        </w:rPr>
        <w:t>矿产资源管理工作。</w:t>
      </w:r>
      <w:r>
        <w:rPr>
          <w:rFonts w:hint="eastAsia" w:ascii="仿宋" w:hAnsi="仿宋" w:eastAsia="仿宋"/>
          <w:bCs/>
          <w:kern w:val="0"/>
          <w:sz w:val="32"/>
          <w:szCs w:val="32"/>
        </w:rPr>
        <w:t>负责测绘地理信息管理工作，负责基础测绘和测绘行业管理。</w:t>
      </w:r>
      <w:r>
        <w:rPr>
          <w:rFonts w:ascii="仿宋" w:hAnsi="仿宋" w:eastAsia="仿宋"/>
          <w:bCs/>
          <w:kern w:val="0"/>
          <w:sz w:val="32"/>
          <w:szCs w:val="32"/>
        </w:rPr>
        <w:t>推动全</w:t>
      </w:r>
      <w:r>
        <w:rPr>
          <w:rFonts w:hint="eastAsia" w:ascii="仿宋" w:hAnsi="仿宋" w:eastAsia="仿宋"/>
          <w:bCs/>
          <w:kern w:val="0"/>
          <w:sz w:val="32"/>
          <w:szCs w:val="32"/>
        </w:rPr>
        <w:t>县</w:t>
      </w:r>
      <w:r>
        <w:rPr>
          <w:rFonts w:ascii="仿宋" w:hAnsi="仿宋" w:eastAsia="仿宋"/>
          <w:bCs/>
          <w:kern w:val="0"/>
          <w:sz w:val="32"/>
          <w:szCs w:val="32"/>
        </w:rPr>
        <w:t>自然资源领域科技发展和对外合作。组织实施自然资源督察相关工作。负责职责范围内的安全生产和职业健康、生态环境保护</w:t>
      </w:r>
      <w:r>
        <w:rPr>
          <w:rFonts w:hint="eastAsia" w:ascii="仿宋" w:hAnsi="仿宋" w:eastAsia="仿宋"/>
          <w:bCs/>
          <w:kern w:val="0"/>
          <w:sz w:val="32"/>
          <w:szCs w:val="32"/>
        </w:rPr>
        <w:t>和职业健康</w:t>
      </w:r>
      <w:r>
        <w:rPr>
          <w:rFonts w:ascii="仿宋" w:hAnsi="仿宋" w:eastAsia="仿宋"/>
          <w:bCs/>
          <w:kern w:val="0"/>
          <w:sz w:val="32"/>
          <w:szCs w:val="32"/>
        </w:rPr>
        <w:t>等工作。完成</w:t>
      </w:r>
      <w:r>
        <w:rPr>
          <w:rFonts w:hint="eastAsia" w:ascii="仿宋" w:hAnsi="仿宋" w:eastAsia="仿宋"/>
          <w:bCs/>
          <w:kern w:val="0"/>
          <w:sz w:val="32"/>
          <w:szCs w:val="32"/>
        </w:rPr>
        <w:t>县</w:t>
      </w:r>
      <w:r>
        <w:rPr>
          <w:rFonts w:ascii="仿宋" w:hAnsi="仿宋" w:eastAsia="仿宋"/>
          <w:bCs/>
          <w:kern w:val="0"/>
          <w:sz w:val="32"/>
          <w:szCs w:val="32"/>
        </w:rPr>
        <w:t>委、</w:t>
      </w:r>
      <w:r>
        <w:rPr>
          <w:rFonts w:hint="eastAsia" w:ascii="仿宋" w:hAnsi="仿宋" w:eastAsia="仿宋"/>
          <w:bCs/>
          <w:kern w:val="0"/>
          <w:sz w:val="32"/>
          <w:szCs w:val="32"/>
        </w:rPr>
        <w:t>县</w:t>
      </w:r>
      <w:r>
        <w:rPr>
          <w:rFonts w:ascii="仿宋" w:hAnsi="仿宋" w:eastAsia="仿宋"/>
          <w:bCs/>
          <w:kern w:val="0"/>
          <w:sz w:val="32"/>
          <w:szCs w:val="32"/>
        </w:rPr>
        <w:t>政府交办的其他工作。</w:t>
      </w:r>
    </w:p>
    <w:p w14:paraId="13316D7F">
      <w:pPr>
        <w:ind w:firstLine="663" w:firstLineChars="200"/>
        <w:rPr>
          <w:rFonts w:hint="eastAsia"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w:t>
      </w:r>
      <w:r>
        <w:rPr>
          <w:rFonts w:hint="eastAsia" w:eastAsia="楷体_GB2312"/>
          <w:b/>
          <w:bCs/>
          <w:color w:val="000000"/>
          <w:kern w:val="0"/>
          <w:sz w:val="33"/>
          <w:szCs w:val="33"/>
          <w:shd w:val="clear" w:color="auto" w:fill="FFFFFF"/>
          <w:lang w:val="zh-CN"/>
        </w:rPr>
        <w:t>三</w:t>
      </w:r>
      <w:r>
        <w:rPr>
          <w:rFonts w:eastAsia="楷体_GB2312"/>
          <w:b/>
          <w:bCs/>
          <w:color w:val="000000"/>
          <w:kern w:val="0"/>
          <w:sz w:val="33"/>
          <w:szCs w:val="33"/>
          <w:shd w:val="clear" w:color="auto" w:fill="FFFFFF"/>
          <w:lang w:val="zh-CN"/>
        </w:rPr>
        <w:t>）人员概况</w:t>
      </w:r>
      <w:r>
        <w:rPr>
          <w:rFonts w:hint="eastAsia" w:eastAsia="楷体_GB2312"/>
          <w:b/>
          <w:bCs/>
          <w:color w:val="000000"/>
          <w:kern w:val="0"/>
          <w:sz w:val="33"/>
          <w:szCs w:val="33"/>
          <w:shd w:val="clear" w:color="auto" w:fill="FFFFFF"/>
          <w:lang w:val="zh-CN"/>
        </w:rPr>
        <w:t>。</w:t>
      </w:r>
    </w:p>
    <w:p w14:paraId="5A6A622D">
      <w:pPr>
        <w:ind w:firstLine="640" w:firstLineChars="200"/>
        <w:rPr>
          <w:rFonts w:hint="eastAsia" w:ascii="仿宋" w:hAnsi="仿宋" w:eastAsia="仿宋" w:cs="仿宋"/>
          <w:color w:val="000000"/>
          <w:sz w:val="32"/>
          <w:szCs w:val="32"/>
          <w:lang w:val="en-US" w:eastAsia="zh-CN"/>
        </w:rPr>
      </w:pPr>
      <w:r>
        <w:rPr>
          <w:rFonts w:hint="eastAsia" w:ascii="仿宋" w:hAnsi="仿宋" w:eastAsia="仿宋" w:cs="Times New Roman"/>
          <w:kern w:val="0"/>
          <w:sz w:val="32"/>
          <w:szCs w:val="32"/>
        </w:rPr>
        <w:t>202</w:t>
      </w:r>
      <w:r>
        <w:rPr>
          <w:rFonts w:hint="eastAsia" w:ascii="仿宋" w:hAnsi="仿宋" w:eastAsia="仿宋" w:cs="Times New Roman"/>
          <w:kern w:val="0"/>
          <w:sz w:val="32"/>
          <w:szCs w:val="32"/>
          <w:lang w:val="en-US" w:eastAsia="zh-CN"/>
        </w:rPr>
        <w:t>5</w:t>
      </w:r>
      <w:r>
        <w:rPr>
          <w:rFonts w:hint="eastAsia" w:ascii="仿宋" w:hAnsi="仿宋" w:eastAsia="仿宋" w:cs="Times New Roman"/>
          <w:kern w:val="0"/>
          <w:sz w:val="32"/>
          <w:szCs w:val="32"/>
        </w:rPr>
        <w:t>年自然资源局总编制</w:t>
      </w:r>
      <w:r>
        <w:rPr>
          <w:rFonts w:hint="eastAsia" w:ascii="仿宋" w:hAnsi="仿宋" w:eastAsia="仿宋" w:cs="Times New Roman"/>
          <w:kern w:val="0"/>
          <w:sz w:val="32"/>
          <w:szCs w:val="32"/>
          <w:lang w:val="en-US" w:eastAsia="zh-CN"/>
        </w:rPr>
        <w:t>68</w:t>
      </w:r>
      <w:r>
        <w:rPr>
          <w:rFonts w:hint="eastAsia" w:ascii="仿宋" w:hAnsi="仿宋" w:eastAsia="仿宋" w:cs="Times New Roman"/>
          <w:kern w:val="0"/>
          <w:sz w:val="32"/>
          <w:szCs w:val="32"/>
        </w:rPr>
        <w:t>个，其中：行政编制1</w:t>
      </w:r>
      <w:r>
        <w:rPr>
          <w:rFonts w:hint="eastAsia" w:ascii="仿宋" w:hAnsi="仿宋" w:eastAsia="仿宋" w:cs="Times New Roman"/>
          <w:kern w:val="0"/>
          <w:sz w:val="32"/>
          <w:szCs w:val="32"/>
          <w:lang w:val="en-US" w:eastAsia="zh-CN"/>
        </w:rPr>
        <w:t>1</w:t>
      </w:r>
      <w:r>
        <w:rPr>
          <w:rFonts w:hint="eastAsia" w:ascii="仿宋" w:hAnsi="仿宋" w:eastAsia="仿宋" w:cs="Times New Roman"/>
          <w:kern w:val="0"/>
          <w:sz w:val="32"/>
          <w:szCs w:val="32"/>
        </w:rPr>
        <w:t>个、工勤编制1个、事业编制</w:t>
      </w:r>
      <w:r>
        <w:rPr>
          <w:rFonts w:hint="eastAsia" w:ascii="仿宋" w:hAnsi="仿宋" w:eastAsia="仿宋" w:cs="Times New Roman"/>
          <w:kern w:val="0"/>
          <w:sz w:val="32"/>
          <w:szCs w:val="32"/>
          <w:lang w:val="en-US" w:eastAsia="zh-CN"/>
        </w:rPr>
        <w:t>56</w:t>
      </w:r>
      <w:r>
        <w:rPr>
          <w:rFonts w:hint="eastAsia" w:ascii="仿宋" w:hAnsi="仿宋" w:eastAsia="仿宋" w:cs="Times New Roman"/>
          <w:kern w:val="0"/>
          <w:sz w:val="32"/>
          <w:szCs w:val="32"/>
        </w:rPr>
        <w:t>个。</w:t>
      </w:r>
    </w:p>
    <w:p w14:paraId="5CCF7EB5">
      <w:pPr>
        <w:ind w:firstLine="640" w:firstLineChars="200"/>
        <w:rPr>
          <w:rFonts w:hint="eastAsia" w:ascii="仿宋" w:hAnsi="仿宋" w:eastAsia="仿宋"/>
          <w:kern w:val="0"/>
          <w:sz w:val="32"/>
          <w:szCs w:val="32"/>
          <w:lang w:eastAsia="zh-CN"/>
        </w:rPr>
      </w:pPr>
      <w:r>
        <w:rPr>
          <w:rFonts w:hint="eastAsia" w:ascii="仿宋" w:hAnsi="仿宋" w:eastAsia="仿宋"/>
          <w:kern w:val="0"/>
          <w:sz w:val="32"/>
          <w:szCs w:val="32"/>
        </w:rPr>
        <w:t>202</w:t>
      </w:r>
      <w:r>
        <w:rPr>
          <w:rFonts w:hint="eastAsia" w:ascii="仿宋" w:hAnsi="仿宋" w:eastAsia="仿宋"/>
          <w:kern w:val="0"/>
          <w:sz w:val="32"/>
          <w:szCs w:val="32"/>
          <w:lang w:val="en-US" w:eastAsia="zh-CN"/>
        </w:rPr>
        <w:t>5年</w:t>
      </w:r>
      <w:r>
        <w:rPr>
          <w:rFonts w:hint="eastAsia" w:ascii="仿宋" w:hAnsi="仿宋" w:eastAsia="仿宋"/>
          <w:kern w:val="0"/>
          <w:sz w:val="32"/>
          <w:szCs w:val="32"/>
        </w:rPr>
        <w:t>在职人员总数</w:t>
      </w:r>
      <w:r>
        <w:rPr>
          <w:rFonts w:hint="eastAsia" w:ascii="仿宋" w:hAnsi="仿宋" w:eastAsia="仿宋"/>
          <w:kern w:val="0"/>
          <w:sz w:val="32"/>
          <w:szCs w:val="32"/>
          <w:lang w:val="en-US" w:eastAsia="zh-CN"/>
        </w:rPr>
        <w:t>74</w:t>
      </w:r>
      <w:r>
        <w:rPr>
          <w:rFonts w:hint="eastAsia" w:ascii="仿宋" w:hAnsi="仿宋" w:eastAsia="仿宋"/>
          <w:kern w:val="0"/>
          <w:sz w:val="32"/>
          <w:szCs w:val="32"/>
        </w:rPr>
        <w:t>人</w:t>
      </w:r>
      <w:r>
        <w:rPr>
          <w:rFonts w:hint="eastAsia" w:ascii="仿宋" w:hAnsi="仿宋" w:eastAsia="仿宋"/>
          <w:kern w:val="0"/>
          <w:sz w:val="32"/>
          <w:szCs w:val="32"/>
          <w:lang w:val="en-US" w:eastAsia="zh-CN"/>
        </w:rPr>
        <w:t>。</w:t>
      </w:r>
      <w:r>
        <w:rPr>
          <w:rFonts w:hint="eastAsia" w:ascii="仿宋" w:hAnsi="仿宋" w:eastAsia="仿宋"/>
          <w:kern w:val="0"/>
          <w:sz w:val="32"/>
          <w:szCs w:val="32"/>
        </w:rPr>
        <w:t>其中：行政</w:t>
      </w:r>
      <w:r>
        <w:rPr>
          <w:rFonts w:hint="eastAsia" w:ascii="仿宋" w:hAnsi="仿宋" w:eastAsia="仿宋"/>
          <w:kern w:val="0"/>
          <w:sz w:val="32"/>
          <w:szCs w:val="32"/>
          <w:lang w:val="en-US" w:eastAsia="zh-CN"/>
        </w:rPr>
        <w:t>11</w:t>
      </w:r>
      <w:r>
        <w:rPr>
          <w:rFonts w:hint="eastAsia" w:ascii="仿宋" w:hAnsi="仿宋" w:eastAsia="仿宋"/>
          <w:kern w:val="0"/>
          <w:sz w:val="32"/>
          <w:szCs w:val="32"/>
        </w:rPr>
        <w:t>人、工勤1人、事业</w:t>
      </w:r>
      <w:r>
        <w:rPr>
          <w:rFonts w:hint="eastAsia" w:ascii="仿宋" w:hAnsi="仿宋" w:eastAsia="仿宋"/>
          <w:kern w:val="0"/>
          <w:sz w:val="32"/>
          <w:szCs w:val="32"/>
          <w:lang w:val="en-US" w:eastAsia="zh-CN"/>
        </w:rPr>
        <w:t>49</w:t>
      </w:r>
      <w:r>
        <w:rPr>
          <w:rFonts w:hint="eastAsia" w:ascii="仿宋" w:hAnsi="仿宋" w:eastAsia="仿宋"/>
          <w:kern w:val="0"/>
          <w:sz w:val="32"/>
          <w:szCs w:val="32"/>
        </w:rPr>
        <w:t>人</w:t>
      </w:r>
      <w:r>
        <w:rPr>
          <w:rFonts w:hint="eastAsia" w:ascii="仿宋" w:hAnsi="仿宋" w:eastAsia="仿宋"/>
          <w:kern w:val="0"/>
          <w:sz w:val="32"/>
          <w:szCs w:val="32"/>
          <w:lang w:eastAsia="zh-CN"/>
        </w:rPr>
        <w:t>，其他人员</w:t>
      </w:r>
      <w:r>
        <w:rPr>
          <w:rFonts w:hint="eastAsia" w:ascii="仿宋" w:hAnsi="仿宋" w:eastAsia="仿宋"/>
          <w:kern w:val="0"/>
          <w:sz w:val="32"/>
          <w:szCs w:val="32"/>
          <w:lang w:val="en-US" w:eastAsia="zh-CN"/>
        </w:rPr>
        <w:t>13人。</w:t>
      </w:r>
    </w:p>
    <w:p w14:paraId="74FECCE0">
      <w:pPr>
        <w:widowControl/>
        <w:spacing w:line="590" w:lineRule="exact"/>
        <w:ind w:firstLine="660" w:firstLineChars="200"/>
        <w:contextualSpacing/>
        <w:rPr>
          <w:rFonts w:eastAsia="黑体"/>
          <w:color w:val="000000"/>
          <w:kern w:val="0"/>
          <w:sz w:val="33"/>
          <w:szCs w:val="33"/>
          <w:shd w:val="clear" w:color="auto" w:fill="FFFFFF"/>
        </w:rPr>
      </w:pPr>
      <w:r>
        <w:rPr>
          <w:rFonts w:eastAsia="黑体"/>
          <w:color w:val="000000"/>
          <w:kern w:val="0"/>
          <w:sz w:val="33"/>
          <w:szCs w:val="33"/>
          <w:shd w:val="clear" w:color="auto" w:fill="FFFFFF"/>
        </w:rPr>
        <w:t>二、部门资金收支情况</w:t>
      </w:r>
    </w:p>
    <w:p w14:paraId="4A7D3948">
      <w:pPr>
        <w:widowControl/>
        <w:adjustRightInd w:val="0"/>
        <w:snapToGrid w:val="0"/>
        <w:spacing w:line="540" w:lineRule="exact"/>
        <w:ind w:firstLine="720"/>
        <w:jc w:val="left"/>
        <w:rPr>
          <w:rFonts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（一）</w:t>
      </w:r>
      <w:r>
        <w:rPr>
          <w:rFonts w:hint="eastAsia" w:eastAsia="楷体_GB2312"/>
          <w:b/>
          <w:bCs/>
          <w:color w:val="000000"/>
          <w:kern w:val="0"/>
          <w:sz w:val="33"/>
          <w:szCs w:val="33"/>
          <w:shd w:val="clear" w:color="auto" w:fill="FFFFFF"/>
          <w:lang w:val="zh-CN"/>
        </w:rPr>
        <w:t>收入情况</w:t>
      </w:r>
      <w:r>
        <w:rPr>
          <w:rFonts w:eastAsia="楷体_GB2312"/>
          <w:b/>
          <w:bCs/>
          <w:color w:val="000000"/>
          <w:kern w:val="0"/>
          <w:sz w:val="33"/>
          <w:szCs w:val="33"/>
          <w:shd w:val="clear" w:color="auto" w:fill="FFFFFF"/>
          <w:lang w:val="zh-CN"/>
        </w:rPr>
        <w:t>。</w:t>
      </w:r>
    </w:p>
    <w:p w14:paraId="4EEFDA43">
      <w:pPr>
        <w:widowControl/>
        <w:adjustRightInd w:val="0"/>
        <w:snapToGrid w:val="0"/>
        <w:spacing w:line="540" w:lineRule="exact"/>
        <w:ind w:firstLine="720"/>
        <w:jc w:val="left"/>
        <w:rPr>
          <w:rFonts w:hint="eastAsia" w:ascii="仿宋" w:hAnsi="仿宋" w:eastAsia="仿宋" w:cs="仿宋"/>
          <w:color w:val="auto"/>
          <w:kern w:val="0"/>
          <w:sz w:val="32"/>
          <w:szCs w:val="32"/>
          <w:lang w:val="en-US"/>
        </w:rPr>
      </w:pPr>
      <w:r>
        <w:rPr>
          <w:rFonts w:hint="eastAsia" w:eastAsia="仿宋_GB2312"/>
          <w:sz w:val="33"/>
          <w:szCs w:val="33"/>
        </w:rPr>
        <w:t>202</w:t>
      </w:r>
      <w:r>
        <w:rPr>
          <w:rFonts w:hint="eastAsia" w:eastAsia="仿宋_GB2312"/>
          <w:sz w:val="33"/>
          <w:szCs w:val="33"/>
          <w:lang w:val="en-US" w:eastAsia="zh-CN"/>
        </w:rPr>
        <w:t>5</w:t>
      </w:r>
      <w:r>
        <w:rPr>
          <w:rFonts w:hint="eastAsia" w:eastAsia="仿宋_GB2312"/>
          <w:sz w:val="33"/>
          <w:szCs w:val="33"/>
        </w:rPr>
        <w:t>年年初预算收入</w:t>
      </w:r>
      <w:r>
        <w:rPr>
          <w:rFonts w:hint="eastAsia" w:eastAsia="仿宋_GB2312"/>
          <w:sz w:val="33"/>
          <w:szCs w:val="33"/>
          <w:lang w:eastAsia="zh-CN"/>
        </w:rPr>
        <w:t>合计</w:t>
      </w:r>
      <w:r>
        <w:rPr>
          <w:rFonts w:hint="eastAsia" w:ascii="仿宋" w:hAnsi="仿宋" w:eastAsia="仿宋" w:cs="Times New Roman"/>
          <w:kern w:val="0"/>
          <w:sz w:val="32"/>
          <w:szCs w:val="32"/>
          <w:lang w:val="en-US" w:eastAsia="zh-CN"/>
        </w:rPr>
        <w:t>10258.71</w:t>
      </w:r>
      <w:r>
        <w:rPr>
          <w:rFonts w:hint="eastAsia" w:eastAsia="仿宋_GB2312"/>
          <w:sz w:val="33"/>
          <w:szCs w:val="33"/>
          <w:lang w:eastAsia="zh-CN"/>
        </w:rPr>
        <w:t>万元，</w:t>
      </w:r>
      <w:r>
        <w:rPr>
          <w:rFonts w:hint="eastAsia" w:ascii="仿宋" w:hAnsi="仿宋" w:eastAsia="仿宋" w:cs="仿宋"/>
          <w:color w:val="auto"/>
          <w:sz w:val="32"/>
          <w:szCs w:val="32"/>
        </w:rPr>
        <w:t>其中：一般公共预算财政拨款收入</w:t>
      </w:r>
      <w:r>
        <w:rPr>
          <w:rFonts w:hint="eastAsia" w:ascii="仿宋" w:hAnsi="仿宋" w:eastAsia="仿宋" w:cs="仿宋"/>
          <w:color w:val="auto"/>
          <w:sz w:val="32"/>
          <w:szCs w:val="32"/>
          <w:lang w:val="en-US" w:eastAsia="zh-CN"/>
        </w:rPr>
        <w:t>1652.</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16.11</w:t>
      </w:r>
      <w:r>
        <w:rPr>
          <w:rFonts w:hint="eastAsia" w:ascii="仿宋" w:hAnsi="仿宋" w:eastAsia="仿宋" w:cs="仿宋"/>
          <w:color w:val="auto"/>
          <w:sz w:val="32"/>
          <w:szCs w:val="32"/>
        </w:rPr>
        <w:t>%；政府性基金预算财政拨款收入</w:t>
      </w:r>
      <w:r>
        <w:rPr>
          <w:rFonts w:hint="eastAsia" w:ascii="仿宋" w:hAnsi="仿宋" w:eastAsia="仿宋" w:cs="仿宋"/>
          <w:color w:val="auto"/>
          <w:sz w:val="32"/>
          <w:szCs w:val="32"/>
          <w:lang w:val="en-US" w:eastAsia="zh-CN"/>
        </w:rPr>
        <w:t>8199</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79.92</w:t>
      </w:r>
      <w:r>
        <w:rPr>
          <w:rFonts w:hint="eastAsia" w:ascii="仿宋" w:hAnsi="仿宋" w:eastAsia="仿宋" w:cs="仿宋"/>
          <w:color w:val="auto"/>
          <w:sz w:val="32"/>
          <w:szCs w:val="32"/>
        </w:rPr>
        <w:t>%；国有资本经营预算财政拨款收入0万元，占0%；事业收入0万元，占0%；经营收入0万元，占0%；附属单位上缴收入0万元，占0%；其他收入</w:t>
      </w:r>
      <w:r>
        <w:rPr>
          <w:rFonts w:hint="eastAsia" w:ascii="仿宋" w:hAnsi="仿宋" w:eastAsia="仿宋" w:cs="仿宋"/>
          <w:color w:val="auto"/>
          <w:sz w:val="32"/>
          <w:szCs w:val="32"/>
          <w:lang w:val="en-US" w:eastAsia="zh-CN"/>
        </w:rPr>
        <w:t>407.56</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3.97</w:t>
      </w:r>
      <w:r>
        <w:rPr>
          <w:rFonts w:hint="eastAsia" w:ascii="仿宋" w:hAnsi="仿宋" w:eastAsia="仿宋" w:cs="仿宋"/>
          <w:color w:val="auto"/>
          <w:sz w:val="32"/>
          <w:szCs w:val="32"/>
        </w:rPr>
        <w:t>%。</w:t>
      </w:r>
    </w:p>
    <w:p w14:paraId="1408F1D3">
      <w:pPr>
        <w:widowControl/>
        <w:adjustRightInd w:val="0"/>
        <w:snapToGrid w:val="0"/>
        <w:spacing w:line="540" w:lineRule="exact"/>
        <w:ind w:firstLine="720"/>
        <w:jc w:val="left"/>
        <w:rPr>
          <w:rFonts w:hint="default" w:ascii="仿宋" w:hAnsi="仿宋" w:eastAsia="仿宋" w:cs="仿宋"/>
          <w:color w:val="auto"/>
          <w:kern w:val="0"/>
          <w:sz w:val="32"/>
          <w:szCs w:val="32"/>
          <w:lang w:val="en-US" w:eastAsia="zh-CN"/>
        </w:rPr>
      </w:pPr>
      <w:r>
        <w:rPr>
          <w:rFonts w:hint="eastAsia" w:ascii="Times New Roman" w:hAnsi="Times New Roman" w:eastAsia="仿宋_GB2312" w:cs="Times New Roman"/>
          <w:sz w:val="33"/>
          <w:szCs w:val="33"/>
        </w:rPr>
        <w:t>202</w:t>
      </w:r>
      <w:r>
        <w:rPr>
          <w:rFonts w:hint="eastAsia" w:eastAsia="仿宋_GB2312" w:cs="Times New Roman"/>
          <w:sz w:val="33"/>
          <w:szCs w:val="33"/>
          <w:lang w:val="en-US" w:eastAsia="zh-CN"/>
        </w:rPr>
        <w:t>5</w:t>
      </w:r>
      <w:r>
        <w:rPr>
          <w:rFonts w:hint="eastAsia" w:ascii="Times New Roman" w:hAnsi="Times New Roman" w:eastAsia="仿宋_GB2312" w:cs="Times New Roman"/>
          <w:sz w:val="33"/>
          <w:szCs w:val="33"/>
        </w:rPr>
        <w:t>年</w:t>
      </w:r>
      <w:r>
        <w:rPr>
          <w:rFonts w:hint="eastAsia" w:ascii="Times New Roman" w:hAnsi="Times New Roman" w:eastAsia="仿宋_GB2312" w:cs="Times New Roman"/>
          <w:sz w:val="33"/>
          <w:szCs w:val="33"/>
          <w:lang w:eastAsia="zh-CN"/>
        </w:rPr>
        <w:t>决算报表</w:t>
      </w:r>
      <w:r>
        <w:rPr>
          <w:rFonts w:hint="eastAsia" w:ascii="Times New Roman" w:hAnsi="Times New Roman" w:eastAsia="仿宋_GB2312" w:cs="Times New Roman"/>
          <w:sz w:val="33"/>
          <w:szCs w:val="33"/>
        </w:rPr>
        <w:t>收入</w:t>
      </w:r>
      <w:r>
        <w:rPr>
          <w:rFonts w:hint="eastAsia" w:ascii="Times New Roman" w:hAnsi="Times New Roman" w:eastAsia="仿宋_GB2312" w:cs="Times New Roman"/>
          <w:sz w:val="33"/>
          <w:szCs w:val="33"/>
          <w:lang w:eastAsia="zh-CN"/>
        </w:rPr>
        <w:t>合计</w:t>
      </w:r>
      <w:r>
        <w:rPr>
          <w:rFonts w:hint="eastAsia" w:eastAsia="仿宋_GB2312" w:cs="Times New Roman"/>
          <w:sz w:val="33"/>
          <w:szCs w:val="33"/>
          <w:lang w:val="en-US" w:eastAsia="zh-CN"/>
        </w:rPr>
        <w:t>15333.54</w:t>
      </w:r>
      <w:r>
        <w:rPr>
          <w:rFonts w:hint="eastAsia" w:ascii="Times New Roman" w:hAnsi="Times New Roman" w:eastAsia="仿宋_GB2312" w:cs="Times New Roman"/>
          <w:sz w:val="33"/>
          <w:szCs w:val="33"/>
          <w:lang w:eastAsia="zh-CN"/>
        </w:rPr>
        <w:t>万元，</w:t>
      </w:r>
      <w:r>
        <w:rPr>
          <w:rFonts w:hint="eastAsia" w:ascii="仿宋" w:hAnsi="仿宋" w:eastAsia="仿宋" w:cs="仿宋"/>
          <w:color w:val="auto"/>
          <w:sz w:val="32"/>
          <w:szCs w:val="32"/>
        </w:rPr>
        <w:t>其中：一般公共预算财政拨款收入</w:t>
      </w:r>
      <w:r>
        <w:rPr>
          <w:rFonts w:hint="eastAsia" w:ascii="仿宋" w:hAnsi="仿宋" w:eastAsia="仿宋" w:cs="仿宋"/>
          <w:color w:val="auto"/>
          <w:sz w:val="32"/>
          <w:szCs w:val="32"/>
          <w:lang w:val="en-US" w:eastAsia="zh-CN"/>
        </w:rPr>
        <w:t>2351.36</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15.72</w:t>
      </w:r>
      <w:r>
        <w:rPr>
          <w:rFonts w:hint="eastAsia" w:ascii="仿宋" w:hAnsi="仿宋" w:eastAsia="仿宋" w:cs="仿宋"/>
          <w:color w:val="auto"/>
          <w:sz w:val="32"/>
          <w:szCs w:val="32"/>
        </w:rPr>
        <w:t>%；政府性基金预算财政拨款收入</w:t>
      </w:r>
      <w:r>
        <w:rPr>
          <w:rFonts w:hint="eastAsia" w:ascii="仿宋" w:hAnsi="仿宋" w:eastAsia="仿宋" w:cs="仿宋"/>
          <w:color w:val="auto"/>
          <w:sz w:val="32"/>
          <w:szCs w:val="32"/>
          <w:lang w:val="en-US" w:eastAsia="zh-CN"/>
        </w:rPr>
        <w:t>12491.41万</w:t>
      </w:r>
      <w:r>
        <w:rPr>
          <w:rFonts w:hint="eastAsia" w:ascii="仿宋" w:hAnsi="仿宋" w:eastAsia="仿宋" w:cs="仿宋"/>
          <w:color w:val="auto"/>
          <w:sz w:val="32"/>
          <w:szCs w:val="32"/>
        </w:rPr>
        <w:t>元，占</w:t>
      </w:r>
      <w:r>
        <w:rPr>
          <w:rFonts w:hint="eastAsia" w:ascii="仿宋" w:hAnsi="仿宋" w:eastAsia="仿宋" w:cs="仿宋"/>
          <w:color w:val="auto"/>
          <w:sz w:val="32"/>
          <w:szCs w:val="32"/>
          <w:lang w:val="en-US" w:eastAsia="zh-CN"/>
        </w:rPr>
        <w:t>83.52</w:t>
      </w:r>
      <w:r>
        <w:rPr>
          <w:rFonts w:hint="eastAsia" w:ascii="仿宋" w:hAnsi="仿宋" w:eastAsia="仿宋" w:cs="仿宋"/>
          <w:color w:val="auto"/>
          <w:sz w:val="32"/>
          <w:szCs w:val="32"/>
        </w:rPr>
        <w:t>%；国有资本经营预算财政拨款收入0万元，占0%；事业收入0万元，占0%；经营收入0万元，占0%；附属单位上缴收入0万元，占0%；其他收入</w:t>
      </w:r>
      <w:r>
        <w:rPr>
          <w:rFonts w:hint="eastAsia" w:ascii="仿宋" w:hAnsi="仿宋" w:eastAsia="仿宋" w:cs="仿宋"/>
          <w:color w:val="auto"/>
          <w:sz w:val="32"/>
          <w:szCs w:val="32"/>
          <w:lang w:val="en-US" w:eastAsia="zh-CN"/>
        </w:rPr>
        <w:t>112.98</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0.76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年初结转结余377.79万元。</w:t>
      </w:r>
    </w:p>
    <w:p w14:paraId="4A806870">
      <w:pPr>
        <w:widowControl/>
        <w:numPr>
          <w:ilvl w:val="0"/>
          <w:numId w:val="2"/>
        </w:numPr>
        <w:spacing w:line="590" w:lineRule="exact"/>
        <w:ind w:firstLine="663" w:firstLineChars="200"/>
        <w:contextualSpacing/>
        <w:rPr>
          <w:rFonts w:eastAsia="楷体_GB2312"/>
          <w:b/>
          <w:bCs/>
          <w:color w:val="000000"/>
          <w:kern w:val="0"/>
          <w:sz w:val="33"/>
          <w:szCs w:val="33"/>
          <w:shd w:val="clear" w:color="auto" w:fill="FFFFFF"/>
          <w:lang w:val="zh-CN"/>
        </w:rPr>
      </w:pPr>
      <w:r>
        <w:rPr>
          <w:rFonts w:hint="eastAsia" w:eastAsia="楷体_GB2312"/>
          <w:b/>
          <w:bCs/>
          <w:color w:val="000000"/>
          <w:kern w:val="0"/>
          <w:sz w:val="33"/>
          <w:szCs w:val="33"/>
          <w:shd w:val="clear" w:color="auto" w:fill="FFFFFF"/>
          <w:lang w:val="zh-CN"/>
        </w:rPr>
        <w:t>支出情况</w:t>
      </w:r>
      <w:r>
        <w:rPr>
          <w:rFonts w:eastAsia="楷体_GB2312"/>
          <w:b/>
          <w:bCs/>
          <w:color w:val="000000"/>
          <w:kern w:val="0"/>
          <w:sz w:val="33"/>
          <w:szCs w:val="33"/>
          <w:shd w:val="clear" w:color="auto" w:fill="FFFFFF"/>
          <w:lang w:val="zh-CN"/>
        </w:rPr>
        <w:t>。</w:t>
      </w:r>
    </w:p>
    <w:p w14:paraId="4B3960E0">
      <w:pPr>
        <w:widowControl/>
        <w:numPr>
          <w:ilvl w:val="0"/>
          <w:numId w:val="0"/>
        </w:numPr>
        <w:spacing w:line="590" w:lineRule="exact"/>
        <w:ind w:firstLine="640" w:firstLineChars="200"/>
        <w:contextualSpacing/>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val="zh-CN"/>
        </w:rPr>
        <w:t>年年初预算支出合计</w:t>
      </w:r>
      <w:r>
        <w:rPr>
          <w:rFonts w:hint="eastAsia" w:ascii="仿宋" w:hAnsi="仿宋" w:eastAsia="仿宋" w:cs="仿宋"/>
          <w:color w:val="auto"/>
          <w:sz w:val="32"/>
          <w:szCs w:val="32"/>
          <w:lang w:val="en-US" w:eastAsia="zh-CN"/>
        </w:rPr>
        <w:t>10258.71</w:t>
      </w:r>
      <w:r>
        <w:rPr>
          <w:rFonts w:hint="eastAsia" w:ascii="仿宋" w:hAnsi="仿宋" w:eastAsia="仿宋" w:cs="仿宋"/>
          <w:color w:val="auto"/>
          <w:sz w:val="32"/>
          <w:szCs w:val="32"/>
          <w:lang w:val="zh-CN"/>
        </w:rPr>
        <w:t>万元，其中：社会保障和就业支出</w:t>
      </w:r>
      <w:r>
        <w:rPr>
          <w:rFonts w:hint="eastAsia" w:ascii="仿宋" w:hAnsi="仿宋" w:eastAsia="仿宋" w:cs="仿宋"/>
          <w:color w:val="auto"/>
          <w:sz w:val="32"/>
          <w:szCs w:val="32"/>
          <w:lang w:val="en-US" w:eastAsia="zh-CN"/>
        </w:rPr>
        <w:t>86.39</w:t>
      </w:r>
      <w:r>
        <w:rPr>
          <w:rFonts w:hint="eastAsia" w:ascii="仿宋" w:hAnsi="仿宋" w:eastAsia="仿宋" w:cs="仿宋"/>
          <w:color w:val="auto"/>
          <w:sz w:val="32"/>
          <w:szCs w:val="32"/>
          <w:lang w:val="zh-CN"/>
        </w:rPr>
        <w:t>万元；卫生健康支出</w:t>
      </w:r>
      <w:r>
        <w:rPr>
          <w:rFonts w:hint="eastAsia" w:ascii="仿宋" w:hAnsi="仿宋" w:eastAsia="仿宋" w:cs="仿宋"/>
          <w:color w:val="auto"/>
          <w:sz w:val="32"/>
          <w:szCs w:val="32"/>
          <w:lang w:val="en-US" w:eastAsia="zh-CN"/>
        </w:rPr>
        <w:t>36.04</w:t>
      </w:r>
      <w:r>
        <w:rPr>
          <w:rFonts w:hint="eastAsia" w:ascii="仿宋" w:hAnsi="仿宋" w:eastAsia="仿宋" w:cs="仿宋"/>
          <w:color w:val="auto"/>
          <w:sz w:val="32"/>
          <w:szCs w:val="32"/>
          <w:lang w:val="zh-CN"/>
        </w:rPr>
        <w:t>万元；城乡社区支出</w:t>
      </w:r>
      <w:r>
        <w:rPr>
          <w:rFonts w:hint="eastAsia" w:ascii="仿宋" w:hAnsi="仿宋" w:eastAsia="仿宋" w:cs="仿宋"/>
          <w:color w:val="auto"/>
          <w:sz w:val="32"/>
          <w:szCs w:val="32"/>
          <w:lang w:val="en-US" w:eastAsia="zh-CN"/>
        </w:rPr>
        <w:t>8199</w:t>
      </w:r>
      <w:r>
        <w:rPr>
          <w:rFonts w:hint="eastAsia" w:ascii="仿宋" w:hAnsi="仿宋" w:eastAsia="仿宋" w:cs="仿宋"/>
          <w:color w:val="auto"/>
          <w:sz w:val="32"/>
          <w:szCs w:val="32"/>
          <w:lang w:val="zh-CN"/>
        </w:rPr>
        <w:t>万元；农林水支出</w:t>
      </w:r>
      <w:r>
        <w:rPr>
          <w:rFonts w:hint="eastAsia" w:ascii="仿宋" w:hAnsi="仿宋" w:eastAsia="仿宋" w:cs="仿宋"/>
          <w:color w:val="auto"/>
          <w:sz w:val="32"/>
          <w:szCs w:val="32"/>
          <w:lang w:val="en-US" w:eastAsia="zh-CN"/>
        </w:rPr>
        <w:t>0.9</w:t>
      </w:r>
      <w:r>
        <w:rPr>
          <w:rFonts w:hint="eastAsia" w:ascii="仿宋" w:hAnsi="仿宋" w:eastAsia="仿宋" w:cs="仿宋"/>
          <w:color w:val="auto"/>
          <w:sz w:val="32"/>
          <w:szCs w:val="32"/>
          <w:lang w:val="zh-CN"/>
        </w:rPr>
        <w:t>万元；自然资源海洋气象支出</w:t>
      </w:r>
      <w:r>
        <w:rPr>
          <w:rFonts w:hint="eastAsia" w:ascii="仿宋" w:hAnsi="仿宋" w:eastAsia="仿宋" w:cs="仿宋"/>
          <w:color w:val="auto"/>
          <w:sz w:val="32"/>
          <w:szCs w:val="32"/>
          <w:lang w:val="en-US" w:eastAsia="zh-CN"/>
        </w:rPr>
        <w:t>1154.17</w:t>
      </w:r>
      <w:r>
        <w:rPr>
          <w:rFonts w:hint="eastAsia" w:ascii="仿宋" w:hAnsi="仿宋" w:eastAsia="仿宋" w:cs="仿宋"/>
          <w:color w:val="auto"/>
          <w:sz w:val="32"/>
          <w:szCs w:val="32"/>
          <w:lang w:val="zh-CN"/>
        </w:rPr>
        <w:t>万元；住房保障支出</w:t>
      </w:r>
      <w:r>
        <w:rPr>
          <w:rFonts w:hint="eastAsia" w:ascii="仿宋" w:hAnsi="仿宋" w:eastAsia="仿宋" w:cs="仿宋"/>
          <w:color w:val="auto"/>
          <w:sz w:val="32"/>
          <w:szCs w:val="32"/>
          <w:lang w:val="en-US" w:eastAsia="zh-CN"/>
        </w:rPr>
        <w:t>69.46</w:t>
      </w:r>
      <w:r>
        <w:rPr>
          <w:rFonts w:hint="eastAsia" w:ascii="仿宋" w:hAnsi="仿宋" w:eastAsia="仿宋" w:cs="仿宋"/>
          <w:color w:val="auto"/>
          <w:sz w:val="32"/>
          <w:szCs w:val="32"/>
          <w:lang w:val="zh-CN"/>
        </w:rPr>
        <w:t>万元；灾害防治及应急管理支出</w:t>
      </w:r>
      <w:r>
        <w:rPr>
          <w:rFonts w:hint="eastAsia" w:ascii="仿宋" w:hAnsi="仿宋" w:eastAsia="仿宋" w:cs="仿宋"/>
          <w:color w:val="auto"/>
          <w:sz w:val="32"/>
          <w:szCs w:val="32"/>
          <w:lang w:val="en-US" w:eastAsia="zh-CN"/>
        </w:rPr>
        <w:t>712.75万元</w:t>
      </w:r>
      <w:r>
        <w:rPr>
          <w:rFonts w:hint="eastAsia" w:ascii="仿宋" w:hAnsi="仿宋" w:eastAsia="仿宋" w:cs="仿宋"/>
          <w:color w:val="auto"/>
          <w:sz w:val="32"/>
          <w:szCs w:val="32"/>
          <w:lang w:val="zh-CN"/>
        </w:rPr>
        <w:t>。</w:t>
      </w:r>
    </w:p>
    <w:p w14:paraId="5F0C4FA9">
      <w:pPr>
        <w:widowControl/>
        <w:numPr>
          <w:ilvl w:val="0"/>
          <w:numId w:val="0"/>
        </w:numPr>
        <w:spacing w:line="590" w:lineRule="exact"/>
        <w:ind w:firstLine="640" w:firstLineChars="200"/>
        <w:contextualSpacing/>
        <w:rPr>
          <w:rFonts w:eastAsia="仿宋_GB2312"/>
          <w:sz w:val="33"/>
          <w:szCs w:val="33"/>
          <w:lang w:val="zh-CN"/>
        </w:rPr>
      </w:pPr>
      <w:r>
        <w:rPr>
          <w:rFonts w:hint="eastAsia" w:ascii="仿宋" w:hAnsi="仿宋" w:eastAsia="仿宋" w:cs="仿宋"/>
          <w:color w:val="auto"/>
          <w:sz w:val="32"/>
          <w:szCs w:val="32"/>
          <w:lang w:val="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val="zh-CN"/>
        </w:rPr>
        <w:t>年</w:t>
      </w:r>
      <w:r>
        <w:rPr>
          <w:rFonts w:hint="eastAsia" w:ascii="仿宋" w:hAnsi="仿宋" w:eastAsia="仿宋" w:cs="仿宋"/>
          <w:color w:val="auto"/>
          <w:sz w:val="32"/>
          <w:szCs w:val="32"/>
          <w:lang w:val="zh-CN" w:eastAsia="zh-CN"/>
        </w:rPr>
        <w:t>决算报表支出</w:t>
      </w:r>
      <w:r>
        <w:rPr>
          <w:rFonts w:hint="eastAsia" w:ascii="仿宋" w:hAnsi="仿宋" w:eastAsia="仿宋" w:cs="仿宋"/>
          <w:color w:val="auto"/>
          <w:sz w:val="32"/>
          <w:szCs w:val="32"/>
          <w:lang w:val="zh-CN"/>
        </w:rPr>
        <w:t>合计</w:t>
      </w:r>
      <w:r>
        <w:rPr>
          <w:rFonts w:hint="eastAsia" w:ascii="仿宋" w:hAnsi="仿宋" w:eastAsia="仿宋" w:cs="仿宋"/>
          <w:color w:val="auto"/>
          <w:sz w:val="32"/>
          <w:szCs w:val="32"/>
          <w:lang w:val="en-US" w:eastAsia="zh-CN"/>
        </w:rPr>
        <w:t>15333.54</w:t>
      </w:r>
      <w:r>
        <w:rPr>
          <w:rFonts w:hint="eastAsia" w:ascii="仿宋" w:hAnsi="仿宋" w:eastAsia="仿宋" w:cs="仿宋"/>
          <w:color w:val="auto"/>
          <w:sz w:val="32"/>
          <w:szCs w:val="32"/>
          <w:lang w:val="zh-CN"/>
        </w:rPr>
        <w:t>万元，其中：</w:t>
      </w:r>
      <w:r>
        <w:rPr>
          <w:rFonts w:hint="eastAsia" w:ascii="仿宋" w:hAnsi="仿宋" w:eastAsia="仿宋" w:cs="仿宋"/>
          <w:color w:val="auto"/>
          <w:sz w:val="32"/>
          <w:szCs w:val="32"/>
          <w:lang w:val="zh-CN" w:eastAsia="zh-CN"/>
        </w:rPr>
        <w:t>教育支出</w:t>
      </w:r>
      <w:r>
        <w:rPr>
          <w:rFonts w:hint="eastAsia" w:ascii="仿宋" w:hAnsi="仿宋" w:eastAsia="仿宋" w:cs="仿宋"/>
          <w:color w:val="auto"/>
          <w:sz w:val="32"/>
          <w:szCs w:val="32"/>
          <w:lang w:val="en-US" w:eastAsia="zh-CN"/>
        </w:rPr>
        <w:t>112.28万元；</w:t>
      </w:r>
      <w:r>
        <w:rPr>
          <w:rFonts w:hint="eastAsia" w:ascii="仿宋" w:hAnsi="仿宋" w:eastAsia="仿宋" w:cs="仿宋"/>
          <w:color w:val="auto"/>
          <w:sz w:val="32"/>
          <w:szCs w:val="32"/>
          <w:lang w:val="zh-CN"/>
        </w:rPr>
        <w:t>社会保障和就业支出1</w:t>
      </w:r>
      <w:r>
        <w:rPr>
          <w:rFonts w:hint="eastAsia" w:ascii="仿宋" w:hAnsi="仿宋" w:eastAsia="仿宋" w:cs="仿宋"/>
          <w:color w:val="auto"/>
          <w:sz w:val="32"/>
          <w:szCs w:val="32"/>
          <w:lang w:val="en-US" w:eastAsia="zh-CN"/>
        </w:rPr>
        <w:t>14.78</w:t>
      </w:r>
      <w:r>
        <w:rPr>
          <w:rFonts w:hint="eastAsia" w:ascii="仿宋" w:hAnsi="仿宋" w:eastAsia="仿宋" w:cs="仿宋"/>
          <w:color w:val="auto"/>
          <w:sz w:val="32"/>
          <w:szCs w:val="32"/>
          <w:lang w:val="zh-CN"/>
        </w:rPr>
        <w:t>万元；卫生健康支出</w:t>
      </w:r>
      <w:r>
        <w:rPr>
          <w:rFonts w:hint="eastAsia" w:ascii="仿宋" w:hAnsi="仿宋" w:eastAsia="仿宋" w:cs="仿宋"/>
          <w:color w:val="auto"/>
          <w:sz w:val="32"/>
          <w:szCs w:val="32"/>
          <w:lang w:val="en-US" w:eastAsia="zh-CN"/>
        </w:rPr>
        <w:t>40.68</w:t>
      </w:r>
      <w:r>
        <w:rPr>
          <w:rFonts w:hint="eastAsia" w:ascii="仿宋" w:hAnsi="仿宋" w:eastAsia="仿宋" w:cs="仿宋"/>
          <w:color w:val="auto"/>
          <w:sz w:val="32"/>
          <w:szCs w:val="32"/>
          <w:lang w:val="zh-CN"/>
        </w:rPr>
        <w:t>万元；城乡社区支出</w:t>
      </w:r>
      <w:r>
        <w:rPr>
          <w:rFonts w:hint="eastAsia" w:ascii="仿宋" w:hAnsi="仿宋" w:eastAsia="仿宋" w:cs="仿宋"/>
          <w:color w:val="auto"/>
          <w:sz w:val="32"/>
          <w:szCs w:val="32"/>
          <w:lang w:val="en-US" w:eastAsia="zh-CN"/>
        </w:rPr>
        <w:t>5941.49</w:t>
      </w:r>
      <w:r>
        <w:rPr>
          <w:rFonts w:hint="eastAsia" w:ascii="仿宋" w:hAnsi="仿宋" w:eastAsia="仿宋" w:cs="仿宋"/>
          <w:color w:val="auto"/>
          <w:sz w:val="32"/>
          <w:szCs w:val="32"/>
          <w:lang w:val="zh-CN"/>
        </w:rPr>
        <w:t>万元；农林水支出</w:t>
      </w:r>
      <w:r>
        <w:rPr>
          <w:rFonts w:hint="eastAsia" w:ascii="仿宋" w:hAnsi="仿宋" w:eastAsia="仿宋" w:cs="仿宋"/>
          <w:color w:val="auto"/>
          <w:sz w:val="32"/>
          <w:szCs w:val="32"/>
          <w:lang w:val="en-US" w:eastAsia="zh-CN"/>
        </w:rPr>
        <w:t>0.71</w:t>
      </w:r>
      <w:r>
        <w:rPr>
          <w:rFonts w:hint="eastAsia" w:ascii="仿宋" w:hAnsi="仿宋" w:eastAsia="仿宋" w:cs="仿宋"/>
          <w:color w:val="auto"/>
          <w:sz w:val="32"/>
          <w:szCs w:val="32"/>
          <w:lang w:val="zh-CN"/>
        </w:rPr>
        <w:t>万元；自然资源海洋气象支出</w:t>
      </w:r>
      <w:r>
        <w:rPr>
          <w:rFonts w:hint="eastAsia" w:ascii="仿宋" w:hAnsi="仿宋" w:eastAsia="仿宋" w:cs="仿宋"/>
          <w:color w:val="auto"/>
          <w:sz w:val="32"/>
          <w:szCs w:val="32"/>
          <w:lang w:val="en-US" w:eastAsia="zh-CN"/>
        </w:rPr>
        <w:t>1767.16</w:t>
      </w:r>
      <w:r>
        <w:rPr>
          <w:rFonts w:hint="eastAsia" w:ascii="仿宋" w:hAnsi="仿宋" w:eastAsia="仿宋" w:cs="仿宋"/>
          <w:color w:val="auto"/>
          <w:sz w:val="32"/>
          <w:szCs w:val="32"/>
          <w:lang w:val="zh-CN"/>
        </w:rPr>
        <w:t>万元；住房保障支出</w:t>
      </w:r>
      <w:r>
        <w:rPr>
          <w:rFonts w:hint="eastAsia" w:ascii="仿宋" w:hAnsi="仿宋" w:eastAsia="仿宋" w:cs="仿宋"/>
          <w:color w:val="auto"/>
          <w:sz w:val="32"/>
          <w:szCs w:val="32"/>
          <w:lang w:val="en-US" w:eastAsia="zh-CN"/>
        </w:rPr>
        <w:t>77.59</w:t>
      </w:r>
      <w:r>
        <w:rPr>
          <w:rFonts w:hint="eastAsia" w:ascii="仿宋" w:hAnsi="仿宋" w:eastAsia="仿宋" w:cs="仿宋"/>
          <w:color w:val="auto"/>
          <w:sz w:val="32"/>
          <w:szCs w:val="32"/>
          <w:lang w:val="zh-CN"/>
        </w:rPr>
        <w:t>万元；灾害防治及应急管理支出</w:t>
      </w:r>
      <w:r>
        <w:rPr>
          <w:rFonts w:hint="eastAsia" w:ascii="仿宋" w:hAnsi="仿宋" w:eastAsia="仿宋" w:cs="仿宋"/>
          <w:color w:val="auto"/>
          <w:sz w:val="32"/>
          <w:szCs w:val="32"/>
          <w:lang w:val="en-US" w:eastAsia="zh-CN"/>
        </w:rPr>
        <w:t>728.93万元</w:t>
      </w:r>
      <w:r>
        <w:rPr>
          <w:rFonts w:hint="eastAsia" w:ascii="仿宋" w:hAnsi="仿宋" w:eastAsia="仿宋" w:cs="仿宋"/>
          <w:color w:val="auto"/>
          <w:sz w:val="32"/>
          <w:szCs w:val="32"/>
          <w:lang w:val="zh-CN"/>
        </w:rPr>
        <w:t>；其他支出</w:t>
      </w:r>
      <w:r>
        <w:rPr>
          <w:rFonts w:hint="eastAsia" w:ascii="仿宋" w:hAnsi="仿宋" w:eastAsia="仿宋" w:cs="仿宋"/>
          <w:color w:val="auto"/>
          <w:sz w:val="32"/>
          <w:szCs w:val="32"/>
          <w:lang w:val="en-US" w:eastAsia="zh-CN"/>
        </w:rPr>
        <w:t>6549.92万元</w:t>
      </w:r>
      <w:r>
        <w:rPr>
          <w:rFonts w:hint="eastAsia" w:ascii="仿宋" w:hAnsi="仿宋" w:eastAsia="仿宋" w:cs="仿宋"/>
          <w:color w:val="auto"/>
          <w:sz w:val="32"/>
          <w:szCs w:val="32"/>
          <w:lang w:val="zh-CN"/>
        </w:rPr>
        <w:t>。</w:t>
      </w:r>
    </w:p>
    <w:p w14:paraId="4E3D2EA0">
      <w:pPr>
        <w:widowControl/>
        <w:spacing w:line="590" w:lineRule="exact"/>
        <w:ind w:firstLine="663" w:firstLineChars="200"/>
        <w:contextualSpacing/>
        <w:rPr>
          <w:rFonts w:eastAsia="仿宋_GB2312"/>
          <w:color w:val="000000"/>
          <w:kern w:val="0"/>
          <w:sz w:val="33"/>
          <w:szCs w:val="33"/>
          <w:shd w:val="clear" w:color="auto" w:fill="FFFFFF"/>
          <w:lang w:val="zh-CN"/>
        </w:rPr>
      </w:pPr>
      <w:r>
        <w:rPr>
          <w:rFonts w:eastAsia="楷体_GB2312"/>
          <w:b/>
          <w:bCs/>
          <w:color w:val="000000"/>
          <w:kern w:val="0"/>
          <w:sz w:val="33"/>
          <w:szCs w:val="33"/>
          <w:shd w:val="clear" w:color="auto" w:fill="FFFFFF"/>
          <w:lang w:val="zh-CN"/>
        </w:rPr>
        <w:t>（</w:t>
      </w:r>
      <w:r>
        <w:rPr>
          <w:rFonts w:hint="eastAsia" w:eastAsia="楷体_GB2312"/>
          <w:b/>
          <w:bCs/>
          <w:color w:val="000000"/>
          <w:kern w:val="0"/>
          <w:sz w:val="33"/>
          <w:szCs w:val="33"/>
          <w:shd w:val="clear" w:color="auto" w:fill="FFFFFF"/>
          <w:lang w:val="zh-CN"/>
        </w:rPr>
        <w:t>三</w:t>
      </w:r>
      <w:r>
        <w:rPr>
          <w:rFonts w:eastAsia="楷体_GB2312"/>
          <w:b/>
          <w:bCs/>
          <w:color w:val="000000"/>
          <w:kern w:val="0"/>
          <w:sz w:val="33"/>
          <w:szCs w:val="33"/>
          <w:shd w:val="clear" w:color="auto" w:fill="FFFFFF"/>
          <w:lang w:val="zh-CN"/>
        </w:rPr>
        <w:t>）</w:t>
      </w:r>
      <w:r>
        <w:rPr>
          <w:rFonts w:eastAsia="楷体_GB2312"/>
          <w:b/>
          <w:sz w:val="33"/>
          <w:szCs w:val="33"/>
        </w:rPr>
        <w:t>结余分配和结转结余情况</w:t>
      </w:r>
      <w:r>
        <w:rPr>
          <w:rFonts w:hint="eastAsia" w:eastAsia="楷体_GB2312"/>
          <w:b/>
          <w:sz w:val="33"/>
          <w:szCs w:val="33"/>
        </w:rPr>
        <w:t>。</w:t>
      </w:r>
      <w:r>
        <w:rPr>
          <w:rFonts w:hint="eastAsia" w:eastAsia="仿宋_GB2312"/>
          <w:color w:val="000000"/>
          <w:kern w:val="0"/>
          <w:sz w:val="33"/>
          <w:szCs w:val="33"/>
          <w:shd w:val="clear" w:color="auto" w:fill="FFFFFF"/>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rPr>
        <w:t>年财政拨款年末结转结余0元。</w:t>
      </w:r>
    </w:p>
    <w:p w14:paraId="6A59DB23">
      <w:pPr>
        <w:widowControl/>
        <w:spacing w:line="590" w:lineRule="exact"/>
        <w:ind w:firstLine="660" w:firstLineChars="200"/>
        <w:contextualSpacing/>
        <w:rPr>
          <w:rFonts w:eastAsia="黑体"/>
          <w:color w:val="000000" w:themeColor="text1"/>
          <w:kern w:val="0"/>
          <w:sz w:val="33"/>
          <w:szCs w:val="33"/>
          <w:shd w:val="clear" w:color="auto" w:fill="FFFFFF"/>
          <w14:textFill>
            <w14:solidFill>
              <w14:schemeClr w14:val="tx1"/>
            </w14:solidFill>
          </w14:textFill>
        </w:rPr>
      </w:pPr>
      <w:r>
        <w:rPr>
          <w:rFonts w:eastAsia="黑体"/>
          <w:color w:val="000000"/>
          <w:kern w:val="0"/>
          <w:sz w:val="33"/>
          <w:szCs w:val="33"/>
          <w:shd w:val="clear" w:color="auto" w:fill="FFFFFF"/>
        </w:rPr>
        <w:t>三、部门预算绩效分析</w:t>
      </w:r>
    </w:p>
    <w:p w14:paraId="348854F4">
      <w:pPr>
        <w:spacing w:line="590" w:lineRule="exact"/>
        <w:ind w:firstLine="663" w:firstLineChars="200"/>
        <w:contextualSpacing/>
        <w:rPr>
          <w:rFonts w:eastAsia="仿宋_GB2312"/>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（一）</w:t>
      </w:r>
      <w:r>
        <w:rPr>
          <w:rFonts w:hint="eastAsia" w:eastAsia="楷体_GB2312"/>
          <w:b/>
          <w:bCs/>
          <w:color w:val="000000"/>
          <w:kern w:val="0"/>
          <w:sz w:val="33"/>
          <w:szCs w:val="33"/>
          <w:shd w:val="clear" w:color="auto" w:fill="FFFFFF"/>
          <w:lang w:val="zh-CN"/>
        </w:rPr>
        <w:t>部门预算</w:t>
      </w:r>
      <w:r>
        <w:rPr>
          <w:rFonts w:eastAsia="楷体_GB2312"/>
          <w:b/>
          <w:bCs/>
          <w:color w:val="000000"/>
          <w:kern w:val="0"/>
          <w:sz w:val="33"/>
          <w:szCs w:val="33"/>
          <w:shd w:val="clear" w:color="auto" w:fill="FFFFFF"/>
          <w:lang w:val="zh-CN"/>
        </w:rPr>
        <w:t>总体绩效分析。</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我局积极响应并深入践行全面实施预算绩效管理的决策部署，紧扣全过程监督管理这一核心主线，精准发力，着重加强对事前评估、事中监控、事后评价这三个关键节点的严格管控。工作中，始终保持对财政法规及制度的高度敬畏，严谨规范地开展资金预算绩效管理工作，保障各项工作有序推进、高效落实，圆满达成</w:t>
      </w:r>
      <w:r>
        <w:rPr>
          <w:rFonts w:hint="eastAsia" w:eastAsia="仿宋_GB2312"/>
          <w:color w:val="000000"/>
          <w:kern w:val="0"/>
          <w:sz w:val="33"/>
          <w:szCs w:val="33"/>
          <w:shd w:val="clear" w:color="auto" w:fill="FFFFFF"/>
          <w:lang w:val="en-US" w:eastAsia="zh-CN"/>
        </w:rPr>
        <w:t>2025年度的各项工作任务。</w:t>
      </w:r>
    </w:p>
    <w:p w14:paraId="47369355">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1.</w:t>
      </w:r>
      <w:r>
        <w:rPr>
          <w:rFonts w:hint="eastAsia" w:eastAsia="楷体_GB2312" w:cs="楷体_GB2312"/>
          <w:color w:val="000000"/>
          <w:kern w:val="0"/>
          <w:sz w:val="33"/>
          <w:szCs w:val="33"/>
          <w:shd w:val="clear" w:color="auto" w:fill="FFFFFF"/>
          <w:lang w:val="zh-CN"/>
        </w:rPr>
        <w:t>履职效能。</w:t>
      </w:r>
    </w:p>
    <w:p w14:paraId="33B950FB">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zh-CN"/>
        </w:rPr>
      </w:pPr>
      <w:r>
        <w:rPr>
          <w:rFonts w:hint="eastAsia" w:ascii="Times New Roman" w:hAnsi="Times New Roman" w:eastAsia="仿宋_GB2312" w:cs="Times New Roman"/>
          <w:color w:val="000000"/>
          <w:kern w:val="0"/>
          <w:sz w:val="33"/>
          <w:szCs w:val="33"/>
          <w:shd w:val="clear" w:color="auto" w:fill="FFFFFF"/>
          <w:lang w:val="zh-CN"/>
        </w:rPr>
        <w:t>自评得分15分。</w:t>
      </w:r>
      <w:r>
        <w:rPr>
          <w:rFonts w:hint="eastAsia" w:ascii="Times New Roman" w:hAnsi="Times New Roman" w:eastAsia="仿宋_GB2312" w:cs="Times New Roman"/>
          <w:color w:val="000000"/>
          <w:kern w:val="0"/>
          <w:sz w:val="33"/>
          <w:szCs w:val="33"/>
          <w:shd w:val="clear" w:color="auto" w:fill="FFFFFF"/>
          <w:lang w:val="zh-CN" w:eastAsia="zh-CN"/>
        </w:rPr>
        <w:t>一是</w:t>
      </w:r>
      <w:r>
        <w:rPr>
          <w:rFonts w:hint="eastAsia" w:ascii="Times New Roman" w:hAnsi="Times New Roman" w:eastAsia="仿宋_GB2312" w:cs="Times New Roman"/>
          <w:color w:val="000000"/>
          <w:kern w:val="0"/>
          <w:sz w:val="33"/>
          <w:szCs w:val="33"/>
          <w:shd w:val="clear" w:color="auto" w:fill="FFFFFF"/>
          <w:lang w:val="zh-CN"/>
        </w:rPr>
        <w:t>耕地保护任务全面压实。田长制运行高效有序</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根据人员变动情况，同步完成乡村两级田长、网格员动态调整及巡田平台信息更新</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全年督促巡田，配合完成市级田长巡田</w:t>
      </w:r>
      <w:r>
        <w:rPr>
          <w:rFonts w:hint="eastAsia" w:ascii="Times New Roman" w:hAnsi="Times New Roman" w:eastAsia="仿宋_GB2312" w:cs="Times New Roman"/>
          <w:color w:val="000000"/>
          <w:kern w:val="0"/>
          <w:sz w:val="33"/>
          <w:szCs w:val="33"/>
          <w:shd w:val="clear" w:color="auto" w:fill="FFFFFF"/>
          <w:lang w:val="en-US" w:eastAsia="zh-CN"/>
        </w:rPr>
        <w:t>工作</w:t>
      </w:r>
      <w:r>
        <w:rPr>
          <w:rFonts w:hint="eastAsia"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持续指导2024年恢复补充地块收尾，并利用2025年日常变更调查举证新增耕地</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初步划定2025年度永久基本农田储备区2000余亩并上报待审</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编制并备案《2025年建设占用耕地耕作层土壤剥离再利用年度工作计划》。开展全县临时用地巡查和自查清理。设施农业用地监管系统共上图入库304宗。</w:t>
      </w:r>
    </w:p>
    <w:p w14:paraId="6D3398FC">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en-US" w:eastAsia="zh-CN"/>
        </w:rPr>
      </w:pPr>
      <w:r>
        <w:rPr>
          <w:rFonts w:hint="eastAsia" w:ascii="Times New Roman" w:hAnsi="Times New Roman" w:eastAsia="仿宋_GB2312" w:cs="Times New Roman"/>
          <w:color w:val="000000"/>
          <w:kern w:val="0"/>
          <w:sz w:val="33"/>
          <w:szCs w:val="33"/>
          <w:shd w:val="clear" w:color="auto" w:fill="FFFFFF"/>
          <w:lang w:val="zh-CN"/>
        </w:rPr>
        <w:t>二是强化资源要素保障。建设项目用地预审与选址规范从严</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全年完成用地预审9宗</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取得用地指标约163亩</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在农村“一二三”产业融合发展用地保障领域取得突破，获取指标约20亩</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完成农村宅基地农用地转用审核，保障用地约112亩</w:t>
      </w:r>
      <w:r>
        <w:rPr>
          <w:rFonts w:hint="eastAsia" w:eastAsia="仿宋_GB2312" w:cs="Times New Roman"/>
          <w:color w:val="000000"/>
          <w:kern w:val="0"/>
          <w:sz w:val="33"/>
          <w:szCs w:val="33"/>
          <w:shd w:val="clear" w:color="auto" w:fill="FFFFFF"/>
          <w:lang w:val="zh-CN"/>
        </w:rPr>
        <w:t>。</w:t>
      </w:r>
    </w:p>
    <w:p w14:paraId="7419978B">
      <w:p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三是有序调控</w:t>
      </w:r>
      <w:r>
        <w:rPr>
          <w:rFonts w:hint="eastAsia" w:ascii="Times New Roman" w:hAnsi="Times New Roman" w:eastAsia="仿宋_GB2312" w:cs="Times New Roman"/>
          <w:color w:val="000000"/>
          <w:kern w:val="0"/>
          <w:sz w:val="33"/>
          <w:szCs w:val="33"/>
          <w:shd w:val="clear" w:color="auto" w:fill="FFFFFF"/>
          <w:lang w:val="zh-CN"/>
        </w:rPr>
        <w:t>土地利用与市场。</w:t>
      </w:r>
      <w:r>
        <w:rPr>
          <w:rFonts w:hint="eastAsia" w:eastAsia="仿宋_GB2312"/>
          <w:color w:val="000000"/>
          <w:kern w:val="0"/>
          <w:sz w:val="33"/>
          <w:szCs w:val="33"/>
          <w:shd w:val="clear" w:color="auto" w:fill="FFFFFF"/>
          <w:lang w:val="zh-CN"/>
        </w:rPr>
        <w:t>加大批而未供闲置土地的处置力度，</w:t>
      </w:r>
      <w:r>
        <w:rPr>
          <w:rFonts w:hint="eastAsia" w:ascii="Times New Roman" w:hAnsi="Times New Roman" w:eastAsia="仿宋_GB2312" w:cs="Times New Roman"/>
          <w:color w:val="000000"/>
          <w:kern w:val="0"/>
          <w:sz w:val="33"/>
          <w:szCs w:val="33"/>
          <w:shd w:val="clear" w:color="auto" w:fill="FFFFFF"/>
          <w:lang w:val="zh-CN"/>
        </w:rPr>
        <w:t>目前已处置3.69公顷</w:t>
      </w:r>
      <w:r>
        <w:rPr>
          <w:rFonts w:hint="eastAsia" w:eastAsia="仿宋_GB2312" w:cs="Times New Roman"/>
          <w:color w:val="000000"/>
          <w:kern w:val="0"/>
          <w:sz w:val="33"/>
          <w:szCs w:val="33"/>
          <w:shd w:val="clear" w:color="auto" w:fill="FFFFFF"/>
          <w:lang w:val="zh-CN"/>
        </w:rPr>
        <w:t>。</w:t>
      </w:r>
      <w:r>
        <w:rPr>
          <w:rFonts w:hint="eastAsia" w:eastAsia="仿宋_GB2312"/>
          <w:color w:val="000000"/>
          <w:kern w:val="0"/>
          <w:sz w:val="33"/>
          <w:szCs w:val="33"/>
          <w:shd w:val="clear" w:color="auto" w:fill="FFFFFF"/>
          <w:lang w:val="zh-CN"/>
        </w:rPr>
        <w:t>严格落实土地“增存挂钩”机制，对批而未供和闲置土地逐宗核实梳理，建立处置台账。</w:t>
      </w:r>
    </w:p>
    <w:p w14:paraId="5DA8EFE1">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四是</w:t>
      </w:r>
      <w:r>
        <w:rPr>
          <w:rFonts w:hint="eastAsia" w:ascii="Times New Roman" w:hAnsi="Times New Roman" w:eastAsia="仿宋_GB2312" w:cs="Times New Roman"/>
          <w:color w:val="000000"/>
          <w:kern w:val="0"/>
          <w:sz w:val="33"/>
          <w:szCs w:val="33"/>
          <w:shd w:val="clear" w:color="auto" w:fill="FFFFFF"/>
          <w:lang w:val="zh-CN"/>
        </w:rPr>
        <w:t>做好矿产资源相关工作</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矿产资源管理基础不断夯实</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严格履行安全生产职责，全年派出检查组83个，检查人员137人次，专家15人，检查企业71家次，查出并整改隐患112条，无重大安全事故。</w:t>
      </w:r>
    </w:p>
    <w:p w14:paraId="0FF8BA34">
      <w:p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五是不动产登记</w:t>
      </w:r>
      <w:r>
        <w:rPr>
          <w:rFonts w:hint="eastAsia" w:ascii="Times New Roman" w:hAnsi="Times New Roman" w:eastAsia="仿宋_GB2312" w:cs="Times New Roman"/>
          <w:color w:val="000000"/>
          <w:kern w:val="0"/>
          <w:sz w:val="33"/>
          <w:szCs w:val="33"/>
          <w:shd w:val="clear" w:color="auto" w:fill="FFFFFF"/>
          <w:lang w:val="zh-CN"/>
        </w:rPr>
        <w:t>服务提质增效成果显著。落实“一窗受理、并行办理”，推行系列便民服务，平均办理时间缩短40%。全年颁发《不动产权证书》8237本，《不动产登记证明》1327本。建立机制累计化解林权登记历史遗留问题4816宗，颁发林权类证书1163本、证明12本，推动国家储备林建设林权流转6778.6亩，完成全国林权登记提质增效试点。建立“党委、政府主导、部门协同联动”机制，化解424套房屋不动产“登记难”问题</w:t>
      </w:r>
      <w:r>
        <w:rPr>
          <w:rFonts w:hint="eastAsia" w:eastAsia="仿宋_GB2312" w:cs="Times New Roman"/>
          <w:color w:val="000000"/>
          <w:kern w:val="0"/>
          <w:sz w:val="33"/>
          <w:szCs w:val="33"/>
          <w:shd w:val="clear" w:color="auto" w:fill="FFFFFF"/>
          <w:lang w:val="zh-CN"/>
        </w:rPr>
        <w:t>。</w:t>
      </w:r>
    </w:p>
    <w:p w14:paraId="5D9D66FD">
      <w:p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六是地质灾害防治体系不断完善。全县共有在册地质灾害隐患点47处（滑坡37处、泥石流1处、崩塌9处）。本年度通过治理搬迁销号22处，保留在册隐患点25处</w:t>
      </w:r>
      <w:r>
        <w:rPr>
          <w:rFonts w:hint="eastAsia" w:eastAsia="仿宋_GB2312" w:cs="Times New Roman"/>
          <w:color w:val="000000"/>
          <w:kern w:val="0"/>
          <w:sz w:val="33"/>
          <w:szCs w:val="33"/>
          <w:shd w:val="clear" w:color="auto" w:fill="FFFFFF"/>
          <w:lang w:val="zh-CN" w:eastAsia="zh-CN"/>
        </w:rPr>
        <w:t>。</w:t>
      </w:r>
      <w:r>
        <w:rPr>
          <w:rFonts w:hint="eastAsia" w:eastAsia="仿宋_GB2312" w:cs="Times New Roman"/>
          <w:color w:val="000000"/>
          <w:kern w:val="0"/>
          <w:sz w:val="33"/>
          <w:szCs w:val="33"/>
          <w:shd w:val="clear" w:color="auto" w:fill="FFFFFF"/>
          <w:lang w:val="zh-CN"/>
        </w:rPr>
        <w:t>联合县气象部门发布预警信息50期、预警9期，发送短信35400余条；组织技术支撑单位开展地质灾害专项排查、“三查”及更新调查，累计排查点位540处，排查在建工程10处、原治理工程12处；组织县级防治培训1次，指导各乡镇开展隐患点应急演练90余次，参与超2000人次，发放宣传图册2000余份；成立汛期应急值守队伍，安排专人参与联合值班，不定期抽查值守情况；全年完成地质灾害隐患点工程治理7处、避险搬迁14户；完成35处隐患点应急广播安装，实现全覆盖。</w:t>
      </w:r>
    </w:p>
    <w:p w14:paraId="04F2EEE6">
      <w:pPr>
        <w:numPr>
          <w:ilvl w:val="0"/>
          <w:numId w:val="0"/>
        </w:num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七是调查监测与空间治理能力增强。全力推进耕林园空间治理“一张图”建设，完成第二轮试划；重点推进2025年度国土变更调查工作。《沐川县新城区国土空间详细规划》成果已获县政府批复。全年筹备召开县国土空间规划委员会2次（审查议题9个），组织召开专家评审委员会4次（审查议题16个）。依法办理建设用地规划许可证7件、建设工程规划许可证10件、乡村建设规划许可证4件。办理工程项目规划核实13件，解决历史遗留问题出具规划认定意见3件。累计开展规划巡查7次，强化过程监管。</w:t>
      </w:r>
    </w:p>
    <w:p w14:paraId="3EC41365">
      <w:pPr>
        <w:numPr>
          <w:ilvl w:val="0"/>
          <w:numId w:val="0"/>
        </w:numPr>
        <w:spacing w:line="590" w:lineRule="exact"/>
        <w:ind w:firstLine="660" w:firstLineChars="200"/>
        <w:contextualSpacing/>
        <w:rPr>
          <w:rFonts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2</w:t>
      </w:r>
      <w:r>
        <w:rPr>
          <w:rFonts w:hint="eastAsia" w:eastAsia="楷体_GB2312" w:cs="楷体_GB2312"/>
          <w:color w:val="000000"/>
          <w:kern w:val="0"/>
          <w:sz w:val="33"/>
          <w:szCs w:val="33"/>
          <w:shd w:val="clear" w:color="auto" w:fill="FFFFFF"/>
        </w:rPr>
        <w:t>.</w:t>
      </w:r>
      <w:r>
        <w:rPr>
          <w:rFonts w:eastAsia="楷体_GB2312" w:cs="楷体_GB2312"/>
          <w:color w:val="000000"/>
          <w:kern w:val="0"/>
          <w:sz w:val="33"/>
          <w:szCs w:val="33"/>
          <w:shd w:val="clear" w:color="auto" w:fill="FFFFFF"/>
          <w:lang w:val="zh-CN"/>
        </w:rPr>
        <w:t>预算管理</w:t>
      </w:r>
      <w:r>
        <w:rPr>
          <w:rFonts w:hint="eastAsia" w:eastAsia="楷体_GB2312" w:cs="楷体_GB2312"/>
          <w:color w:val="000000"/>
          <w:kern w:val="0"/>
          <w:sz w:val="33"/>
          <w:szCs w:val="33"/>
          <w:shd w:val="clear" w:color="auto" w:fill="FFFFFF"/>
          <w:lang w:val="zh-CN"/>
        </w:rPr>
        <w:t>。</w:t>
      </w:r>
    </w:p>
    <w:p w14:paraId="2A9450A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contextualSpacing/>
        <w:textAlignment w:val="auto"/>
        <w:rPr>
          <w:rFonts w:hint="eastAsia" w:ascii="Times New Roman" w:hAnsi="Times New Roman" w:eastAsia="仿宋_GB2312" w:cs="Times New Roman"/>
          <w:color w:val="000000"/>
          <w:kern w:val="0"/>
          <w:sz w:val="33"/>
          <w:szCs w:val="33"/>
          <w:shd w:val="clear" w:color="auto" w:fill="FFFFFF"/>
          <w:lang w:val="zh-CN"/>
        </w:rPr>
      </w:pPr>
      <w:r>
        <w:rPr>
          <w:rFonts w:hint="eastAsia" w:ascii="仿宋_GB2312" w:hAnsi="Times New Roman" w:eastAsia="仿宋_GB2312" w:cs="仿宋_GB2312"/>
          <w:color w:val="auto"/>
          <w:sz w:val="32"/>
          <w:szCs w:val="32"/>
        </w:rPr>
        <w:t>自评得分</w:t>
      </w:r>
      <w:r>
        <w:rPr>
          <w:rFonts w:ascii="Times New Roman" w:hAnsi="Times New Roman" w:eastAsia="仿宋_GB2312" w:cs="Times New Roman"/>
          <w:color w:val="auto"/>
          <w:sz w:val="32"/>
          <w:szCs w:val="32"/>
        </w:rPr>
        <w:t>2</w:t>
      </w:r>
      <w:r>
        <w:rPr>
          <w:rFonts w:hint="eastAsia" w:eastAsia="仿宋_GB2312" w:cs="Times New Roman"/>
          <w:color w:val="auto"/>
          <w:sz w:val="32"/>
          <w:szCs w:val="32"/>
          <w:lang w:val="en-US" w:eastAsia="zh-CN"/>
        </w:rPr>
        <w:t>3</w:t>
      </w:r>
      <w:r>
        <w:rPr>
          <w:rFonts w:hint="eastAsia" w:ascii="仿宋_GB2312" w:hAnsi="Times New Roman" w:eastAsia="仿宋_GB2312" w:cs="仿宋_GB2312"/>
          <w:color w:val="auto"/>
          <w:sz w:val="32"/>
          <w:szCs w:val="32"/>
        </w:rPr>
        <w:t>分。</w:t>
      </w:r>
      <w:r>
        <w:rPr>
          <w:rFonts w:hint="eastAsia" w:ascii="Times New Roman" w:hAnsi="Times New Roman" w:eastAsia="仿宋_GB2312" w:cs="Times New Roman"/>
          <w:color w:val="000000"/>
          <w:kern w:val="0"/>
          <w:sz w:val="33"/>
          <w:szCs w:val="33"/>
          <w:shd w:val="clear" w:color="auto" w:fill="FFFFFF"/>
          <w:lang w:val="zh-CN"/>
        </w:rPr>
        <w:t>202</w:t>
      </w:r>
      <w:r>
        <w:rPr>
          <w:rFonts w:hint="eastAsia" w:eastAsia="仿宋_GB2312" w:cs="Times New Roman"/>
          <w:color w:val="000000"/>
          <w:kern w:val="0"/>
          <w:sz w:val="33"/>
          <w:szCs w:val="33"/>
          <w:shd w:val="clear" w:color="auto" w:fill="FFFFFF"/>
          <w:lang w:val="en-US" w:eastAsia="zh-CN"/>
        </w:rPr>
        <w:t>5</w:t>
      </w:r>
      <w:r>
        <w:rPr>
          <w:rFonts w:hint="eastAsia" w:ascii="Times New Roman" w:hAnsi="Times New Roman" w:eastAsia="仿宋_GB2312" w:cs="Times New Roman"/>
          <w:color w:val="000000"/>
          <w:kern w:val="0"/>
          <w:sz w:val="33"/>
          <w:szCs w:val="33"/>
          <w:shd w:val="clear" w:color="auto" w:fill="FFFFFF"/>
          <w:lang w:val="zh-CN"/>
        </w:rPr>
        <w:t>年度</w:t>
      </w:r>
      <w:r>
        <w:rPr>
          <w:rFonts w:hint="eastAsia" w:eastAsia="仿宋_GB2312" w:cs="Times New Roman"/>
          <w:color w:val="000000"/>
          <w:kern w:val="0"/>
          <w:sz w:val="33"/>
          <w:szCs w:val="33"/>
          <w:shd w:val="clear" w:color="auto" w:fill="FFFFFF"/>
          <w:lang w:val="zh-CN"/>
        </w:rPr>
        <w:t>自然资源局</w:t>
      </w:r>
      <w:r>
        <w:rPr>
          <w:rFonts w:hint="eastAsia" w:ascii="仿宋" w:hAnsi="仿宋" w:eastAsia="仿宋"/>
          <w:color w:val="000000"/>
          <w:sz w:val="32"/>
          <w:szCs w:val="32"/>
        </w:rPr>
        <w:t>加强预算编制管理，严格按照《预算法》的要求，根据县自然资源局工作计划和目标任务的实际，科学合理编制部门年度预算草案，同步设置绩效目标</w:t>
      </w:r>
      <w:r>
        <w:rPr>
          <w:rFonts w:hint="eastAsia" w:ascii="仿宋" w:hAnsi="仿宋" w:eastAsia="仿宋"/>
          <w:color w:val="000000"/>
          <w:sz w:val="32"/>
          <w:szCs w:val="32"/>
          <w:lang w:eastAsia="zh-CN"/>
        </w:rPr>
        <w:t>，</w:t>
      </w:r>
      <w:r>
        <w:rPr>
          <w:rFonts w:hint="eastAsia" w:ascii="仿宋" w:hAnsi="仿宋" w:eastAsia="仿宋"/>
          <w:color w:val="000000"/>
          <w:sz w:val="32"/>
          <w:szCs w:val="32"/>
        </w:rPr>
        <w:t>切实保障基本支出科学合理，项目支出有效规范。</w:t>
      </w:r>
      <w:r>
        <w:rPr>
          <w:rFonts w:hint="eastAsia" w:eastAsia="仿宋" w:cs="Times New Roman"/>
          <w:color w:val="000000"/>
          <w:kern w:val="0"/>
          <w:sz w:val="33"/>
          <w:szCs w:val="33"/>
          <w:shd w:val="clear" w:color="auto" w:fill="FFFFFF"/>
          <w:lang w:val="en-US" w:eastAsia="zh-CN"/>
        </w:rPr>
        <w:t>2025年</w:t>
      </w:r>
      <w:r>
        <w:rPr>
          <w:rFonts w:hint="eastAsia" w:ascii="Times New Roman" w:hAnsi="Times New Roman" w:eastAsia="仿宋_GB2312" w:cs="Times New Roman"/>
          <w:color w:val="000000"/>
          <w:kern w:val="0"/>
          <w:sz w:val="33"/>
          <w:szCs w:val="33"/>
          <w:shd w:val="clear" w:color="auto" w:fill="FFFFFF"/>
          <w:lang w:val="zh-CN"/>
        </w:rPr>
        <w:t>全年预算执行进度较好，未发现违规支出金额</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全年部门整体无</w:t>
      </w:r>
      <w:r>
        <w:rPr>
          <w:rFonts w:hint="eastAsia" w:eastAsia="仿宋_GB2312" w:cs="Times New Roman"/>
          <w:color w:val="000000"/>
          <w:kern w:val="0"/>
          <w:sz w:val="33"/>
          <w:szCs w:val="33"/>
          <w:shd w:val="clear" w:color="auto" w:fill="FFFFFF"/>
          <w:lang w:val="zh-CN"/>
        </w:rPr>
        <w:t>结转</w:t>
      </w:r>
      <w:r>
        <w:rPr>
          <w:rFonts w:hint="eastAsia" w:ascii="Times New Roman" w:hAnsi="Times New Roman" w:eastAsia="仿宋_GB2312" w:cs="Times New Roman"/>
          <w:color w:val="000000"/>
          <w:kern w:val="0"/>
          <w:sz w:val="33"/>
          <w:szCs w:val="33"/>
          <w:shd w:val="clear" w:color="auto" w:fill="FFFFFF"/>
          <w:lang w:val="zh-CN"/>
        </w:rPr>
        <w:t>结余</w:t>
      </w:r>
      <w:r>
        <w:rPr>
          <w:rFonts w:hint="eastAsia" w:eastAsia="仿宋_GB2312" w:cs="Times New Roman"/>
          <w:color w:val="000000"/>
          <w:kern w:val="0"/>
          <w:sz w:val="33"/>
          <w:szCs w:val="33"/>
          <w:shd w:val="clear" w:color="auto" w:fill="FFFFFF"/>
          <w:lang w:val="zh-CN"/>
        </w:rPr>
        <w:t>资金</w:t>
      </w:r>
      <w:r>
        <w:rPr>
          <w:rFonts w:hint="eastAsia" w:ascii="Times New Roman" w:hAnsi="Times New Roman" w:eastAsia="仿宋_GB2312" w:cs="Times New Roman"/>
          <w:color w:val="000000"/>
          <w:kern w:val="0"/>
          <w:sz w:val="33"/>
          <w:szCs w:val="33"/>
          <w:shd w:val="clear" w:color="auto" w:fill="FFFFFF"/>
          <w:lang w:val="zh-CN"/>
        </w:rPr>
        <w:t>。</w:t>
      </w:r>
    </w:p>
    <w:p w14:paraId="0845CA99">
      <w:pPr>
        <w:numPr>
          <w:ilvl w:val="0"/>
          <w:numId w:val="0"/>
        </w:num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3.</w:t>
      </w:r>
      <w:r>
        <w:rPr>
          <w:rFonts w:eastAsia="楷体_GB2312" w:cs="楷体_GB2312"/>
          <w:color w:val="000000"/>
          <w:kern w:val="0"/>
          <w:sz w:val="33"/>
          <w:szCs w:val="33"/>
          <w:shd w:val="clear" w:color="auto" w:fill="FFFFFF"/>
          <w:lang w:val="zh-CN"/>
        </w:rPr>
        <w:t>财务管理</w:t>
      </w:r>
      <w:r>
        <w:rPr>
          <w:rFonts w:hint="eastAsia" w:eastAsia="楷体_GB2312" w:cs="楷体_GB2312"/>
          <w:color w:val="000000"/>
          <w:kern w:val="0"/>
          <w:sz w:val="33"/>
          <w:szCs w:val="33"/>
          <w:shd w:val="clear" w:color="auto" w:fill="FFFFFF"/>
          <w:lang w:val="zh-CN"/>
        </w:rPr>
        <w:t>。</w:t>
      </w:r>
    </w:p>
    <w:p w14:paraId="5E7A269A">
      <w:pPr>
        <w:numPr>
          <w:ilvl w:val="0"/>
          <w:numId w:val="0"/>
        </w:numPr>
        <w:spacing w:line="590" w:lineRule="exact"/>
        <w:ind w:firstLine="640" w:firstLineChars="200"/>
        <w:contextualSpacing/>
        <w:rPr>
          <w:rFonts w:hint="eastAsia" w:eastAsia="仿宋_GB2312"/>
          <w:color w:val="000000"/>
          <w:kern w:val="0"/>
          <w:sz w:val="33"/>
          <w:szCs w:val="33"/>
          <w:shd w:val="clear" w:color="auto" w:fill="FFFFFF"/>
          <w:lang w:val="zh-CN" w:eastAsia="zh-CN"/>
        </w:rPr>
      </w:pPr>
      <w:r>
        <w:rPr>
          <w:rFonts w:hint="eastAsia" w:ascii="仿宋_GB2312" w:hAnsi="Times New Roman" w:eastAsia="仿宋_GB2312" w:cs="仿宋_GB2312"/>
          <w:color w:val="auto"/>
          <w:sz w:val="32"/>
          <w:szCs w:val="32"/>
        </w:rPr>
        <w:t>自评得分</w:t>
      </w:r>
      <w:r>
        <w:rPr>
          <w:rFonts w:hint="eastAsia" w:eastAsia="仿宋_GB2312" w:cs="Times New Roman"/>
          <w:color w:val="auto"/>
          <w:sz w:val="32"/>
          <w:szCs w:val="32"/>
          <w:lang w:val="en-US" w:eastAsia="zh-CN"/>
        </w:rPr>
        <w:t>10</w:t>
      </w:r>
      <w:r>
        <w:rPr>
          <w:rFonts w:hint="eastAsia" w:ascii="仿宋_GB2312" w:hAnsi="Times New Roman" w:eastAsia="仿宋_GB2312" w:cs="仿宋_GB2312"/>
          <w:color w:val="auto"/>
          <w:sz w:val="32"/>
          <w:szCs w:val="32"/>
        </w:rPr>
        <w:t>分。</w:t>
      </w:r>
      <w:r>
        <w:rPr>
          <w:rFonts w:hint="eastAsia" w:ascii="仿宋" w:hAnsi="仿宋" w:eastAsia="仿宋"/>
          <w:sz w:val="32"/>
          <w:szCs w:val="32"/>
        </w:rPr>
        <w:t>自然资源局加强预算管理、规范财务行为，制定单位内部控制及财务管理制度，对单位的岗位责任制、财务审核报批、财产物资管理、内部财务管理、会计档案管理、财务审计及相关项目管理审批等方面做出了规定，制度执行有效。</w:t>
      </w:r>
      <w:r>
        <w:rPr>
          <w:rFonts w:hint="eastAsia" w:ascii="仿宋" w:hAnsi="仿宋" w:eastAsia="仿宋"/>
          <w:sz w:val="32"/>
          <w:szCs w:val="32"/>
          <w:lang w:eastAsia="zh-CN"/>
        </w:rPr>
        <w:t>对单位一般性支出，严格执行</w:t>
      </w:r>
      <w:r>
        <w:rPr>
          <w:rFonts w:hint="eastAsia" w:ascii="仿宋_GB2312" w:hAnsi="Times New Roman" w:eastAsia="仿宋_GB2312" w:cs="仿宋_GB2312"/>
          <w:color w:val="auto"/>
          <w:sz w:val="32"/>
          <w:szCs w:val="32"/>
        </w:rPr>
        <w:t>预算刚性约束</w:t>
      </w:r>
      <w:r>
        <w:rPr>
          <w:rFonts w:hint="eastAsia" w:ascii="仿宋_GB2312" w:hAnsi="Times New Roman" w:eastAsia="仿宋_GB2312" w:cs="仿宋_GB2312"/>
          <w:color w:val="auto"/>
          <w:sz w:val="32"/>
          <w:szCs w:val="32"/>
          <w:lang w:eastAsia="zh-CN"/>
        </w:rPr>
        <w:t>，</w:t>
      </w:r>
      <w:r>
        <w:rPr>
          <w:rFonts w:hint="eastAsia" w:ascii="仿宋" w:hAnsi="仿宋" w:eastAsia="仿宋"/>
          <w:sz w:val="32"/>
          <w:szCs w:val="32"/>
        </w:rPr>
        <w:t>按照审批权限</w:t>
      </w:r>
      <w:r>
        <w:rPr>
          <w:rFonts w:hint="eastAsia" w:ascii="仿宋" w:hAnsi="仿宋" w:eastAsia="仿宋"/>
          <w:sz w:val="32"/>
          <w:szCs w:val="32"/>
          <w:lang w:eastAsia="zh-CN"/>
        </w:rPr>
        <w:t>层层</w:t>
      </w:r>
      <w:r>
        <w:rPr>
          <w:rFonts w:hint="eastAsia" w:ascii="仿宋" w:hAnsi="仿宋" w:eastAsia="仿宋"/>
          <w:sz w:val="32"/>
          <w:szCs w:val="32"/>
        </w:rPr>
        <w:t>审核、审批</w:t>
      </w:r>
      <w:r>
        <w:rPr>
          <w:rFonts w:hint="eastAsia" w:ascii="仿宋_GB2312" w:hAnsi="Times New Roman" w:eastAsia="仿宋_GB2312" w:cs="仿宋_GB2312"/>
          <w:color w:val="auto"/>
          <w:sz w:val="32"/>
          <w:szCs w:val="32"/>
        </w:rPr>
        <w:t>，确保</w:t>
      </w:r>
      <w:r>
        <w:rPr>
          <w:rFonts w:hint="eastAsia" w:ascii="仿宋_GB2312" w:hAnsi="Times New Roman" w:eastAsia="仿宋_GB2312" w:cs="仿宋_GB2312"/>
          <w:color w:val="auto"/>
          <w:sz w:val="32"/>
          <w:szCs w:val="32"/>
          <w:lang w:eastAsia="zh-CN"/>
        </w:rPr>
        <w:t>支出合理合规。</w:t>
      </w:r>
      <w:r>
        <w:rPr>
          <w:rFonts w:hint="eastAsia" w:ascii="仿宋" w:hAnsi="仿宋" w:eastAsia="仿宋"/>
          <w:sz w:val="32"/>
          <w:szCs w:val="32"/>
        </w:rPr>
        <w:t>单位会计核算的规范，会计信息资料完整。</w:t>
      </w:r>
      <w:r>
        <w:rPr>
          <w:rFonts w:hint="eastAsia" w:ascii="仿宋_GB2312" w:hAnsi="Times New Roman" w:eastAsia="仿宋_GB2312" w:cs="仿宋_GB2312"/>
          <w:color w:val="auto"/>
          <w:sz w:val="32"/>
          <w:szCs w:val="32"/>
        </w:rPr>
        <w:t>财务岗</w:t>
      </w:r>
      <w:r>
        <w:rPr>
          <w:rFonts w:hint="eastAsia" w:ascii="仿宋_GB2312" w:eastAsia="仿宋_GB2312" w:cs="仿宋_GB2312"/>
          <w:color w:val="auto"/>
          <w:sz w:val="32"/>
          <w:szCs w:val="32"/>
        </w:rPr>
        <w:t>位设置和职责权限</w:t>
      </w:r>
      <w:r>
        <w:rPr>
          <w:rFonts w:hint="eastAsia" w:ascii="仿宋_GB2312" w:eastAsia="仿宋_GB2312" w:cs="仿宋_GB2312"/>
          <w:color w:val="auto"/>
          <w:sz w:val="32"/>
          <w:szCs w:val="32"/>
          <w:lang w:eastAsia="zh-CN"/>
        </w:rPr>
        <w:t>清晰</w:t>
      </w:r>
      <w:r>
        <w:rPr>
          <w:rFonts w:hint="eastAsia" w:ascii="仿宋_GB2312" w:eastAsia="仿宋_GB2312" w:cs="仿宋_GB2312"/>
          <w:color w:val="auto"/>
          <w:sz w:val="32"/>
          <w:szCs w:val="32"/>
        </w:rPr>
        <w:t>，确保不相容岗位分离</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防范财务风险</w:t>
      </w:r>
      <w:r>
        <w:rPr>
          <w:rFonts w:hint="eastAsia" w:ascii="仿宋_GB2312" w:eastAsia="仿宋_GB2312" w:cs="仿宋_GB2312"/>
          <w:color w:val="auto"/>
          <w:sz w:val="32"/>
          <w:szCs w:val="32"/>
          <w:lang w:eastAsia="zh-CN"/>
        </w:rPr>
        <w:t>。</w:t>
      </w:r>
    </w:p>
    <w:p w14:paraId="69A5A9E2">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4.</w:t>
      </w:r>
      <w:r>
        <w:rPr>
          <w:rFonts w:eastAsia="楷体_GB2312" w:cs="楷体_GB2312"/>
          <w:color w:val="000000"/>
          <w:kern w:val="0"/>
          <w:sz w:val="33"/>
          <w:szCs w:val="33"/>
          <w:shd w:val="clear" w:color="auto" w:fill="FFFFFF"/>
          <w:lang w:val="zh-CN"/>
        </w:rPr>
        <w:t>资产管理</w:t>
      </w:r>
      <w:r>
        <w:rPr>
          <w:rFonts w:hint="eastAsia" w:eastAsia="楷体_GB2312" w:cs="楷体_GB2312"/>
          <w:color w:val="000000"/>
          <w:kern w:val="0"/>
          <w:sz w:val="33"/>
          <w:szCs w:val="33"/>
          <w:shd w:val="clear" w:color="auto" w:fill="FFFFFF"/>
          <w:lang w:val="zh-CN"/>
        </w:rPr>
        <w:t>。</w:t>
      </w:r>
    </w:p>
    <w:p w14:paraId="4EFD52C3">
      <w:pPr>
        <w:spacing w:line="590" w:lineRule="exact"/>
        <w:ind w:firstLine="640" w:firstLineChars="200"/>
        <w:contextualSpacing/>
        <w:rPr>
          <w:rFonts w:hint="eastAsia" w:ascii="仿宋_GB2312" w:hAnsi="Times New Roman" w:eastAsia="仿宋_GB2312" w:cs="仿宋_GB2312"/>
          <w:color w:val="auto"/>
          <w:sz w:val="32"/>
          <w:szCs w:val="32"/>
        </w:rPr>
      </w:pPr>
      <w:r>
        <w:rPr>
          <w:rFonts w:hint="eastAsia" w:ascii="仿宋_GB2312" w:hAnsi="Times New Roman" w:eastAsia="仿宋_GB2312" w:cs="仿宋_GB2312"/>
          <w:color w:val="auto"/>
          <w:sz w:val="32"/>
          <w:szCs w:val="32"/>
        </w:rPr>
        <w:t>自评得分</w:t>
      </w:r>
      <w:r>
        <w:rPr>
          <w:rFonts w:hint="eastAsia" w:ascii="仿宋_GB2312" w:eastAsia="仿宋_GB2312" w:cs="仿宋_GB2312"/>
          <w:color w:val="auto"/>
          <w:sz w:val="32"/>
          <w:szCs w:val="32"/>
          <w:lang w:val="en-US" w:eastAsia="zh-CN"/>
        </w:rPr>
        <w:t>8</w:t>
      </w:r>
      <w:r>
        <w:rPr>
          <w:rFonts w:hint="eastAsia" w:ascii="仿宋_GB2312" w:hAnsi="Times New Roman" w:eastAsia="仿宋_GB2312" w:cs="仿宋_GB2312"/>
          <w:color w:val="auto"/>
          <w:sz w:val="32"/>
          <w:szCs w:val="32"/>
        </w:rPr>
        <w:t>分。</w:t>
      </w:r>
      <w:r>
        <w:rPr>
          <w:rFonts w:eastAsia="仿宋_GB2312"/>
          <w:color w:val="000000"/>
          <w:sz w:val="32"/>
          <w:szCs w:val="32"/>
        </w:rPr>
        <w:t>资产管理坚持</w:t>
      </w:r>
      <w:r>
        <w:rPr>
          <w:rFonts w:hint="eastAsia" w:eastAsia="仿宋_GB2312"/>
          <w:color w:val="000000"/>
          <w:sz w:val="32"/>
          <w:szCs w:val="32"/>
        </w:rPr>
        <w:t>“</w:t>
      </w:r>
      <w:r>
        <w:rPr>
          <w:rFonts w:eastAsia="仿宋_GB2312"/>
          <w:color w:val="000000"/>
          <w:sz w:val="32"/>
          <w:szCs w:val="32"/>
        </w:rPr>
        <w:t>依法管产</w:t>
      </w:r>
      <w:r>
        <w:rPr>
          <w:rFonts w:hint="eastAsia" w:eastAsia="仿宋_GB2312"/>
          <w:color w:val="000000"/>
          <w:sz w:val="32"/>
          <w:szCs w:val="32"/>
        </w:rPr>
        <w:t>”</w:t>
      </w:r>
      <w:r>
        <w:rPr>
          <w:rFonts w:eastAsia="仿宋_GB2312"/>
          <w:color w:val="000000"/>
          <w:sz w:val="32"/>
          <w:szCs w:val="32"/>
        </w:rPr>
        <w:t>的原则，实行</w:t>
      </w:r>
      <w:r>
        <w:rPr>
          <w:rFonts w:hint="eastAsia" w:eastAsia="仿宋_GB2312"/>
          <w:color w:val="000000"/>
          <w:sz w:val="32"/>
          <w:szCs w:val="32"/>
        </w:rPr>
        <w:t>“</w:t>
      </w:r>
      <w:r>
        <w:rPr>
          <w:rFonts w:eastAsia="仿宋_GB2312"/>
          <w:color w:val="000000"/>
          <w:sz w:val="32"/>
          <w:szCs w:val="32"/>
        </w:rPr>
        <w:t>统一领导，归口管理，分级负责，责任到人，加强监督</w:t>
      </w:r>
      <w:r>
        <w:rPr>
          <w:rFonts w:hint="eastAsia" w:eastAsia="仿宋_GB2312"/>
          <w:color w:val="000000"/>
          <w:sz w:val="32"/>
          <w:szCs w:val="32"/>
        </w:rPr>
        <w:t>”</w:t>
      </w:r>
      <w:r>
        <w:rPr>
          <w:rFonts w:eastAsia="仿宋_GB2312"/>
          <w:color w:val="000000"/>
          <w:sz w:val="32"/>
          <w:szCs w:val="32"/>
        </w:rPr>
        <w:t>的管理办法。各</w:t>
      </w:r>
      <w:r>
        <w:rPr>
          <w:rFonts w:eastAsia="仿宋_GB2312"/>
          <w:sz w:val="32"/>
          <w:szCs w:val="32"/>
        </w:rPr>
        <w:t>股室</w:t>
      </w:r>
      <w:r>
        <w:rPr>
          <w:rFonts w:eastAsia="仿宋_GB2312"/>
          <w:color w:val="000000"/>
          <w:sz w:val="32"/>
          <w:szCs w:val="32"/>
        </w:rPr>
        <w:t>认真做好资产的日常管理工作，对配置到</w:t>
      </w:r>
      <w:r>
        <w:rPr>
          <w:rFonts w:eastAsia="仿宋_GB2312"/>
          <w:sz w:val="32"/>
          <w:szCs w:val="32"/>
        </w:rPr>
        <w:t>股室</w:t>
      </w:r>
      <w:r>
        <w:rPr>
          <w:rFonts w:eastAsia="仿宋_GB2312"/>
          <w:color w:val="000000"/>
          <w:sz w:val="32"/>
          <w:szCs w:val="32"/>
        </w:rPr>
        <w:t>的资产，按照“谁使用、谁保管、谁负责”的原则，建立资产管理责任制，将资产管理的责任落实到人</w:t>
      </w:r>
      <w:r>
        <w:rPr>
          <w:rFonts w:hint="eastAsia" w:eastAsia="仿宋_GB2312"/>
          <w:color w:val="000000"/>
          <w:sz w:val="32"/>
          <w:szCs w:val="32"/>
          <w:lang w:eastAsia="zh-CN"/>
        </w:rPr>
        <w:t>。</w:t>
      </w:r>
      <w:r>
        <w:rPr>
          <w:rFonts w:hint="eastAsia" w:ascii="仿宋_GB2312" w:eastAsia="仿宋_GB2312" w:cs="仿宋_GB2312"/>
          <w:color w:val="auto"/>
          <w:sz w:val="32"/>
          <w:szCs w:val="32"/>
          <w:lang w:val="en-US" w:eastAsia="zh-CN"/>
        </w:rPr>
        <w:t>2025年度对达到报废期限无法正常使用的办公设备进行资产处置，处置费用足额缴纳财政。</w:t>
      </w:r>
    </w:p>
    <w:p w14:paraId="7932DF3B">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5.</w:t>
      </w:r>
      <w:r>
        <w:rPr>
          <w:rFonts w:eastAsia="楷体_GB2312" w:cs="楷体_GB2312"/>
          <w:color w:val="000000"/>
          <w:kern w:val="0"/>
          <w:sz w:val="33"/>
          <w:szCs w:val="33"/>
          <w:shd w:val="clear" w:color="auto" w:fill="FFFFFF"/>
          <w:lang w:val="zh-CN"/>
        </w:rPr>
        <w:t>采购管理</w:t>
      </w:r>
      <w:r>
        <w:rPr>
          <w:rFonts w:hint="eastAsia" w:eastAsia="楷体_GB2312" w:cs="楷体_GB2312"/>
          <w:color w:val="000000"/>
          <w:kern w:val="0"/>
          <w:sz w:val="33"/>
          <w:szCs w:val="33"/>
          <w:shd w:val="clear" w:color="auto" w:fill="FFFFFF"/>
          <w:lang w:val="zh-CN"/>
        </w:rPr>
        <w:t>。</w:t>
      </w:r>
    </w:p>
    <w:p w14:paraId="5FEFEA22">
      <w:pPr>
        <w:spacing w:line="590" w:lineRule="exact"/>
        <w:ind w:firstLine="640" w:firstLineChars="200"/>
        <w:contextualSpacing/>
        <w:rPr>
          <w:rFonts w:hint="default" w:eastAsia="仿宋_GB2312" w:cs="楷体_GB2312"/>
          <w:color w:val="000000"/>
          <w:kern w:val="0"/>
          <w:sz w:val="33"/>
          <w:szCs w:val="33"/>
          <w:shd w:val="clear" w:color="auto" w:fill="FFFFFF"/>
          <w:lang w:val="en-US" w:eastAsia="zh-CN"/>
        </w:rPr>
      </w:pPr>
      <w:r>
        <w:rPr>
          <w:rFonts w:hint="eastAsia" w:ascii="仿宋_GB2312" w:hAnsi="Times New Roman" w:eastAsia="仿宋_GB2312" w:cs="仿宋_GB2312"/>
          <w:color w:val="auto"/>
          <w:sz w:val="32"/>
          <w:szCs w:val="32"/>
        </w:rPr>
        <w:t>自评得分</w:t>
      </w:r>
      <w:r>
        <w:rPr>
          <w:rFonts w:hint="eastAsia" w:eastAsia="仿宋_GB2312" w:cs="Times New Roman"/>
          <w:color w:val="auto"/>
          <w:sz w:val="32"/>
          <w:szCs w:val="32"/>
          <w:lang w:val="en-US" w:eastAsia="zh-CN"/>
        </w:rPr>
        <w:t>3</w:t>
      </w:r>
      <w:r>
        <w:rPr>
          <w:rFonts w:hint="eastAsia" w:ascii="仿宋_GB2312" w:hAnsi="Times New Roman" w:eastAsia="仿宋_GB2312" w:cs="仿宋_GB2312"/>
          <w:color w:val="auto"/>
          <w:sz w:val="32"/>
          <w:szCs w:val="32"/>
        </w:rPr>
        <w:t>分。</w:t>
      </w:r>
      <w:r>
        <w:rPr>
          <w:rFonts w:hint="eastAsia" w:ascii="Times New Roman" w:hAnsi="Times New Roman" w:eastAsia="仿宋_GB2312" w:cs="Times New Roman"/>
          <w:color w:val="auto"/>
          <w:sz w:val="32"/>
          <w:szCs w:val="32"/>
        </w:rPr>
        <w:t>严格按照四川省政府集中采购目录及标准（2024年版）文件要求执行，根据不同的目录及标准选取合法合规的采购流程及采购方式，规范采购行为，提高财政资金效率</w:t>
      </w:r>
      <w:r>
        <w:rPr>
          <w:rFonts w:hint="eastAsia" w:eastAsia="仿宋_GB2312" w:cs="Times New Roman"/>
          <w:color w:val="auto"/>
          <w:sz w:val="32"/>
          <w:szCs w:val="32"/>
          <w:lang w:eastAsia="zh-CN"/>
        </w:rPr>
        <w:t>。</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年，自然资源局</w:t>
      </w:r>
      <w:r>
        <w:rPr>
          <w:rFonts w:hint="eastAsia" w:eastAsia="仿宋_GB2312"/>
          <w:color w:val="000000"/>
          <w:kern w:val="0"/>
          <w:sz w:val="33"/>
          <w:szCs w:val="33"/>
          <w:shd w:val="clear" w:color="auto" w:fill="FFFFFF"/>
          <w:lang w:val="zh-CN" w:eastAsia="zh-CN"/>
        </w:rPr>
        <w:t>无政府采购项目支出</w:t>
      </w:r>
      <w:r>
        <w:rPr>
          <w:rFonts w:hint="eastAsia" w:eastAsia="仿宋_GB2312"/>
          <w:color w:val="000000"/>
          <w:kern w:val="0"/>
          <w:sz w:val="33"/>
          <w:szCs w:val="33"/>
          <w:shd w:val="clear" w:color="auto" w:fill="FFFFFF"/>
          <w:lang w:val="en-US" w:eastAsia="zh-CN"/>
        </w:rPr>
        <w:t>。</w:t>
      </w:r>
    </w:p>
    <w:p w14:paraId="74B8C801">
      <w:pPr>
        <w:widowControl/>
        <w:spacing w:line="590" w:lineRule="exact"/>
        <w:ind w:firstLine="663" w:firstLineChars="200"/>
        <w:contextualSpacing/>
        <w:rPr>
          <w:rFonts w:hint="eastAsia" w:eastAsia="仿宋_GB2312"/>
          <w:color w:val="000000"/>
          <w:kern w:val="0"/>
          <w:sz w:val="33"/>
          <w:szCs w:val="33"/>
          <w:shd w:val="clear" w:color="auto" w:fill="FFFFFF"/>
        </w:rPr>
      </w:pPr>
      <w:r>
        <w:rPr>
          <w:rFonts w:eastAsia="楷体_GB2312"/>
          <w:b/>
          <w:bCs/>
          <w:color w:val="000000"/>
          <w:kern w:val="0"/>
          <w:sz w:val="33"/>
          <w:szCs w:val="33"/>
          <w:shd w:val="clear" w:color="auto" w:fill="FFFFFF"/>
          <w:lang w:val="zh-CN"/>
        </w:rPr>
        <w:t>（二）部门预算项目绩效分析。</w:t>
      </w:r>
    </w:p>
    <w:p w14:paraId="1E534CA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eastAsia="仿宋_GB2312"/>
          <w:color w:val="000000"/>
          <w:kern w:val="0"/>
          <w:sz w:val="33"/>
          <w:szCs w:val="33"/>
          <w:shd w:val="clear" w:color="auto" w:fill="FFFFFF"/>
        </w:rPr>
      </w:pPr>
      <w:r>
        <w:rPr>
          <w:rFonts w:hint="eastAsia" w:eastAsia="仿宋_GB2312"/>
          <w:color w:val="000000"/>
          <w:kern w:val="0"/>
          <w:sz w:val="33"/>
          <w:szCs w:val="33"/>
          <w:shd w:val="clear" w:color="auto" w:fill="FFFFFF"/>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rPr>
        <w:t>年，全</w:t>
      </w:r>
      <w:r>
        <w:rPr>
          <w:rFonts w:hint="eastAsia" w:eastAsia="仿宋_GB2312"/>
          <w:color w:val="000000"/>
          <w:kern w:val="0"/>
          <w:sz w:val="33"/>
          <w:szCs w:val="33"/>
          <w:shd w:val="clear" w:color="auto" w:fill="FFFFFF"/>
          <w:lang w:eastAsia="zh-CN"/>
        </w:rPr>
        <w:t>局</w:t>
      </w:r>
      <w:r>
        <w:rPr>
          <w:rFonts w:hint="eastAsia" w:eastAsia="仿宋_GB2312"/>
          <w:color w:val="000000"/>
          <w:kern w:val="0"/>
          <w:sz w:val="33"/>
          <w:szCs w:val="33"/>
          <w:shd w:val="clear" w:color="auto" w:fill="FFFFFF"/>
        </w:rPr>
        <w:t>常年项目</w:t>
      </w:r>
      <w:r>
        <w:rPr>
          <w:rFonts w:hint="eastAsia" w:eastAsia="仿宋_GB2312"/>
          <w:color w:val="000000"/>
          <w:kern w:val="0"/>
          <w:sz w:val="33"/>
          <w:szCs w:val="33"/>
          <w:shd w:val="clear" w:color="auto" w:fill="FFFFFF"/>
          <w:lang w:eastAsia="zh-CN"/>
        </w:rPr>
        <w:t>（含一次性项目）</w:t>
      </w:r>
      <w:r>
        <w:rPr>
          <w:rFonts w:hint="eastAsia" w:eastAsia="仿宋_GB2312"/>
          <w:color w:val="000000"/>
          <w:kern w:val="0"/>
          <w:sz w:val="33"/>
          <w:szCs w:val="33"/>
          <w:shd w:val="clear" w:color="auto" w:fill="FFFFFF"/>
        </w:rPr>
        <w:t>总数</w:t>
      </w:r>
      <w:r>
        <w:rPr>
          <w:rFonts w:hint="eastAsia" w:eastAsia="仿宋_GB2312"/>
          <w:color w:val="000000"/>
          <w:kern w:val="0"/>
          <w:sz w:val="33"/>
          <w:szCs w:val="33"/>
          <w:shd w:val="clear" w:color="auto" w:fill="FFFFFF"/>
          <w:lang w:val="en-US" w:eastAsia="zh-CN"/>
        </w:rPr>
        <w:t>17</w:t>
      </w:r>
      <w:r>
        <w:rPr>
          <w:rFonts w:hint="eastAsia" w:eastAsia="仿宋_GB2312"/>
          <w:color w:val="000000"/>
          <w:kern w:val="0"/>
          <w:sz w:val="33"/>
          <w:szCs w:val="33"/>
          <w:shd w:val="clear" w:color="auto" w:fill="FFFFFF"/>
        </w:rPr>
        <w:t>个，涉及预算总金额</w:t>
      </w:r>
      <w:r>
        <w:rPr>
          <w:rFonts w:hint="eastAsia" w:eastAsia="仿宋_GB2312"/>
          <w:color w:val="000000"/>
          <w:kern w:val="0"/>
          <w:sz w:val="33"/>
          <w:szCs w:val="33"/>
          <w:shd w:val="clear" w:color="auto" w:fill="FFFFFF"/>
          <w:lang w:val="en-US" w:eastAsia="zh-CN"/>
        </w:rPr>
        <w:t>17205.98</w:t>
      </w:r>
      <w:r>
        <w:rPr>
          <w:rFonts w:hint="eastAsia" w:eastAsia="仿宋_GB2312"/>
          <w:color w:val="000000"/>
          <w:kern w:val="0"/>
          <w:sz w:val="33"/>
          <w:szCs w:val="33"/>
          <w:shd w:val="clear" w:color="auto" w:fill="FFFFFF"/>
        </w:rPr>
        <w:t>万元，</w:t>
      </w:r>
      <w:r>
        <w:rPr>
          <w:rFonts w:hint="eastAsia" w:eastAsia="仿宋_GB2312"/>
          <w:color w:val="000000"/>
          <w:kern w:val="0"/>
          <w:sz w:val="33"/>
          <w:szCs w:val="33"/>
          <w:shd w:val="clear" w:color="auto" w:fill="FFFFFF"/>
          <w:lang w:eastAsia="zh-CN"/>
        </w:rPr>
        <w:t>预算执行数</w:t>
      </w:r>
      <w:r>
        <w:rPr>
          <w:rFonts w:hint="eastAsia" w:eastAsia="仿宋_GB2312"/>
          <w:color w:val="000000"/>
          <w:kern w:val="0"/>
          <w:sz w:val="33"/>
          <w:szCs w:val="33"/>
          <w:shd w:val="clear" w:color="auto" w:fill="FFFFFF"/>
          <w:lang w:val="en-US" w:eastAsia="zh-CN"/>
        </w:rPr>
        <w:t>14226.88万元，</w:t>
      </w:r>
      <w:r>
        <w:rPr>
          <w:rFonts w:hint="eastAsia" w:eastAsia="仿宋_GB2312"/>
          <w:color w:val="000000"/>
          <w:kern w:val="0"/>
          <w:sz w:val="33"/>
          <w:szCs w:val="33"/>
          <w:shd w:val="clear" w:color="auto" w:fill="FFFFFF"/>
        </w:rPr>
        <w:t>1—12月预算执行总体进度为</w:t>
      </w:r>
      <w:r>
        <w:rPr>
          <w:rFonts w:hint="eastAsia" w:eastAsia="仿宋_GB2312"/>
          <w:color w:val="000000"/>
          <w:kern w:val="0"/>
          <w:sz w:val="33"/>
          <w:szCs w:val="33"/>
          <w:shd w:val="clear" w:color="auto" w:fill="FFFFFF"/>
          <w:lang w:val="en-US" w:eastAsia="zh-CN"/>
        </w:rPr>
        <w:t>82.69</w:t>
      </w:r>
      <w:r>
        <w:rPr>
          <w:rFonts w:hint="eastAsia" w:eastAsia="仿宋_GB2312"/>
          <w:color w:val="000000"/>
          <w:kern w:val="0"/>
          <w:sz w:val="33"/>
          <w:szCs w:val="33"/>
          <w:shd w:val="clear" w:color="auto" w:fill="FFFFFF"/>
        </w:rPr>
        <w:t>%</w:t>
      </w:r>
      <w:r>
        <w:rPr>
          <w:rFonts w:hint="eastAsia" w:eastAsia="仿宋_GB2312"/>
          <w:color w:val="000000"/>
          <w:kern w:val="0"/>
          <w:sz w:val="33"/>
          <w:szCs w:val="33"/>
          <w:shd w:val="clear" w:color="auto" w:fill="FFFFFF"/>
          <w:lang w:val="en-US" w:eastAsia="zh-CN"/>
        </w:rPr>
        <w:t>。</w:t>
      </w:r>
      <w:r>
        <w:rPr>
          <w:rFonts w:hint="eastAsia" w:eastAsia="仿宋_GB2312"/>
          <w:color w:val="000000"/>
          <w:kern w:val="0"/>
          <w:sz w:val="33"/>
          <w:szCs w:val="33"/>
          <w:shd w:val="clear" w:color="auto" w:fill="FFFFFF"/>
        </w:rPr>
        <w:t xml:space="preserve"> </w:t>
      </w:r>
      <w:r>
        <w:rPr>
          <w:rFonts w:hint="eastAsia" w:ascii="仿宋_GB2312" w:hAnsi="Times New Roman" w:eastAsia="仿宋_GB2312" w:cs="仿宋_GB2312"/>
          <w:color w:val="auto"/>
          <w:sz w:val="32"/>
          <w:szCs w:val="32"/>
        </w:rPr>
        <w:t>其中：预</w:t>
      </w:r>
      <w:r>
        <w:rPr>
          <w:rFonts w:hint="eastAsia" w:ascii="仿宋_GB2312" w:eastAsia="仿宋_GB2312" w:cs="仿宋_GB2312"/>
          <w:color w:val="auto"/>
          <w:sz w:val="32"/>
          <w:szCs w:val="32"/>
        </w:rPr>
        <w:t>算结余率大于</w:t>
      </w:r>
      <w:r>
        <w:rPr>
          <w:rFonts w:ascii="Times New Roman" w:hAnsi="Times New Roman" w:eastAsia="仿宋_GB2312" w:cs="Times New Roman"/>
          <w:color w:val="auto"/>
          <w:sz w:val="32"/>
          <w:szCs w:val="32"/>
        </w:rPr>
        <w:t>10%</w:t>
      </w:r>
      <w:r>
        <w:rPr>
          <w:rFonts w:hint="eastAsia" w:ascii="仿宋_GB2312" w:hAnsi="Times New Roman" w:eastAsia="仿宋_GB2312" w:cs="仿宋_GB2312"/>
          <w:color w:val="auto"/>
          <w:sz w:val="32"/>
          <w:szCs w:val="32"/>
        </w:rPr>
        <w:t>的项目</w:t>
      </w:r>
      <w:r>
        <w:rPr>
          <w:rFonts w:hint="eastAsia" w:eastAsia="仿宋_GB2312" w:cs="Times New Roman"/>
          <w:color w:val="auto"/>
          <w:sz w:val="32"/>
          <w:szCs w:val="32"/>
          <w:lang w:val="en-US" w:eastAsia="zh-CN"/>
        </w:rPr>
        <w:t>4</w:t>
      </w:r>
      <w:r>
        <w:rPr>
          <w:rFonts w:hint="eastAsia" w:ascii="仿宋_GB2312" w:hAnsi="Times New Roman" w:eastAsia="仿宋_GB2312" w:cs="仿宋_GB2312"/>
          <w:color w:val="auto"/>
          <w:sz w:val="32"/>
          <w:szCs w:val="32"/>
        </w:rPr>
        <w:t>个。</w:t>
      </w:r>
      <w:r>
        <w:rPr>
          <w:rFonts w:ascii="仿宋_GB2312" w:hAnsi="Times New Roman" w:eastAsia="仿宋_GB2312" w:cs="仿宋_GB2312"/>
          <w:color w:val="auto"/>
          <w:sz w:val="32"/>
          <w:szCs w:val="32"/>
        </w:rPr>
        <w:t xml:space="preserve"> </w:t>
      </w:r>
    </w:p>
    <w:p w14:paraId="247D0944">
      <w:p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1.</w:t>
      </w:r>
      <w:r>
        <w:rPr>
          <w:rFonts w:hint="eastAsia" w:eastAsia="楷体_GB2312" w:cs="楷体_GB2312"/>
          <w:color w:val="000000"/>
          <w:kern w:val="0"/>
          <w:sz w:val="33"/>
          <w:szCs w:val="33"/>
          <w:shd w:val="clear" w:color="auto" w:fill="FFFFFF"/>
          <w:lang w:val="zh-CN"/>
        </w:rPr>
        <w:t>项目决策</w:t>
      </w:r>
    </w:p>
    <w:p w14:paraId="39DC6E72">
      <w:pPr>
        <w:spacing w:line="590" w:lineRule="exact"/>
        <w:ind w:firstLine="640" w:firstLineChars="200"/>
        <w:contextualSpacing/>
        <w:rPr>
          <w:rFonts w:eastAsia="楷体_GB2312" w:cs="楷体_GB2312"/>
          <w:color w:val="000000"/>
          <w:kern w:val="0"/>
          <w:sz w:val="33"/>
          <w:szCs w:val="33"/>
          <w:shd w:val="clear" w:color="auto" w:fill="FFFFFF"/>
          <w:lang w:val="zh-CN"/>
        </w:rPr>
      </w:pPr>
      <w:r>
        <w:rPr>
          <w:rFonts w:hint="eastAsia" w:ascii="楷体_GB2312" w:hAnsi="Times New Roman" w:eastAsia="楷体_GB2312" w:cs="楷体_GB2312"/>
          <w:color w:val="auto"/>
          <w:sz w:val="32"/>
          <w:szCs w:val="32"/>
        </w:rPr>
        <w:t>自评得分</w:t>
      </w:r>
      <w:r>
        <w:rPr>
          <w:rFonts w:ascii="Times New Roman" w:hAnsi="Times New Roman" w:eastAsia="楷体_GB2312" w:cs="Times New Roman"/>
          <w:color w:val="auto"/>
          <w:sz w:val="32"/>
          <w:szCs w:val="32"/>
        </w:rPr>
        <w:t>12</w:t>
      </w:r>
      <w:r>
        <w:rPr>
          <w:rFonts w:hint="eastAsia" w:ascii="楷体_GB2312" w:hAnsi="Times New Roman" w:eastAsia="楷体_GB2312" w:cs="楷体_GB2312"/>
          <w:color w:val="auto"/>
          <w:sz w:val="32"/>
          <w:szCs w:val="32"/>
        </w:rPr>
        <w:t>分。</w:t>
      </w:r>
      <w:r>
        <w:rPr>
          <w:rFonts w:hint="eastAsia" w:ascii="楷体_GB2312" w:hAnsi="Times New Roman" w:eastAsia="楷体_GB2312" w:cs="楷体_GB2312"/>
          <w:color w:val="auto"/>
          <w:sz w:val="32"/>
          <w:szCs w:val="32"/>
          <w:lang w:val="en-US" w:eastAsia="zh-CN"/>
        </w:rPr>
        <w:t>2</w:t>
      </w:r>
      <w:r>
        <w:rPr>
          <w:rFonts w:hint="eastAsia" w:eastAsia="仿宋_GB2312"/>
          <w:color w:val="000000"/>
          <w:kern w:val="0"/>
          <w:sz w:val="33"/>
          <w:szCs w:val="33"/>
          <w:shd w:val="clear" w:color="auto" w:fill="FFFFFF"/>
          <w:lang w:val="zh-CN"/>
        </w:rPr>
        <w:t>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年年初预算安排阶段项目（含一次性项目）</w:t>
      </w:r>
      <w:r>
        <w:rPr>
          <w:rFonts w:hint="eastAsia" w:eastAsia="仿宋_GB2312"/>
          <w:color w:val="000000"/>
          <w:kern w:val="0"/>
          <w:sz w:val="33"/>
          <w:szCs w:val="33"/>
          <w:shd w:val="clear" w:color="auto" w:fill="FFFFFF"/>
          <w:lang w:val="en-US" w:eastAsia="zh-CN"/>
        </w:rPr>
        <w:t>11</w:t>
      </w:r>
      <w:r>
        <w:rPr>
          <w:rFonts w:hint="eastAsia" w:eastAsia="仿宋_GB2312"/>
          <w:color w:val="000000"/>
          <w:kern w:val="0"/>
          <w:sz w:val="33"/>
          <w:szCs w:val="33"/>
          <w:shd w:val="clear" w:color="auto" w:fill="FFFFFF"/>
          <w:lang w:val="zh-CN"/>
        </w:rPr>
        <w:t>个（</w:t>
      </w:r>
      <w:r>
        <w:rPr>
          <w:rFonts w:hint="eastAsia" w:eastAsia="仿宋_GB2312"/>
          <w:color w:val="000000"/>
          <w:kern w:val="0"/>
          <w:sz w:val="33"/>
          <w:szCs w:val="33"/>
          <w:shd w:val="clear" w:color="auto" w:fill="FFFFFF"/>
          <w:lang w:val="en-US" w:eastAsia="zh-CN"/>
        </w:rPr>
        <w:t>含结转预算项目）</w:t>
      </w:r>
      <w:r>
        <w:rPr>
          <w:rFonts w:hint="eastAsia" w:eastAsia="仿宋_GB2312"/>
          <w:color w:val="000000"/>
          <w:kern w:val="0"/>
          <w:sz w:val="33"/>
          <w:szCs w:val="33"/>
          <w:shd w:val="clear" w:color="auto" w:fill="FFFFFF"/>
          <w:lang w:val="zh-CN"/>
        </w:rPr>
        <w:t>，所有项目均开展事前评估。202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年部门预算项目绩效目标与预算安排匹配，绩效目标设置规范完整、量化细化，且在规定时间内完成项目入库，目标设置与项目入库。</w:t>
      </w:r>
    </w:p>
    <w:p w14:paraId="404138B8">
      <w:pPr>
        <w:numPr>
          <w:ilvl w:val="0"/>
          <w:numId w:val="0"/>
        </w:num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2.</w:t>
      </w:r>
      <w:r>
        <w:rPr>
          <w:rFonts w:hint="eastAsia" w:eastAsia="楷体_GB2312" w:cs="楷体_GB2312"/>
          <w:color w:val="000000"/>
          <w:kern w:val="0"/>
          <w:sz w:val="33"/>
          <w:szCs w:val="33"/>
          <w:shd w:val="clear" w:color="auto" w:fill="FFFFFF"/>
        </w:rPr>
        <w:t>项目执行</w:t>
      </w:r>
    </w:p>
    <w:p w14:paraId="2FC1D85B">
      <w:pPr>
        <w:numPr>
          <w:ilvl w:val="0"/>
          <w:numId w:val="0"/>
        </w:numPr>
        <w:spacing w:line="590" w:lineRule="exact"/>
        <w:ind w:firstLine="640" w:firstLineChars="200"/>
        <w:contextualSpacing/>
        <w:rPr>
          <w:rFonts w:hint="eastAsia" w:eastAsia="仿宋_GB2312"/>
          <w:color w:val="000000"/>
          <w:kern w:val="0"/>
          <w:sz w:val="33"/>
          <w:szCs w:val="33"/>
          <w:shd w:val="clear" w:color="auto" w:fill="FFFFFF"/>
          <w:lang w:val="zh-CN"/>
        </w:rPr>
      </w:pPr>
      <w:r>
        <w:rPr>
          <w:rFonts w:hint="eastAsia" w:ascii="楷体_GB2312" w:hAnsi="Times New Roman" w:eastAsia="楷体_GB2312" w:cs="楷体_GB2312"/>
          <w:color w:val="auto"/>
          <w:sz w:val="32"/>
          <w:szCs w:val="32"/>
        </w:rPr>
        <w:t>自评得分</w:t>
      </w:r>
      <w:r>
        <w:rPr>
          <w:rFonts w:hint="eastAsia" w:eastAsia="楷体_GB2312" w:cs="Times New Roman"/>
          <w:color w:val="auto"/>
          <w:sz w:val="32"/>
          <w:szCs w:val="32"/>
          <w:lang w:val="en-US" w:eastAsia="zh-CN"/>
        </w:rPr>
        <w:t>11</w:t>
      </w:r>
      <w:r>
        <w:rPr>
          <w:rFonts w:hint="eastAsia" w:ascii="楷体_GB2312" w:hAnsi="Times New Roman" w:eastAsia="楷体_GB2312" w:cs="楷体_GB2312"/>
          <w:color w:val="auto"/>
          <w:sz w:val="32"/>
          <w:szCs w:val="32"/>
        </w:rPr>
        <w:t>分。</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年部门预算项目实际列支内容与绩效目标设置方向相符，对实际执行与绩效目标发生偏离的阶段项目及时采取收回预算、调整目标等措施。</w:t>
      </w:r>
      <w:r>
        <w:rPr>
          <w:rFonts w:ascii="Times New Roman" w:hAnsi="Times New Roman" w:eastAsia="仿宋_GB2312" w:cs="Times New Roman"/>
          <w:color w:val="auto"/>
          <w:sz w:val="32"/>
          <w:szCs w:val="32"/>
        </w:rPr>
        <w:t>202</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年部门预算项目结余小于</w:t>
      </w:r>
      <w:r>
        <w:rPr>
          <w:rFonts w:ascii="Times New Roman" w:hAnsi="Times New Roman" w:eastAsia="仿宋_GB2312" w:cs="Times New Roman"/>
          <w:color w:val="auto"/>
          <w:sz w:val="32"/>
          <w:szCs w:val="32"/>
        </w:rPr>
        <w:t>10%</w:t>
      </w:r>
      <w:r>
        <w:rPr>
          <w:rFonts w:hint="eastAsia" w:ascii="Times New Roman" w:hAnsi="Times New Roman" w:eastAsia="仿宋_GB2312" w:cs="Times New Roman"/>
          <w:color w:val="auto"/>
          <w:sz w:val="32"/>
          <w:szCs w:val="32"/>
        </w:rPr>
        <w:t>的常年项目（含一次性项目）项目</w:t>
      </w:r>
      <w:r>
        <w:rPr>
          <w:rFonts w:hint="eastAsia" w:eastAsia="仿宋_GB2312" w:cs="Times New Roman"/>
          <w:color w:val="auto"/>
          <w:sz w:val="32"/>
          <w:szCs w:val="32"/>
          <w:lang w:val="en-US" w:eastAsia="zh-CN"/>
        </w:rPr>
        <w:t>13</w:t>
      </w:r>
      <w:r>
        <w:rPr>
          <w:rFonts w:hint="eastAsia" w:ascii="Times New Roman" w:hAnsi="Times New Roman" w:eastAsia="仿宋_GB2312" w:cs="Times New Roman"/>
          <w:color w:val="auto"/>
          <w:sz w:val="32"/>
          <w:szCs w:val="32"/>
        </w:rPr>
        <w:t>个，占常年项目、阶段（含一次性项目）项目总数</w:t>
      </w:r>
      <w:r>
        <w:rPr>
          <w:rFonts w:hint="eastAsia" w:eastAsia="仿宋_GB2312" w:cs="Times New Roman"/>
          <w:color w:val="auto"/>
          <w:sz w:val="32"/>
          <w:szCs w:val="32"/>
          <w:lang w:val="en-US" w:eastAsia="zh-CN"/>
        </w:rPr>
        <w:t>76</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p>
    <w:p w14:paraId="25A18C75">
      <w:pPr>
        <w:widowControl/>
        <w:numPr>
          <w:ilvl w:val="0"/>
          <w:numId w:val="0"/>
        </w:numPr>
        <w:spacing w:line="590" w:lineRule="exact"/>
        <w:ind w:firstLine="660" w:firstLineChars="200"/>
        <w:contextualSpacing/>
        <w:rPr>
          <w:rFonts w:hint="eastAsia" w:ascii="楷体" w:hAnsi="楷体" w:eastAsia="楷体" w:cs="楷体"/>
          <w:sz w:val="33"/>
          <w:szCs w:val="33"/>
        </w:rPr>
      </w:pPr>
      <w:r>
        <w:rPr>
          <w:rFonts w:hint="eastAsia" w:ascii="楷体" w:hAnsi="楷体" w:eastAsia="楷体" w:cs="楷体"/>
          <w:sz w:val="33"/>
          <w:szCs w:val="33"/>
          <w:lang w:eastAsia="zh-CN"/>
        </w:rPr>
        <w:t>3.</w:t>
      </w:r>
      <w:r>
        <w:rPr>
          <w:rFonts w:hint="eastAsia" w:ascii="楷体" w:hAnsi="楷体" w:eastAsia="楷体" w:cs="楷体"/>
          <w:sz w:val="33"/>
          <w:szCs w:val="33"/>
        </w:rPr>
        <w:t>目标实现</w:t>
      </w:r>
    </w:p>
    <w:p w14:paraId="6273D482">
      <w:pPr>
        <w:widowControl/>
        <w:numPr>
          <w:ilvl w:val="0"/>
          <w:numId w:val="0"/>
        </w:numPr>
        <w:spacing w:line="590" w:lineRule="exact"/>
        <w:ind w:firstLine="660" w:firstLineChars="200"/>
        <w:contextualSpacing/>
        <w:rPr>
          <w:rFonts w:hint="eastAsia" w:eastAsia="仿宋_GB2312"/>
          <w:sz w:val="32"/>
          <w:lang w:val="en-US" w:eastAsia="zh-CN"/>
        </w:rPr>
      </w:pPr>
      <w:r>
        <w:rPr>
          <w:rFonts w:hint="eastAsia" w:eastAsia="仿宋_GB2312"/>
          <w:sz w:val="33"/>
          <w:szCs w:val="33"/>
        </w:rPr>
        <w:t>自评得分</w:t>
      </w:r>
      <w:r>
        <w:rPr>
          <w:rFonts w:hint="eastAsia" w:eastAsia="仿宋_GB2312"/>
          <w:sz w:val="33"/>
          <w:szCs w:val="33"/>
          <w:lang w:val="en-US" w:eastAsia="zh-CN"/>
        </w:rPr>
        <w:t>10</w:t>
      </w:r>
      <w:r>
        <w:rPr>
          <w:rFonts w:hint="eastAsia" w:eastAsia="仿宋_GB2312"/>
          <w:sz w:val="33"/>
          <w:szCs w:val="33"/>
        </w:rPr>
        <w:t>分。</w:t>
      </w:r>
      <w:r>
        <w:rPr>
          <w:rFonts w:hint="eastAsia" w:eastAsia="仿宋_GB2312"/>
          <w:sz w:val="33"/>
          <w:szCs w:val="33"/>
          <w:lang w:val="en-US" w:eastAsia="zh-CN"/>
        </w:rPr>
        <w:t>2025年度</w:t>
      </w:r>
      <w:r>
        <w:rPr>
          <w:rFonts w:hint="eastAsia" w:eastAsia="仿宋_GB2312"/>
          <w:sz w:val="33"/>
          <w:szCs w:val="33"/>
          <w:lang w:eastAsia="zh-CN"/>
        </w:rPr>
        <w:t>新增耕地和双挂钩指标款、征地拆迁、不动产登记中心房租、偿还被征地农民养老保险贷款、地质灾害、规划编制服务、村庄国土空间规划、仁沐新红线外、土地整理等</w:t>
      </w:r>
      <w:r>
        <w:rPr>
          <w:rFonts w:hint="eastAsia" w:eastAsia="仿宋_GB2312"/>
          <w:sz w:val="33"/>
          <w:szCs w:val="33"/>
          <w:lang w:val="en-US" w:eastAsia="zh-CN"/>
        </w:rPr>
        <w:t>17</w:t>
      </w:r>
      <w:r>
        <w:rPr>
          <w:rFonts w:hint="eastAsia" w:eastAsia="仿宋_GB2312"/>
          <w:sz w:val="33"/>
          <w:szCs w:val="33"/>
        </w:rPr>
        <w:t>个项目进行了全覆盖绩效</w:t>
      </w:r>
      <w:r>
        <w:rPr>
          <w:rFonts w:hint="eastAsia" w:eastAsia="仿宋_GB2312"/>
          <w:sz w:val="33"/>
          <w:szCs w:val="33"/>
          <w:lang w:eastAsia="zh-CN"/>
        </w:rPr>
        <w:t>目标</w:t>
      </w:r>
      <w:r>
        <w:rPr>
          <w:rFonts w:hint="eastAsia" w:eastAsia="仿宋_GB2312"/>
          <w:sz w:val="33"/>
          <w:szCs w:val="33"/>
        </w:rPr>
        <w:t>评估，对所有项目执行进度、实施情况以及绩效目标实施程度进行绩效监控，</w:t>
      </w:r>
      <w:r>
        <w:rPr>
          <w:rFonts w:hint="eastAsia" w:eastAsia="仿宋_GB2312"/>
          <w:sz w:val="33"/>
          <w:szCs w:val="33"/>
          <w:lang w:eastAsia="zh-CN"/>
        </w:rPr>
        <w:t>所有项目内容基本完成</w:t>
      </w:r>
      <w:r>
        <w:rPr>
          <w:rFonts w:hint="eastAsia" w:eastAsia="仿宋_GB2312"/>
          <w:sz w:val="33"/>
          <w:szCs w:val="33"/>
        </w:rPr>
        <w:t>，绩效目标基本实现</w:t>
      </w:r>
      <w:r>
        <w:rPr>
          <w:rFonts w:hint="eastAsia" w:eastAsia="仿宋_GB2312"/>
          <w:sz w:val="33"/>
          <w:szCs w:val="33"/>
          <w:lang w:eastAsia="zh-CN"/>
        </w:rPr>
        <w:t>。</w:t>
      </w:r>
    </w:p>
    <w:p w14:paraId="56E7E7CB">
      <w:pPr>
        <w:numPr>
          <w:ilvl w:val="0"/>
          <w:numId w:val="2"/>
        </w:numPr>
        <w:spacing w:line="590" w:lineRule="exact"/>
        <w:ind w:left="0" w:leftChars="0" w:firstLine="663" w:firstLineChars="200"/>
        <w:rPr>
          <w:rFonts w:hint="eastAsia" w:eastAsia="仿宋_GB2312"/>
          <w:color w:val="000000"/>
          <w:kern w:val="0"/>
          <w:sz w:val="33"/>
          <w:szCs w:val="33"/>
          <w:shd w:val="clear" w:color="auto" w:fill="FFFFFF"/>
          <w:lang w:val="zh-CN"/>
        </w:rPr>
      </w:pPr>
      <w:r>
        <w:rPr>
          <w:rFonts w:eastAsia="楷体_GB2312"/>
          <w:b/>
          <w:bCs/>
          <w:sz w:val="33"/>
          <w:szCs w:val="33"/>
          <w:lang w:val="zh-CN"/>
        </w:rPr>
        <w:t>绩效结果应用情况</w:t>
      </w:r>
      <w:r>
        <w:rPr>
          <w:rFonts w:hint="eastAsia" w:eastAsia="楷体_GB2312"/>
          <w:b/>
          <w:bCs/>
          <w:sz w:val="33"/>
          <w:szCs w:val="33"/>
          <w:lang w:val="zh-CN"/>
        </w:rPr>
        <w:t>。</w:t>
      </w:r>
    </w:p>
    <w:p w14:paraId="34BAE557">
      <w:pPr>
        <w:numPr>
          <w:ilvl w:val="0"/>
          <w:numId w:val="0"/>
        </w:numPr>
        <w:spacing w:line="590" w:lineRule="exact"/>
        <w:ind w:firstLine="660" w:firstLineChars="200"/>
        <w:rPr>
          <w:rFonts w:eastAsia="仿宋_GB2312" w:cs="仿宋_GB2312"/>
          <w:b/>
          <w:sz w:val="33"/>
          <w:szCs w:val="33"/>
        </w:rPr>
      </w:pPr>
      <w:r>
        <w:rPr>
          <w:rFonts w:hint="eastAsia" w:eastAsia="仿宋_GB2312"/>
          <w:color w:val="000000"/>
          <w:kern w:val="0"/>
          <w:sz w:val="33"/>
          <w:szCs w:val="33"/>
          <w:shd w:val="clear" w:color="auto" w:fill="FFFFFF"/>
          <w:lang w:val="zh-CN"/>
        </w:rPr>
        <w:t>一是借助绩效评价推动加强预算管理，深化部门对预算管理工作重要性的认识，增强绩效意识，进而提高部门和单位整体绩效水平。二是把绩效评价结果应用到下一年度预算编制工作中，使预算编制更加注重绩效导向，科学合理设置可实现的绩效目标，产出与效益、定性与定量结合，明确具体绩效指标，为后续绩效监控和评价工作打好基础。三是在预算执行过程中，按月申请用款计划，实时跟踪进度，强化项目运行监控，提高资金执行效率。部门整体支出绩效自评数据真实、准确，部门整体支出绩效自评认真，仔细，质量高。</w:t>
      </w:r>
    </w:p>
    <w:p w14:paraId="457A7AAB">
      <w:pPr>
        <w:widowControl/>
        <w:spacing w:line="590" w:lineRule="exact"/>
        <w:ind w:firstLine="660" w:firstLineChars="200"/>
        <w:contextualSpacing/>
        <w:rPr>
          <w:rFonts w:eastAsia="黑体"/>
          <w:color w:val="000000"/>
          <w:kern w:val="0"/>
          <w:sz w:val="33"/>
          <w:szCs w:val="33"/>
          <w:shd w:val="clear" w:color="auto" w:fill="FFFFFF"/>
        </w:rPr>
      </w:pPr>
      <w:r>
        <w:rPr>
          <w:rFonts w:eastAsia="黑体"/>
          <w:color w:val="000000"/>
          <w:kern w:val="0"/>
          <w:sz w:val="33"/>
          <w:szCs w:val="33"/>
          <w:shd w:val="clear" w:color="auto" w:fill="FFFFFF"/>
        </w:rPr>
        <w:t>四、评价结论及建议</w:t>
      </w:r>
    </w:p>
    <w:p w14:paraId="4C68F873">
      <w:pPr>
        <w:spacing w:line="590" w:lineRule="exact"/>
        <w:ind w:firstLine="663" w:firstLineChars="200"/>
        <w:contextualSpacing/>
        <w:rPr>
          <w:rFonts w:hint="eastAsia" w:eastAsia="仿宋_GB2312" w:cs="仿宋_GB2312"/>
          <w:kern w:val="0"/>
          <w:sz w:val="33"/>
          <w:szCs w:val="33"/>
        </w:rPr>
      </w:pPr>
      <w:r>
        <w:rPr>
          <w:rFonts w:eastAsia="楷体_GB2312"/>
          <w:b/>
          <w:bCs/>
          <w:color w:val="000000"/>
          <w:kern w:val="0"/>
          <w:sz w:val="33"/>
          <w:szCs w:val="33"/>
          <w:shd w:val="clear" w:color="auto" w:fill="FFFFFF"/>
          <w:lang w:val="zh-CN"/>
        </w:rPr>
        <w:t>（一）评价结论。</w:t>
      </w:r>
    </w:p>
    <w:p w14:paraId="7152928A">
      <w:pPr>
        <w:spacing w:line="590" w:lineRule="exact"/>
        <w:ind w:firstLine="660" w:firstLineChars="200"/>
        <w:contextualSpacing/>
        <w:rPr>
          <w:rFonts w:hint="eastAsia" w:eastAsia="仿宋_GB2312" w:cs="仿宋_GB2312"/>
          <w:kern w:val="0"/>
          <w:sz w:val="33"/>
          <w:szCs w:val="33"/>
        </w:rPr>
      </w:pPr>
      <w:r>
        <w:rPr>
          <w:rFonts w:hint="eastAsia" w:eastAsia="仿宋_GB2312" w:cs="仿宋_GB2312"/>
          <w:kern w:val="0"/>
          <w:sz w:val="33"/>
          <w:szCs w:val="33"/>
        </w:rPr>
        <w:t>202</w:t>
      </w:r>
      <w:r>
        <w:rPr>
          <w:rFonts w:hint="eastAsia" w:eastAsia="仿宋_GB2312" w:cs="仿宋_GB2312"/>
          <w:kern w:val="0"/>
          <w:sz w:val="33"/>
          <w:szCs w:val="33"/>
          <w:lang w:val="en-US" w:eastAsia="zh-CN"/>
        </w:rPr>
        <w:t>5</w:t>
      </w:r>
      <w:r>
        <w:rPr>
          <w:rFonts w:hint="eastAsia" w:eastAsia="仿宋_GB2312" w:cs="仿宋_GB2312"/>
          <w:kern w:val="0"/>
          <w:sz w:val="33"/>
          <w:szCs w:val="33"/>
        </w:rPr>
        <w:t>年，我局按照年初预算批复认真组织实施，严格执行财经纪律相关管理规定，基本做到了各项收支安排使用符合单位发展计划和财政政策的要求，确保了单位正常运行和各类项目的顺利实施，目标任务基本完成，预算执行良好，财政资金支出绩效良好，综合自评得分9</w:t>
      </w:r>
      <w:r>
        <w:rPr>
          <w:rFonts w:hint="eastAsia" w:eastAsia="仿宋_GB2312" w:cs="仿宋_GB2312"/>
          <w:kern w:val="0"/>
          <w:sz w:val="33"/>
          <w:szCs w:val="33"/>
          <w:lang w:val="en-US" w:eastAsia="zh-CN"/>
        </w:rPr>
        <w:t>2</w:t>
      </w:r>
      <w:r>
        <w:rPr>
          <w:rFonts w:hint="eastAsia" w:eastAsia="仿宋_GB2312" w:cs="仿宋_GB2312"/>
          <w:kern w:val="0"/>
          <w:sz w:val="33"/>
          <w:szCs w:val="33"/>
        </w:rPr>
        <w:t>分。</w:t>
      </w:r>
    </w:p>
    <w:p w14:paraId="441D736F">
      <w:pPr>
        <w:spacing w:line="590" w:lineRule="exact"/>
        <w:ind w:firstLine="663" w:firstLineChars="200"/>
        <w:contextualSpacing/>
        <w:rPr>
          <w:rFonts w:eastAsia="楷体_GB2312"/>
          <w:b/>
          <w:bCs/>
          <w:color w:val="000000"/>
          <w:kern w:val="0"/>
          <w:sz w:val="33"/>
          <w:szCs w:val="33"/>
          <w:shd w:val="clear" w:color="auto" w:fill="FFFFFF"/>
        </w:rPr>
      </w:pPr>
      <w:r>
        <w:rPr>
          <w:rFonts w:eastAsia="楷体_GB2312"/>
          <w:b/>
          <w:bCs/>
          <w:color w:val="000000"/>
          <w:kern w:val="0"/>
          <w:sz w:val="33"/>
          <w:szCs w:val="33"/>
          <w:shd w:val="clear" w:color="auto" w:fill="FFFFFF"/>
          <w:lang w:val="zh-CN"/>
        </w:rPr>
        <w:t>（二）存在问题。</w:t>
      </w:r>
      <w:r>
        <w:rPr>
          <w:rFonts w:hint="eastAsia" w:eastAsia="仿宋_GB2312" w:cs="仿宋_GB2312"/>
          <w:w w:val="95"/>
          <w:kern w:val="0"/>
          <w:sz w:val="33"/>
          <w:szCs w:val="33"/>
        </w:rPr>
        <w:t>202</w:t>
      </w:r>
      <w:r>
        <w:rPr>
          <w:rFonts w:hint="eastAsia" w:eastAsia="仿宋_GB2312" w:cs="仿宋_GB2312"/>
          <w:w w:val="95"/>
          <w:kern w:val="0"/>
          <w:sz w:val="33"/>
          <w:szCs w:val="33"/>
          <w:lang w:val="en-US" w:eastAsia="zh-CN"/>
        </w:rPr>
        <w:t>5</w:t>
      </w:r>
      <w:r>
        <w:rPr>
          <w:rFonts w:hint="eastAsia" w:eastAsia="仿宋_GB2312" w:cs="仿宋_GB2312"/>
          <w:w w:val="95"/>
          <w:kern w:val="0"/>
          <w:sz w:val="33"/>
          <w:szCs w:val="33"/>
        </w:rPr>
        <w:t>年度较好</w:t>
      </w:r>
      <w:r>
        <w:rPr>
          <w:rFonts w:hint="eastAsia" w:eastAsia="仿宋_GB2312" w:cs="仿宋_GB2312"/>
          <w:w w:val="95"/>
          <w:kern w:val="0"/>
          <w:sz w:val="33"/>
          <w:szCs w:val="33"/>
          <w:lang w:eastAsia="zh-CN"/>
        </w:rPr>
        <w:t>地</w:t>
      </w:r>
      <w:r>
        <w:rPr>
          <w:rFonts w:hint="eastAsia" w:eastAsia="仿宋_GB2312" w:cs="仿宋_GB2312"/>
          <w:w w:val="95"/>
          <w:kern w:val="0"/>
          <w:sz w:val="33"/>
          <w:szCs w:val="33"/>
        </w:rPr>
        <w:t>完成财政资金的预算执行情况，但仍</w:t>
      </w:r>
      <w:r>
        <w:rPr>
          <w:rFonts w:hint="eastAsia" w:eastAsia="仿宋_GB2312" w:cs="仿宋_GB2312"/>
          <w:w w:val="95"/>
          <w:kern w:val="0"/>
          <w:sz w:val="33"/>
          <w:szCs w:val="33"/>
          <w:lang w:eastAsia="zh-CN"/>
        </w:rPr>
        <w:t>存在</w:t>
      </w:r>
      <w:r>
        <w:rPr>
          <w:rFonts w:hint="eastAsia" w:eastAsia="仿宋_GB2312" w:cs="仿宋_GB2312"/>
          <w:w w:val="95"/>
          <w:kern w:val="0"/>
          <w:sz w:val="33"/>
          <w:szCs w:val="33"/>
        </w:rPr>
        <w:t>预算编制不够精细，有的预算支出项目具有预测性和不确定性，在预算执行过程中资金有较大增减变化。</w:t>
      </w:r>
    </w:p>
    <w:p w14:paraId="65D9F240">
      <w:pPr>
        <w:spacing w:line="590" w:lineRule="exact"/>
        <w:ind w:firstLine="663" w:firstLineChars="200"/>
        <w:contextualSpacing/>
        <w:rPr>
          <w:rFonts w:hint="eastAsia" w:eastAsia="仿宋_GB2312" w:cs="仿宋_GB2312"/>
          <w:kern w:val="0"/>
          <w:sz w:val="33"/>
          <w:szCs w:val="33"/>
        </w:rPr>
      </w:pPr>
      <w:r>
        <w:rPr>
          <w:rFonts w:eastAsia="楷体_GB2312"/>
          <w:b/>
          <w:bCs/>
          <w:color w:val="000000"/>
          <w:kern w:val="0"/>
          <w:sz w:val="33"/>
          <w:szCs w:val="33"/>
          <w:shd w:val="clear" w:color="auto" w:fill="FFFFFF"/>
          <w:lang w:val="zh-CN"/>
        </w:rPr>
        <w:t>（三）改进建议。</w:t>
      </w:r>
      <w:r>
        <w:rPr>
          <w:rFonts w:hint="eastAsia" w:eastAsia="仿宋_GB2312" w:cs="仿宋_GB2312"/>
          <w:kern w:val="0"/>
          <w:sz w:val="33"/>
          <w:szCs w:val="33"/>
        </w:rPr>
        <w:t>加强项目绩效管理，科学合理编制预算，增强预算执行力。加强预算编制的前瞻性，按政策规定及本部门的发展规划，结合上一年度预算执行情况和本年度预算收支变化因素，科学合理编制本年预算，避免项目支出与基本支出划分不准，预算支出与实际执行出现偏差。加强预算支出的审核、跟踪及预算执行情况的分析，提高预算编制科学性、严谨性和可控性，切实提高财政资金使用效益。</w:t>
      </w:r>
    </w:p>
    <w:p w14:paraId="5931E64F">
      <w:pPr>
        <w:pStyle w:val="2"/>
      </w:pPr>
    </w:p>
    <w:p w14:paraId="7372EFB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6"/>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7"/>
        <w:gridCol w:w="1201"/>
        <w:gridCol w:w="4565"/>
        <w:gridCol w:w="1335"/>
        <w:gridCol w:w="1845"/>
        <w:gridCol w:w="391"/>
        <w:gridCol w:w="478"/>
      </w:tblGrid>
      <w:tr w14:paraId="1ED56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1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720B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E21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391" w:type="dxa"/>
            <w:vMerge w:val="restart"/>
            <w:tcBorders>
              <w:top w:val="single" w:color="000000" w:sz="4" w:space="0"/>
              <w:left w:val="single" w:color="000000" w:sz="4" w:space="0"/>
              <w:right w:val="single" w:color="000000" w:sz="4" w:space="0"/>
            </w:tcBorders>
            <w:shd w:val="clear" w:color="auto" w:fill="auto"/>
            <w:vAlign w:val="center"/>
          </w:tcPr>
          <w:p w14:paraId="0E5E4E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D5F4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313F3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74F6C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6A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0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B9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73581">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391" w:type="dxa"/>
            <w:vMerge w:val="continue"/>
            <w:tcBorders>
              <w:left w:val="single" w:color="000000" w:sz="4" w:space="0"/>
              <w:bottom w:val="single" w:color="000000" w:sz="4" w:space="0"/>
              <w:right w:val="single" w:color="000000" w:sz="4" w:space="0"/>
            </w:tcBorders>
            <w:shd w:val="clear" w:color="auto" w:fill="auto"/>
            <w:vAlign w:val="center"/>
          </w:tcPr>
          <w:p w14:paraId="2BD5FCA2">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9A0F204">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5C627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0"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14E26F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总体绩效（65分）</w:t>
            </w: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23DDB2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3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zh-CN" w:eastAsia="zh-CN" w:bidi="ar"/>
              </w:rPr>
              <w:t>做好耕地保护工作。耕地总量与质量实现双保。持续指导2024年恢复补充地块收尾，并利用2025年日常变更调查举证新增耕地。永久基本农田布局持续优化。扎实推进储备区补充更新及正向优化调整。开展全县临时用地巡查和自查清理。</w:t>
            </w:r>
          </w:p>
        </w:tc>
        <w:tc>
          <w:tcPr>
            <w:tcW w:w="1335" w:type="dxa"/>
            <w:vMerge w:val="restart"/>
            <w:tcBorders>
              <w:top w:val="nil"/>
              <w:left w:val="single" w:color="000000" w:sz="4" w:space="0"/>
              <w:right w:val="single" w:color="000000" w:sz="4" w:space="0"/>
            </w:tcBorders>
            <w:shd w:val="clear" w:color="auto" w:fill="auto"/>
            <w:vAlign w:val="center"/>
          </w:tcPr>
          <w:p w14:paraId="45FF9E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845" w:type="dxa"/>
            <w:vMerge w:val="restart"/>
            <w:tcBorders>
              <w:top w:val="single" w:color="000000" w:sz="4" w:space="0"/>
              <w:left w:val="single" w:color="000000" w:sz="4" w:space="0"/>
              <w:right w:val="single" w:color="000000" w:sz="4" w:space="0"/>
            </w:tcBorders>
            <w:shd w:val="clear" w:color="auto" w:fill="auto"/>
            <w:vAlign w:val="center"/>
          </w:tcPr>
          <w:p w14:paraId="3969D1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5个核心职能目标，反映该项职能目标完成效果情况</w:t>
            </w:r>
          </w:p>
        </w:tc>
        <w:tc>
          <w:tcPr>
            <w:tcW w:w="391" w:type="dxa"/>
            <w:vMerge w:val="restart"/>
            <w:tcBorders>
              <w:top w:val="single" w:color="000000" w:sz="4" w:space="0"/>
              <w:left w:val="single" w:color="000000" w:sz="4" w:space="0"/>
              <w:right w:val="single" w:color="000000" w:sz="4" w:space="0"/>
            </w:tcBorders>
            <w:shd w:val="clear" w:color="auto" w:fill="auto"/>
            <w:vAlign w:val="center"/>
          </w:tcPr>
          <w:p w14:paraId="055F30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FE7E2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8722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702B7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55E3D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C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扎实推进田长制工作。根据人员变动情况，同步完成乡村两级田长、网格员动态调整及巡田平台信息更新。</w:t>
            </w:r>
          </w:p>
        </w:tc>
        <w:tc>
          <w:tcPr>
            <w:tcW w:w="1335" w:type="dxa"/>
            <w:vMerge w:val="continue"/>
            <w:tcBorders>
              <w:left w:val="single" w:color="000000" w:sz="4" w:space="0"/>
              <w:right w:val="single" w:color="000000" w:sz="4" w:space="0"/>
            </w:tcBorders>
            <w:shd w:val="clear" w:color="auto" w:fill="auto"/>
            <w:vAlign w:val="center"/>
          </w:tcPr>
          <w:p w14:paraId="11BEF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344E4C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6EFBB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74A1D7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72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454D32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219D2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C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不动产登记服务提质增效成果显著。落实“一窗受理、并行办理”，平均办理时间缩短40%。建立机制累计化解林权登记历史遗留问题，推动国家储备林建设林权流转。建立“党委、政府主导、部门协同联动”机制，化解房屋不动产“登记难”问题。</w:t>
            </w:r>
          </w:p>
        </w:tc>
        <w:tc>
          <w:tcPr>
            <w:tcW w:w="1335" w:type="dxa"/>
            <w:vMerge w:val="continue"/>
            <w:tcBorders>
              <w:left w:val="single" w:color="000000" w:sz="4" w:space="0"/>
              <w:right w:val="single" w:color="000000" w:sz="4" w:space="0"/>
            </w:tcBorders>
            <w:shd w:val="clear" w:color="auto" w:fill="auto"/>
            <w:vAlign w:val="center"/>
          </w:tcPr>
          <w:p w14:paraId="33F7D1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5648B1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56952C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31C64C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5CAA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391FC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7D5572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7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全力做好地灾防治工作。基础防治工作扎实有力。依托专业技术人员常态化巡排查。联合县气象部门发布预警信息。组织技术支撑单位开展地质灾害专项排查、“三查”及更新调查。组织县级防治培训，指导各乡镇开展隐患点应急演练。成立汛期应急值守队伍，安排专人参与联合值班。全年完成地质灾害隐患点工程治理7处、避险搬迁14户。完成35处隐患点应急广播安装，实现全覆盖。</w:t>
            </w:r>
          </w:p>
        </w:tc>
        <w:tc>
          <w:tcPr>
            <w:tcW w:w="1335" w:type="dxa"/>
            <w:vMerge w:val="continue"/>
            <w:tcBorders>
              <w:left w:val="single" w:color="000000" w:sz="4" w:space="0"/>
              <w:right w:val="single" w:color="000000" w:sz="4" w:space="0"/>
            </w:tcBorders>
            <w:shd w:val="clear" w:color="auto" w:fill="auto"/>
            <w:vAlign w:val="center"/>
          </w:tcPr>
          <w:p w14:paraId="487DF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15BC20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06CD1A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59DB62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DB5C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5" w:hRule="atLeast"/>
          <w:jc w:val="center"/>
        </w:trPr>
        <w:tc>
          <w:tcPr>
            <w:tcW w:w="1097" w:type="dxa"/>
            <w:vMerge w:val="continue"/>
            <w:tcBorders>
              <w:left w:val="single" w:color="000000" w:sz="4" w:space="0"/>
              <w:right w:val="single" w:color="000000" w:sz="4" w:space="0"/>
            </w:tcBorders>
            <w:shd w:val="clear" w:color="auto" w:fill="auto"/>
            <w:vAlign w:val="center"/>
          </w:tcPr>
          <w:p w14:paraId="08FB04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124D3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39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调查监测与空间治理能力增强。全力推进耕林园空间治理“一张图”建设，完成第二轮试划；重点推进2025年度国土变更调查工作。《沐川县新城区国土空间详细规划》成果已获县政府批复。累计开展规划巡查，强化过程监管。</w:t>
            </w:r>
          </w:p>
          <w:p w14:paraId="4CDAB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right w:val="single" w:color="000000" w:sz="4" w:space="0"/>
            </w:tcBorders>
            <w:shd w:val="clear" w:color="auto" w:fill="auto"/>
            <w:vAlign w:val="center"/>
          </w:tcPr>
          <w:p w14:paraId="3F1E59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7A24A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29722B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192F8C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68F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jc w:val="center"/>
        </w:trPr>
        <w:tc>
          <w:tcPr>
            <w:tcW w:w="1097" w:type="dxa"/>
            <w:vMerge w:val="continue"/>
            <w:tcBorders>
              <w:left w:val="single" w:color="000000" w:sz="4" w:space="0"/>
              <w:right w:val="single" w:color="000000" w:sz="4" w:space="0"/>
            </w:tcBorders>
            <w:shd w:val="clear" w:color="auto" w:fill="auto"/>
            <w:vAlign w:val="center"/>
          </w:tcPr>
          <w:p w14:paraId="61131A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4EDD0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3D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zh-CN" w:eastAsia="zh-CN" w:bidi="ar"/>
              </w:rPr>
              <w:t>二是强化资源要素保障。建设项目用地预审与选址规范从严，全年完成用地预审9宗，取得用地指标约163亩</w:t>
            </w:r>
            <w:r>
              <w:rPr>
                <w:rFonts w:hint="eastAsia" w:ascii="宋体" w:hAnsi="宋体" w:cs="宋体"/>
                <w:i w:val="0"/>
                <w:color w:val="000000"/>
                <w:kern w:val="0"/>
                <w:sz w:val="24"/>
                <w:szCs w:val="24"/>
                <w:u w:val="none"/>
                <w:lang w:val="zh-CN" w:eastAsia="zh-CN" w:bidi="ar"/>
              </w:rPr>
              <w:t>；</w:t>
            </w:r>
            <w:r>
              <w:rPr>
                <w:rFonts w:hint="eastAsia" w:ascii="宋体" w:hAnsi="宋体" w:eastAsia="宋体" w:cs="宋体"/>
                <w:i w:val="0"/>
                <w:color w:val="000000"/>
                <w:kern w:val="0"/>
                <w:sz w:val="24"/>
                <w:szCs w:val="24"/>
                <w:u w:val="none"/>
                <w:lang w:val="zh-CN" w:eastAsia="zh-CN" w:bidi="ar"/>
              </w:rPr>
              <w:t>在农村“一二三”产业融合发展用地保障领域取得突破，获取指标约20亩</w:t>
            </w:r>
            <w:r>
              <w:rPr>
                <w:rFonts w:hint="eastAsia" w:ascii="宋体" w:hAnsi="宋体" w:cs="宋体"/>
                <w:i w:val="0"/>
                <w:color w:val="000000"/>
                <w:kern w:val="0"/>
                <w:sz w:val="24"/>
                <w:szCs w:val="24"/>
                <w:u w:val="none"/>
                <w:lang w:val="zh-CN" w:eastAsia="zh-CN" w:bidi="ar"/>
              </w:rPr>
              <w:t>；</w:t>
            </w:r>
            <w:r>
              <w:rPr>
                <w:rFonts w:hint="eastAsia" w:ascii="宋体" w:hAnsi="宋体" w:eastAsia="宋体" w:cs="宋体"/>
                <w:i w:val="0"/>
                <w:color w:val="000000"/>
                <w:kern w:val="0"/>
                <w:sz w:val="24"/>
                <w:szCs w:val="24"/>
                <w:u w:val="none"/>
                <w:lang w:val="zh-CN" w:eastAsia="zh-CN" w:bidi="ar"/>
              </w:rPr>
              <w:t>完成农村宅基地农用地转用审核，保障用地约112亩。</w:t>
            </w:r>
          </w:p>
          <w:p w14:paraId="480FD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right w:val="single" w:color="000000" w:sz="4" w:space="0"/>
            </w:tcBorders>
            <w:shd w:val="clear" w:color="auto" w:fill="auto"/>
            <w:vAlign w:val="center"/>
          </w:tcPr>
          <w:p w14:paraId="580D5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2D9173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6EDC00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0DF6F4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4C3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5DDD9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bottom w:val="single" w:color="000000" w:sz="4" w:space="0"/>
              <w:right w:val="single" w:color="000000" w:sz="4" w:space="0"/>
            </w:tcBorders>
            <w:shd w:val="clear" w:color="auto" w:fill="auto"/>
            <w:vAlign w:val="center"/>
          </w:tcPr>
          <w:p w14:paraId="234AC9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D8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有序调控土地利用与市场。加大批而未供闲置土地的处置力度。严格落实土地“增存挂钩”机制，对批而未供和闲置土地逐宗核实梳理，建立处置台账。</w:t>
            </w:r>
          </w:p>
          <w:p w14:paraId="14DF2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bottom w:val="single" w:color="000000" w:sz="4" w:space="0"/>
              <w:right w:val="single" w:color="000000" w:sz="4" w:space="0"/>
            </w:tcBorders>
            <w:shd w:val="clear" w:color="auto" w:fill="auto"/>
            <w:vAlign w:val="center"/>
          </w:tcPr>
          <w:p w14:paraId="6FEB3C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bottom w:val="single" w:color="000000" w:sz="4" w:space="0"/>
              <w:right w:val="single" w:color="000000" w:sz="4" w:space="0"/>
            </w:tcBorders>
            <w:shd w:val="clear" w:color="auto" w:fill="auto"/>
            <w:vAlign w:val="center"/>
          </w:tcPr>
          <w:p w14:paraId="22D2D0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bottom w:val="single" w:color="000000" w:sz="4" w:space="0"/>
              <w:right w:val="single" w:color="000000" w:sz="4" w:space="0"/>
            </w:tcBorders>
            <w:shd w:val="clear" w:color="auto" w:fill="auto"/>
            <w:vAlign w:val="center"/>
          </w:tcPr>
          <w:p w14:paraId="27A273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6982A2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FA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32D34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09A13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E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4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EB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D0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49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A58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12069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4F74D0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3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6F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46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部门统筹自有收入努力程度</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FE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95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650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097" w:type="dxa"/>
            <w:vMerge w:val="continue"/>
            <w:tcBorders>
              <w:left w:val="single" w:color="000000" w:sz="4" w:space="0"/>
              <w:right w:val="single" w:color="000000" w:sz="4" w:space="0"/>
            </w:tcBorders>
            <w:shd w:val="clear" w:color="auto" w:fill="auto"/>
            <w:vAlign w:val="center"/>
          </w:tcPr>
          <w:p w14:paraId="2DD9B1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50D2A9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9F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支出执行管理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A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5D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4A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B2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94D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B273E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6F603D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E9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13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C0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FA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D9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16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0EBCFA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030617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0A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严控一般性支出</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8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B5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部门严控“三公”经费、会议、培训、差旅、办节办展、办公设备购置、信息化建设和运维、课题经费、竞赛活动、规划编制一般性支出情况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2A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0E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7465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8094A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7A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F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91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6D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B0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9C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18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05741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043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2D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8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B7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F1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89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04F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6C7FF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E57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C4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3C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FA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AC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79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BD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A1088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770D5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p w14:paraId="0942F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6C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19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DD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61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60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EC1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6E22D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48A2C9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3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11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460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5A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32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2CF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B11B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bottom w:val="single" w:color="000000" w:sz="4" w:space="0"/>
              <w:right w:val="single" w:color="000000" w:sz="4" w:space="0"/>
            </w:tcBorders>
            <w:shd w:val="clear" w:color="auto" w:fill="auto"/>
            <w:vAlign w:val="center"/>
          </w:tcPr>
          <w:p w14:paraId="7509D7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B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B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2A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9E7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A6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6FCA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99CAB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F5E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1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BB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87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AC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25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75D1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6AEDCE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D92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8D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47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35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F3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A5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B47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D27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769A7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70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7D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98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FE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67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AC08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D35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D1C94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77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C2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48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A9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63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3FDE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123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C4BEB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1C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4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57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1C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BF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1AF7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DA4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36BD9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5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66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A8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7C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96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128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C8A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47E4D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nil"/>
              <w:right w:val="single" w:color="000000" w:sz="4" w:space="0"/>
            </w:tcBorders>
            <w:shd w:val="clear" w:color="auto" w:fill="auto"/>
            <w:vAlign w:val="center"/>
          </w:tcPr>
          <w:p w14:paraId="6E07DC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2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6D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A5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F4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87D4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A87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BF9CF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B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FB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54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55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88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2C2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D11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C04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B6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0E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2A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7A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78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912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172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51B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F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BF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1A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03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F1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327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67E4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E8D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5B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8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9F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92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70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E1A8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E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57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398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5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3D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BC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74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3A3F3593">
      <w:pPr>
        <w:keepNext/>
        <w:keepLines/>
        <w:pageBreakBefore w:val="0"/>
        <w:widowControl w:val="0"/>
        <w:kinsoku/>
        <w:wordWrap/>
        <w:overflowPunct/>
        <w:topLinePunct w:val="0"/>
        <w:autoSpaceDE/>
        <w:autoSpaceDN/>
        <w:bidi w:val="0"/>
        <w:adjustRightInd/>
        <w:snapToGrid/>
        <w:spacing w:before="280" w:after="156" w:line="20" w:lineRule="exact"/>
        <w:textAlignment w:val="auto"/>
        <w:outlineLvl w:val="4"/>
        <w:rPr>
          <w:rFonts w:hint="default" w:ascii="Arial" w:hAnsi="Arial" w:eastAsia="黑体" w:cs="Times New Roman"/>
          <w:b/>
          <w:kern w:val="2"/>
          <w:sz w:val="24"/>
          <w:szCs w:val="28"/>
          <w:lang w:val="en-US" w:eastAsia="zh-CN" w:bidi="ar-SA"/>
        </w:rPr>
      </w:pPr>
    </w:p>
    <w:p w14:paraId="0BD34911">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eastAsia="仿宋_GB2312"/>
          <w:color w:val="000000"/>
          <w:kern w:val="0"/>
          <w:sz w:val="33"/>
          <w:szCs w:val="33"/>
          <w:shd w:val="clear" w:color="auto" w:fill="FFFFFF"/>
          <w:lang w:eastAsia="zh-CN"/>
        </w:rPr>
      </w:pPr>
    </w:p>
    <w:p w14:paraId="7A72E1AC">
      <w:pPr>
        <w:snapToGrid w:val="0"/>
        <w:jc w:val="center"/>
        <w:rPr>
          <w:rFonts w:ascii="华文中宋" w:hAnsi="华文中宋" w:eastAsia="华文中宋" w:cs="Times New Roman"/>
          <w:sz w:val="36"/>
          <w:szCs w:val="36"/>
        </w:rPr>
      </w:pPr>
    </w:p>
    <w:p w14:paraId="0C347AFC">
      <w:pPr>
        <w:pStyle w:val="14"/>
        <w:rPr>
          <w:rFonts w:ascii="华文中宋" w:hAnsi="华文中宋" w:eastAsia="华文中宋" w:cs="Times New Roman"/>
          <w:sz w:val="36"/>
          <w:szCs w:val="36"/>
        </w:rPr>
      </w:pPr>
    </w:p>
    <w:p w14:paraId="5A0B7FEB">
      <w:pPr>
        <w:pStyle w:val="8"/>
        <w:rPr>
          <w:rFonts w:ascii="华文中宋" w:hAnsi="华文中宋" w:eastAsia="华文中宋" w:cs="Times New Roman"/>
          <w:sz w:val="36"/>
          <w:szCs w:val="36"/>
        </w:rPr>
      </w:pPr>
    </w:p>
    <w:p w14:paraId="1456B78F">
      <w:pPr>
        <w:rPr>
          <w:rFonts w:ascii="华文中宋" w:hAnsi="华文中宋" w:eastAsia="华文中宋" w:cs="Times New Roman"/>
          <w:sz w:val="36"/>
          <w:szCs w:val="36"/>
        </w:rPr>
      </w:pPr>
    </w:p>
    <w:p w14:paraId="272A3BC3">
      <w:pPr>
        <w:pStyle w:val="14"/>
        <w:rPr>
          <w:rFonts w:ascii="华文中宋" w:hAnsi="华文中宋" w:eastAsia="华文中宋" w:cs="Times New Roman"/>
          <w:sz w:val="36"/>
          <w:szCs w:val="36"/>
        </w:rPr>
      </w:pPr>
    </w:p>
    <w:p w14:paraId="491232EF">
      <w:pPr>
        <w:pStyle w:val="8"/>
        <w:rPr>
          <w:rFonts w:ascii="华文中宋" w:hAnsi="华文中宋" w:eastAsia="华文中宋" w:cs="Times New Roman"/>
          <w:sz w:val="36"/>
          <w:szCs w:val="36"/>
        </w:rPr>
      </w:pPr>
    </w:p>
    <w:p w14:paraId="7F61E948">
      <w:pPr>
        <w:rPr>
          <w:rFonts w:ascii="华文中宋" w:hAnsi="华文中宋" w:eastAsia="华文中宋" w:cs="Times New Roman"/>
          <w:sz w:val="36"/>
          <w:szCs w:val="36"/>
        </w:rPr>
      </w:pPr>
    </w:p>
    <w:p w14:paraId="76F43E37">
      <w:pPr>
        <w:pStyle w:val="14"/>
        <w:rPr>
          <w:rFonts w:ascii="华文中宋" w:hAnsi="华文中宋" w:eastAsia="华文中宋" w:cs="Times New Roman"/>
          <w:sz w:val="36"/>
          <w:szCs w:val="36"/>
        </w:rPr>
      </w:pPr>
    </w:p>
    <w:p w14:paraId="65B25076">
      <w:pPr>
        <w:pStyle w:val="8"/>
        <w:rPr>
          <w:rFonts w:ascii="华文中宋" w:hAnsi="华文中宋" w:eastAsia="华文中宋" w:cs="Times New Roman"/>
          <w:sz w:val="36"/>
          <w:szCs w:val="36"/>
        </w:rPr>
      </w:pPr>
    </w:p>
    <w:p w14:paraId="0ADB22BD">
      <w:pPr>
        <w:rPr>
          <w:rFonts w:ascii="华文中宋" w:hAnsi="华文中宋" w:eastAsia="华文中宋" w:cs="Times New Roman"/>
          <w:sz w:val="36"/>
          <w:szCs w:val="36"/>
        </w:rPr>
      </w:pPr>
    </w:p>
    <w:p w14:paraId="2801C588">
      <w:pPr>
        <w:pStyle w:val="2"/>
      </w:pPr>
    </w:p>
    <w:p w14:paraId="1CFE93D1">
      <w:pPr>
        <w:pStyle w:val="14"/>
      </w:pPr>
    </w:p>
    <w:p w14:paraId="5F00577A">
      <w:pPr>
        <w:pStyle w:val="6"/>
        <w:rPr>
          <w:rFonts w:hint="eastAsia" w:ascii="Times New Roman" w:hAnsi="Times New Roman" w:eastAsia="黑体" w:cs="黑体"/>
          <w:color w:val="auto"/>
          <w:kern w:val="0"/>
          <w:sz w:val="32"/>
          <w:szCs w:val="32"/>
          <w:highlight w:val="none"/>
          <w:shd w:val="clear" w:color="auto" w:fill="FFFFFF"/>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7B6610C">
      <w:pPr>
        <w:pStyle w:val="6"/>
        <w:rPr>
          <w:rFonts w:hint="eastAsia" w:ascii="Times New Roman" w:hAnsi="Times New Roman" w:eastAsia="黑体" w:cs="黑体"/>
          <w:color w:val="auto"/>
          <w:kern w:val="0"/>
          <w:sz w:val="32"/>
          <w:szCs w:val="32"/>
          <w:highlight w:val="none"/>
          <w:shd w:val="clear" w:color="auto" w:fill="FFFFFF"/>
          <w:lang w:val="en-US" w:eastAsia="zh-CN"/>
        </w:rPr>
      </w:pPr>
    </w:p>
    <w:p w14:paraId="40E03497">
      <w:pPr>
        <w:keepNext w:val="0"/>
        <w:keepLines w:val="0"/>
        <w:pageBreakBefore w:val="0"/>
        <w:widowControl/>
        <w:kinsoku/>
        <w:wordWrap/>
        <w:overflowPunct/>
        <w:topLinePunct w:val="0"/>
        <w:autoSpaceDE/>
        <w:autoSpaceDN/>
        <w:bidi w:val="0"/>
        <w:adjustRightInd w:val="0"/>
        <w:snapToGrid w:val="0"/>
        <w:spacing w:before="0" w:after="0" w:line="600" w:lineRule="exact"/>
        <w:ind w:left="0"/>
        <w:jc w:val="center"/>
        <w:textAlignment w:val="auto"/>
        <w:outlineLvl w:val="0"/>
        <w:rPr>
          <w:rFonts w:hint="eastAsia" w:ascii="方正小标宋简体" w:hAnsi="方正小标宋简体" w:eastAsia="方正小标宋简体" w:cs="方正小标宋简体"/>
          <w:b w:val="0"/>
          <w:bCs w:val="0"/>
          <w:sz w:val="44"/>
          <w:szCs w:val="44"/>
        </w:rPr>
      </w:pPr>
      <w:bookmarkStart w:id="47" w:name="_Toc15396618"/>
      <w:r>
        <w:rPr>
          <w:rFonts w:hint="eastAsia" w:ascii="方正小标宋简体" w:hAnsi="方正小标宋简体" w:eastAsia="方正小标宋简体" w:cs="方正小标宋简体"/>
          <w:b w:val="0"/>
          <w:bCs w:val="0"/>
          <w:sz w:val="44"/>
          <w:szCs w:val="44"/>
        </w:rPr>
        <w:t>沐川县2025年地质灾害防治专项</w:t>
      </w:r>
      <w:r>
        <w:rPr>
          <w:rFonts w:hint="eastAsia" w:ascii="方正小标宋简体" w:hAnsi="方正小标宋简体" w:eastAsia="方正小标宋简体" w:cs="方正小标宋简体"/>
          <w:b w:val="0"/>
          <w:bCs w:val="0"/>
          <w:sz w:val="44"/>
          <w:szCs w:val="44"/>
          <w:lang w:val="en-US" w:eastAsia="zh-CN"/>
        </w:rPr>
        <w:t>资金</w:t>
      </w:r>
      <w:r>
        <w:rPr>
          <w:rFonts w:hint="eastAsia" w:ascii="方正小标宋简体" w:hAnsi="方正小标宋简体" w:eastAsia="方正小标宋简体" w:cs="方正小标宋简体"/>
          <w:b w:val="0"/>
          <w:bCs w:val="0"/>
          <w:sz w:val="44"/>
          <w:szCs w:val="44"/>
        </w:rPr>
        <w:t>预算绩效自评报告</w:t>
      </w:r>
    </w:p>
    <w:p w14:paraId="2309D691">
      <w:pPr>
        <w:pageBreakBefore w:val="0"/>
        <w:kinsoku/>
        <w:wordWrap/>
        <w:overflowPunct/>
        <w:topLinePunct w:val="0"/>
        <w:autoSpaceDE/>
        <w:autoSpaceDN/>
        <w:bidi w:val="0"/>
        <w:spacing w:line="600" w:lineRule="exact"/>
        <w:textAlignment w:val="auto"/>
        <w:rPr>
          <w:rFonts w:hint="eastAsia" w:ascii="Calibri" w:hAnsi="Calibri" w:cs="Times New Roman"/>
          <w:kern w:val="0"/>
          <w:szCs w:val="22"/>
        </w:rPr>
      </w:pPr>
    </w:p>
    <w:p w14:paraId="4413D3D2">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根据</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财政厅关于开展省级部门预算绩效自评工作的通知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川财绩〔2025〕14号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四川省自然资源厅关于开展2025年度专项资金项目绩效自评工作的通知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〔2026〕-96</w:t>
      </w:r>
      <w:r>
        <w:rPr>
          <w:rFonts w:hint="eastAsia" w:ascii="仿宋" w:hAnsi="仿宋" w:eastAsia="仿宋" w:cs="仿宋"/>
          <w:sz w:val="32"/>
          <w:szCs w:val="32"/>
          <w:lang w:eastAsia="zh-CN"/>
        </w:rPr>
        <w:t>）</w:t>
      </w:r>
      <w:r>
        <w:rPr>
          <w:rFonts w:hint="eastAsia" w:ascii="仿宋" w:hAnsi="仿宋" w:eastAsia="仿宋" w:cs="仿宋"/>
          <w:sz w:val="32"/>
          <w:szCs w:val="32"/>
        </w:rPr>
        <w:t>及预算绩效管理相关要求，现将沐川县 2025 年地质灾害防治专项预算绩效自评情况报告如下：</w:t>
      </w:r>
    </w:p>
    <w:p w14:paraId="19EF95EB">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rPr>
        <w:t>一、项目概况</w:t>
      </w:r>
      <w:r>
        <w:rPr>
          <w:rFonts w:hint="eastAsia" w:ascii="黑体" w:hAnsi="黑体" w:eastAsia="黑体" w:cs="黑体"/>
          <w:b w:val="0"/>
          <w:bCs w:val="0"/>
          <w:sz w:val="32"/>
          <w:szCs w:val="32"/>
          <w:lang w:eastAsia="zh-CN"/>
        </w:rPr>
        <w:t>和</w:t>
      </w:r>
      <w:r>
        <w:rPr>
          <w:rFonts w:hint="eastAsia" w:ascii="黑体" w:hAnsi="黑体" w:eastAsia="黑体" w:cs="黑体"/>
          <w:b w:val="0"/>
          <w:bCs w:val="0"/>
          <w:sz w:val="32"/>
          <w:szCs w:val="32"/>
          <w:lang w:val="en-US" w:eastAsia="zh-CN"/>
        </w:rPr>
        <w:t>资金下达情况</w:t>
      </w:r>
    </w:p>
    <w:p w14:paraId="00731AB5">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2025年项目总预算</w:t>
      </w:r>
      <w:r>
        <w:rPr>
          <w:rFonts w:hint="eastAsia" w:ascii="仿宋" w:hAnsi="仿宋" w:eastAsia="仿宋" w:cs="仿宋"/>
          <w:sz w:val="32"/>
          <w:szCs w:val="32"/>
          <w:lang w:val="en-US" w:eastAsia="zh-CN"/>
        </w:rPr>
        <w:t>215.94</w:t>
      </w:r>
      <w:r>
        <w:rPr>
          <w:rFonts w:hint="eastAsia" w:ascii="仿宋" w:hAnsi="仿宋" w:eastAsia="仿宋" w:cs="仿宋"/>
          <w:sz w:val="32"/>
          <w:szCs w:val="32"/>
        </w:rPr>
        <w:t>万元，</w:t>
      </w:r>
      <w:r>
        <w:rPr>
          <w:rFonts w:hint="eastAsia" w:ascii="仿宋" w:hAnsi="仿宋" w:eastAsia="仿宋" w:cs="仿宋"/>
          <w:sz w:val="32"/>
          <w:szCs w:val="32"/>
          <w:lang w:val="en-US" w:eastAsia="zh-CN"/>
        </w:rPr>
        <w:t>其中</w:t>
      </w:r>
      <w:r>
        <w:rPr>
          <w:rFonts w:hint="eastAsia" w:ascii="仿宋" w:hAnsi="仿宋" w:eastAsia="仿宋" w:cs="仿宋"/>
          <w:sz w:val="32"/>
          <w:szCs w:val="32"/>
        </w:rPr>
        <w:t>中央和省级地质灾害防治专项资金</w:t>
      </w:r>
      <w:r>
        <w:rPr>
          <w:rFonts w:hint="eastAsia" w:ascii="仿宋" w:hAnsi="仿宋" w:eastAsia="仿宋" w:cs="仿宋"/>
          <w:sz w:val="32"/>
          <w:szCs w:val="32"/>
          <w:lang w:val="en-US" w:eastAsia="zh-CN"/>
        </w:rPr>
        <w:t>199.84万元，县级财政补助16.1万元</w:t>
      </w:r>
      <w:r>
        <w:rPr>
          <w:rFonts w:hint="eastAsia" w:ascii="仿宋" w:hAnsi="仿宋" w:eastAsia="仿宋" w:cs="仿宋"/>
          <w:sz w:val="32"/>
          <w:szCs w:val="32"/>
        </w:rPr>
        <w:t>，具体分配如下：</w:t>
      </w:r>
    </w:p>
    <w:p w14:paraId="24803BE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沐川县舟坝镇乐群村11组花腔岩滑坡治理工程：</w:t>
      </w:r>
      <w:r>
        <w:rPr>
          <w:rFonts w:hint="eastAsia" w:ascii="仿宋" w:hAnsi="仿宋" w:eastAsia="仿宋" w:cs="仿宋"/>
          <w:sz w:val="32"/>
          <w:szCs w:val="32"/>
          <w:lang w:val="en-US" w:eastAsia="zh-CN"/>
        </w:rPr>
        <w:t>88.1</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其中</w:t>
      </w:r>
      <w:r>
        <w:rPr>
          <w:rFonts w:hint="eastAsia" w:ascii="仿宋" w:hAnsi="仿宋" w:eastAsia="仿宋" w:cs="仿宋"/>
          <w:sz w:val="32"/>
          <w:szCs w:val="32"/>
        </w:rPr>
        <w:t>中央和省级地质灾害防治专项资金</w:t>
      </w:r>
      <w:r>
        <w:rPr>
          <w:rFonts w:hint="eastAsia" w:ascii="仿宋" w:hAnsi="仿宋" w:eastAsia="仿宋" w:cs="仿宋"/>
          <w:sz w:val="32"/>
          <w:szCs w:val="32"/>
          <w:lang w:val="en-US" w:eastAsia="zh-CN"/>
        </w:rPr>
        <w:t>72万元，县级财政补助16.1万元，资金来源为2025年第一批中央和省级资金</w:t>
      </w:r>
      <w:r>
        <w:rPr>
          <w:rFonts w:hint="eastAsia" w:ascii="仿宋" w:hAnsi="仿宋" w:eastAsia="仿宋" w:cs="仿宋"/>
          <w:sz w:val="32"/>
          <w:szCs w:val="32"/>
          <w:lang w:eastAsia="zh-CN"/>
        </w:rPr>
        <w:t>；</w:t>
      </w:r>
    </w:p>
    <w:p w14:paraId="36E04CB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专职监测项目：</w:t>
      </w:r>
      <w:r>
        <w:rPr>
          <w:rFonts w:hint="eastAsia" w:ascii="仿宋" w:hAnsi="仿宋" w:eastAsia="仿宋" w:cs="仿宋"/>
          <w:sz w:val="32"/>
          <w:szCs w:val="32"/>
          <w:lang w:val="en-US" w:eastAsia="zh-CN"/>
        </w:rPr>
        <w:t>2025年专职监测地质灾害点44处，每处补助0.36万元/年，共计15.84</w:t>
      </w:r>
      <w:r>
        <w:rPr>
          <w:rFonts w:hint="eastAsia" w:ascii="仿宋" w:hAnsi="仿宋" w:eastAsia="仿宋" w:cs="仿宋"/>
          <w:sz w:val="32"/>
          <w:szCs w:val="32"/>
        </w:rPr>
        <w:t xml:space="preserve"> 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资金来源为2025年第一批中央和省级资金</w:t>
      </w:r>
      <w:r>
        <w:rPr>
          <w:rFonts w:hint="eastAsia" w:ascii="仿宋" w:hAnsi="仿宋" w:eastAsia="仿宋" w:cs="仿宋"/>
          <w:sz w:val="32"/>
          <w:szCs w:val="32"/>
          <w:lang w:eastAsia="zh-CN"/>
        </w:rPr>
        <w:t>；</w:t>
      </w:r>
    </w:p>
    <w:p w14:paraId="5C58928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避险搬迁项目（14户）：</w:t>
      </w:r>
      <w:r>
        <w:rPr>
          <w:rFonts w:hint="eastAsia" w:ascii="仿宋" w:hAnsi="仿宋" w:eastAsia="仿宋" w:cs="仿宋"/>
          <w:sz w:val="32"/>
          <w:szCs w:val="32"/>
          <w:lang w:val="en-US" w:eastAsia="zh-CN"/>
        </w:rPr>
        <w:t>沐川县2025第一批地质灾害搬迁农户14户，每户补助3.5万元，共计补助</w:t>
      </w:r>
      <w:r>
        <w:rPr>
          <w:rFonts w:hint="eastAsia" w:ascii="仿宋" w:hAnsi="仿宋" w:eastAsia="仿宋" w:cs="仿宋"/>
          <w:sz w:val="32"/>
          <w:szCs w:val="32"/>
        </w:rPr>
        <w:t>49万元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资金来源为2025年第一批中央和省级资金</w:t>
      </w:r>
      <w:r>
        <w:rPr>
          <w:rFonts w:hint="eastAsia" w:ascii="仿宋" w:hAnsi="仿宋" w:eastAsia="仿宋" w:cs="仿宋"/>
          <w:sz w:val="32"/>
          <w:szCs w:val="32"/>
          <w:lang w:eastAsia="zh-CN"/>
        </w:rPr>
        <w:t>；</w:t>
      </w:r>
    </w:p>
    <w:p w14:paraId="215B96C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避险搬迁项目（1</w:t>
      </w:r>
      <w:r>
        <w:rPr>
          <w:rFonts w:hint="eastAsia" w:ascii="仿宋" w:hAnsi="仿宋" w:eastAsia="仿宋" w:cs="仿宋"/>
          <w:sz w:val="32"/>
          <w:szCs w:val="32"/>
          <w:lang w:val="en-US" w:eastAsia="zh-CN"/>
        </w:rPr>
        <w:t>8</w:t>
      </w:r>
      <w:r>
        <w:rPr>
          <w:rFonts w:hint="eastAsia" w:ascii="仿宋" w:hAnsi="仿宋" w:eastAsia="仿宋" w:cs="仿宋"/>
          <w:sz w:val="32"/>
          <w:szCs w:val="32"/>
        </w:rPr>
        <w:t>户）：</w:t>
      </w:r>
      <w:r>
        <w:rPr>
          <w:rFonts w:hint="eastAsia" w:ascii="仿宋" w:hAnsi="仿宋" w:eastAsia="仿宋" w:cs="仿宋"/>
          <w:sz w:val="32"/>
          <w:szCs w:val="32"/>
          <w:lang w:val="en-US" w:eastAsia="zh-CN"/>
        </w:rPr>
        <w:t>沐川县2025年第二批地质灾害搬迁农户18户，每户补助3.5万元，共计补助63</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资金来源为2025年第四批中央和省级资金</w:t>
      </w:r>
      <w:r>
        <w:rPr>
          <w:rFonts w:hint="eastAsia" w:ascii="仿宋" w:hAnsi="仿宋" w:eastAsia="仿宋" w:cs="仿宋"/>
          <w:sz w:val="32"/>
          <w:szCs w:val="32"/>
        </w:rPr>
        <w:t>。</w:t>
      </w:r>
    </w:p>
    <w:p w14:paraId="6E2E8EBE">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项目绩效目标设置</w:t>
      </w:r>
    </w:p>
    <w:p w14:paraId="3FE58AF0">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整体目标：完成花腔岩滑坡治理工程，实现区域地质灾害专职监测全覆盖，</w:t>
      </w:r>
      <w:r>
        <w:rPr>
          <w:rFonts w:hint="eastAsia" w:ascii="仿宋" w:hAnsi="仿宋" w:eastAsia="仿宋" w:cs="仿宋"/>
          <w:sz w:val="32"/>
          <w:szCs w:val="32"/>
          <w:lang w:val="en-US" w:eastAsia="zh-CN"/>
        </w:rPr>
        <w:t>32</w:t>
      </w:r>
      <w:r>
        <w:rPr>
          <w:rFonts w:hint="eastAsia" w:ascii="仿宋" w:hAnsi="仿宋" w:eastAsia="仿宋" w:cs="仿宋"/>
          <w:sz w:val="32"/>
          <w:szCs w:val="32"/>
        </w:rPr>
        <w:t>户受威胁群众全部完成避险搬迁，区域地质灾害风险显著降低，群众安全保障水平大幅提升。</w:t>
      </w:r>
    </w:p>
    <w:p w14:paraId="78912839">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区域目标：以舟坝镇乐群村为核心，辐射周边区域，形成可复制、可推广的地质灾害综合防治模式，为县域地质灾害防治工作提供示范。</w:t>
      </w:r>
    </w:p>
    <w:p w14:paraId="682A3CF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具体目标：滑坡治理工程验收合格率100%，</w:t>
      </w:r>
      <w:r>
        <w:rPr>
          <w:rFonts w:hint="eastAsia" w:ascii="仿宋" w:hAnsi="仿宋" w:eastAsia="仿宋" w:cs="仿宋"/>
          <w:sz w:val="32"/>
          <w:szCs w:val="32"/>
          <w:lang w:val="en-US" w:eastAsia="zh-CN"/>
        </w:rPr>
        <w:t>群测群防监测覆盖率100</w:t>
      </w:r>
      <w:r>
        <w:rPr>
          <w:rFonts w:hint="eastAsia" w:ascii="仿宋" w:hAnsi="仿宋" w:eastAsia="仿宋" w:cs="仿宋"/>
          <w:sz w:val="32"/>
          <w:szCs w:val="32"/>
        </w:rPr>
        <w:t>%，搬迁群众入住率100%，群众满意度≥90%。</w:t>
      </w:r>
    </w:p>
    <w:p w14:paraId="3D4C79F6">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项目自评工作已全面开展，</w:t>
      </w:r>
      <w:r>
        <w:rPr>
          <w:rFonts w:hint="eastAsia" w:ascii="仿宋" w:hAnsi="仿宋" w:eastAsia="仿宋" w:cs="仿宋"/>
          <w:sz w:val="32"/>
          <w:szCs w:val="32"/>
          <w:lang w:val="en-US" w:eastAsia="zh-CN"/>
        </w:rPr>
        <w:t>通过</w:t>
      </w:r>
      <w:r>
        <w:rPr>
          <w:rFonts w:hint="eastAsia" w:ascii="仿宋" w:hAnsi="仿宋" w:eastAsia="仿宋" w:cs="仿宋"/>
          <w:sz w:val="32"/>
          <w:szCs w:val="32"/>
        </w:rPr>
        <w:t>成立自评工作组，完成资料收集、现场核查、问卷调研、座谈访谈等工作，确保自评结果真实、准确、完整。</w:t>
      </w:r>
    </w:p>
    <w:p w14:paraId="682A7FC0">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、绩效分析</w:t>
      </w:r>
    </w:p>
    <w:p w14:paraId="296544A9">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（一）通用指标绩效分析（总分54分，得分</w:t>
      </w:r>
      <w:r>
        <w:rPr>
          <w:rFonts w:hint="eastAsia" w:ascii="楷体_GB2312" w:hAnsi="楷体_GB2312" w:eastAsia="楷体_GB2312" w:cs="楷体_GB2312"/>
          <w:b w:val="0"/>
          <w:bCs w:val="0"/>
          <w:sz w:val="32"/>
          <w:szCs w:val="32"/>
          <w:lang w:val="en-US" w:eastAsia="zh-CN"/>
        </w:rPr>
        <w:t>50</w:t>
      </w:r>
      <w:r>
        <w:rPr>
          <w:rFonts w:hint="eastAsia" w:ascii="楷体_GB2312" w:hAnsi="楷体_GB2312" w:eastAsia="楷体_GB2312" w:cs="楷体_GB2312"/>
          <w:b w:val="0"/>
          <w:bCs w:val="0"/>
          <w:sz w:val="32"/>
          <w:szCs w:val="32"/>
        </w:rPr>
        <w:t>分）</w:t>
      </w:r>
    </w:p>
    <w:p w14:paraId="0A261BF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1.项目决策（18分，得分18分）</w:t>
      </w:r>
    </w:p>
    <w:p w14:paraId="3A4861BD">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（1）决策程序（6分）：严格履行立项申请、可行性研究、审批批复等程序，决策流程严密规范，得6分；</w:t>
      </w:r>
    </w:p>
    <w:p w14:paraId="62EA9A9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（2）规划论证（6分）：项目规划论证符合中省地质灾害防治工作要求，绩效目标设置科学合理，得6分；</w:t>
      </w:r>
    </w:p>
    <w:p w14:paraId="143E8DF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（3）资金投向（6分）：资金全部聚焦地质灾害防治重点任务，与地质灾害防治行业发展规划高度匹配，得6分。</w:t>
      </w:r>
    </w:p>
    <w:p w14:paraId="31FC20E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2.项目管理（18分，得分15分）</w:t>
      </w:r>
    </w:p>
    <w:p w14:paraId="24EEC4D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（1）制度办法（2分）：已制定资金使用管理实施细则，严格按照细则配置资金，制度体系健全，得2分；</w:t>
      </w:r>
    </w:p>
    <w:p w14:paraId="76CC7E0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（2）分配管理（10分）：资金分配因素选取合理，权重设置科学，充分考虑风险等级、实际需求等因素，管理审批流程规范，但2025年第四批搬迁未执行，扣3分，得7分；</w:t>
      </w:r>
    </w:p>
    <w:p w14:paraId="0A35F24D">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（3）绩效监管（6分）：建立绩效监管机制，定期开展项目督导检查，及时发现并解决实施过程中的问题，对下指导有力有效，得6分。</w:t>
      </w:r>
    </w:p>
    <w:p w14:paraId="749D96A6">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3.项目实施（9分，得分9分）</w:t>
      </w:r>
    </w:p>
    <w:p w14:paraId="48096D5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（1）预算执行（6分）：中央和省级财政资金及时足额拨付到位，项目单位执行规范，得6分；</w:t>
      </w:r>
    </w:p>
    <w:p w14:paraId="2F2B9AA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（2）资金使用（3分）：资金使用严格遵循相关规定，专款专用，无截留、挤占、挪用等违规情况，得3分。</w:t>
      </w:r>
    </w:p>
    <w:p w14:paraId="70A8ED9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4.项目结果（9分，得分8分）</w:t>
      </w:r>
    </w:p>
    <w:p w14:paraId="284C7B0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目标完成（6分）：项目全面完成预期目标，滑坡治理工程顺利竣工、群测群防体系有效运行、14户群众全部搬迁，实施结果与绩效目标高度匹配，但部分项目启动缓慢，扣1分，得5分；</w:t>
      </w:r>
    </w:p>
    <w:p w14:paraId="60A78D21">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完成时效（3分）：项目实际完成时间与计划完成时间一致，未出现延期情况，得3分。</w:t>
      </w:r>
    </w:p>
    <w:p w14:paraId="36BE2FCB">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（二）专用指标绩效分析（总分30分，得分</w:t>
      </w:r>
      <w:r>
        <w:rPr>
          <w:rFonts w:hint="eastAsia" w:ascii="楷体_GB2312" w:hAnsi="楷体_GB2312" w:eastAsia="楷体_GB2312" w:cs="楷体_GB2312"/>
          <w:b w:val="0"/>
          <w:bCs w:val="0"/>
          <w:sz w:val="32"/>
          <w:szCs w:val="32"/>
          <w:lang w:val="en-US" w:eastAsia="zh-CN"/>
        </w:rPr>
        <w:t>30</w:t>
      </w:r>
      <w:r>
        <w:rPr>
          <w:rFonts w:hint="eastAsia" w:ascii="楷体_GB2312" w:hAnsi="楷体_GB2312" w:eastAsia="楷体_GB2312" w:cs="楷体_GB2312"/>
          <w:b w:val="0"/>
          <w:bCs w:val="0"/>
          <w:sz w:val="32"/>
          <w:szCs w:val="32"/>
        </w:rPr>
        <w:t>分）</w:t>
      </w:r>
    </w:p>
    <w:p w14:paraId="0ED1B120">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项目</w:t>
      </w:r>
      <w:r>
        <w:rPr>
          <w:rFonts w:hint="eastAsia" w:ascii="仿宋" w:hAnsi="仿宋" w:eastAsia="仿宋" w:cs="仿宋"/>
          <w:sz w:val="32"/>
          <w:szCs w:val="32"/>
          <w:lang w:val="en-US" w:eastAsia="zh-CN"/>
        </w:rPr>
        <w:t>已竣工</w:t>
      </w:r>
      <w:r>
        <w:rPr>
          <w:rFonts w:hint="eastAsia" w:ascii="仿宋" w:hAnsi="仿宋" w:eastAsia="仿宋" w:cs="仿宋"/>
          <w:sz w:val="32"/>
          <w:szCs w:val="32"/>
        </w:rPr>
        <w:t>，围绕</w:t>
      </w:r>
      <w:r>
        <w:rPr>
          <w:rFonts w:hint="eastAsia" w:ascii="仿宋" w:hAnsi="仿宋" w:eastAsia="仿宋" w:cs="仿宋"/>
          <w:sz w:val="32"/>
          <w:szCs w:val="32"/>
          <w:lang w:val="en-US" w:eastAsia="zh-CN"/>
        </w:rPr>
        <w:t>项目验收、功能实现、后续管护</w:t>
      </w:r>
      <w:r>
        <w:rPr>
          <w:rFonts w:hint="eastAsia" w:ascii="仿宋" w:hAnsi="仿宋" w:eastAsia="仿宋" w:cs="仿宋"/>
          <w:sz w:val="32"/>
          <w:szCs w:val="32"/>
        </w:rPr>
        <w:t>开展分析：</w:t>
      </w:r>
    </w:p>
    <w:p w14:paraId="6F3D652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1.项目验收</w:t>
      </w:r>
      <w:r>
        <w:rPr>
          <w:rFonts w:hint="eastAsia" w:ascii="仿宋" w:hAnsi="仿宋" w:eastAsia="仿宋" w:cs="仿宋"/>
          <w:sz w:val="32"/>
          <w:szCs w:val="32"/>
        </w:rPr>
        <w:t>（10分）：</w:t>
      </w:r>
      <w:r>
        <w:rPr>
          <w:rFonts w:hint="eastAsia" w:ascii="仿宋" w:hAnsi="仿宋" w:eastAsia="仿宋" w:cs="仿宋"/>
          <w:sz w:val="32"/>
          <w:szCs w:val="32"/>
          <w:lang w:val="en-US" w:eastAsia="zh-CN"/>
        </w:rPr>
        <w:t>项目如期竣工，符合工程质量标准，顺利通过专家验收，得10分</w:t>
      </w:r>
      <w:r>
        <w:rPr>
          <w:rFonts w:hint="eastAsia" w:ascii="仿宋" w:hAnsi="仿宋" w:eastAsia="仿宋" w:cs="仿宋"/>
          <w:sz w:val="32"/>
          <w:szCs w:val="32"/>
        </w:rPr>
        <w:t>；</w:t>
      </w:r>
    </w:p>
    <w:p w14:paraId="3178C1C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2.功能实现</w:t>
      </w:r>
      <w:r>
        <w:rPr>
          <w:rFonts w:hint="eastAsia" w:ascii="仿宋" w:hAnsi="仿宋" w:eastAsia="仿宋" w:cs="仿宋"/>
          <w:sz w:val="32"/>
          <w:szCs w:val="32"/>
        </w:rPr>
        <w:t>（10分）：</w:t>
      </w:r>
      <w:r>
        <w:rPr>
          <w:rFonts w:hint="eastAsia" w:ascii="仿宋" w:hAnsi="仿宋" w:eastAsia="仿宋" w:cs="仿宋"/>
          <w:sz w:val="32"/>
          <w:szCs w:val="32"/>
          <w:lang w:val="en-US" w:eastAsia="zh-CN"/>
        </w:rPr>
        <w:t>经监测</w:t>
      </w:r>
      <w:r>
        <w:rPr>
          <w:rFonts w:hint="eastAsia" w:ascii="仿宋" w:hAnsi="仿宋" w:eastAsia="仿宋" w:cs="仿宋"/>
          <w:sz w:val="32"/>
          <w:szCs w:val="32"/>
        </w:rPr>
        <w:t>，</w:t>
      </w:r>
      <w:r>
        <w:rPr>
          <w:rFonts w:hint="eastAsia" w:ascii="仿宋" w:hAnsi="仿宋" w:eastAsia="仿宋" w:cs="仿宋"/>
          <w:sz w:val="32"/>
          <w:szCs w:val="32"/>
          <w:lang w:val="en-US" w:eastAsia="zh-CN"/>
        </w:rPr>
        <w:t>抗滑桩桩顶位移量极小，随时间推移逐渐趋于稳定，充分发挥了阻滑作用，且在暴雨连续降雨情况下保持稳定，治理工程有效发挥了作用，</w:t>
      </w:r>
      <w:r>
        <w:rPr>
          <w:rFonts w:hint="eastAsia" w:ascii="仿宋" w:hAnsi="仿宋" w:eastAsia="仿宋" w:cs="仿宋"/>
          <w:sz w:val="32"/>
          <w:szCs w:val="32"/>
        </w:rPr>
        <w:t>得10分；</w:t>
      </w:r>
    </w:p>
    <w:p w14:paraId="54AEDCD2">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3.后续管护</w:t>
      </w:r>
      <w:r>
        <w:rPr>
          <w:rFonts w:hint="eastAsia" w:ascii="仿宋" w:hAnsi="仿宋" w:eastAsia="仿宋" w:cs="仿宋"/>
          <w:sz w:val="32"/>
          <w:szCs w:val="32"/>
        </w:rPr>
        <w:t>（</w:t>
      </w:r>
      <w:r>
        <w:rPr>
          <w:rFonts w:hint="eastAsia" w:ascii="仿宋" w:hAnsi="仿宋" w:eastAsia="仿宋" w:cs="仿宋"/>
          <w:sz w:val="32"/>
          <w:szCs w:val="32"/>
          <w:lang w:val="en-US" w:eastAsia="zh-CN"/>
        </w:rPr>
        <w:t>10</w:t>
      </w:r>
      <w:r>
        <w:rPr>
          <w:rFonts w:hint="eastAsia" w:ascii="仿宋" w:hAnsi="仿宋" w:eastAsia="仿宋" w:cs="仿宋"/>
          <w:sz w:val="32"/>
          <w:szCs w:val="32"/>
        </w:rPr>
        <w:t>分）：</w:t>
      </w:r>
      <w:r>
        <w:rPr>
          <w:rFonts w:hint="eastAsia" w:ascii="仿宋" w:hAnsi="仿宋" w:eastAsia="仿宋" w:cs="仿宋"/>
          <w:sz w:val="32"/>
          <w:szCs w:val="32"/>
          <w:lang w:val="en-US" w:eastAsia="zh-CN"/>
        </w:rPr>
        <w:t>项目后续管护按既定方案有序开展，由专人负责，管理制度健全，但日常巡查频次不足，扣两分，</w:t>
      </w:r>
      <w:r>
        <w:rPr>
          <w:rFonts w:hint="eastAsia" w:ascii="仿宋" w:hAnsi="仿宋" w:eastAsia="仿宋" w:cs="仿宋"/>
          <w:sz w:val="32"/>
          <w:szCs w:val="32"/>
        </w:rPr>
        <w:t>得</w:t>
      </w:r>
      <w:r>
        <w:rPr>
          <w:rFonts w:hint="eastAsia" w:ascii="仿宋" w:hAnsi="仿宋" w:eastAsia="仿宋" w:cs="仿宋"/>
          <w:sz w:val="32"/>
          <w:szCs w:val="32"/>
          <w:lang w:val="en-US" w:eastAsia="zh-CN"/>
        </w:rPr>
        <w:t>10</w:t>
      </w:r>
      <w:r>
        <w:rPr>
          <w:rFonts w:hint="eastAsia" w:ascii="仿宋" w:hAnsi="仿宋" w:eastAsia="仿宋" w:cs="仿宋"/>
          <w:sz w:val="32"/>
          <w:szCs w:val="32"/>
        </w:rPr>
        <w:t>分</w:t>
      </w:r>
      <w:r>
        <w:rPr>
          <w:rFonts w:hint="eastAsia" w:ascii="仿宋" w:hAnsi="仿宋" w:eastAsia="仿宋" w:cs="仿宋"/>
          <w:sz w:val="32"/>
          <w:szCs w:val="32"/>
          <w:lang w:eastAsia="zh-CN"/>
        </w:rPr>
        <w:t>。</w:t>
      </w:r>
    </w:p>
    <w:p w14:paraId="0DBD0B56">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（三）个性指标绩效分析（总分16分，得分</w:t>
      </w:r>
      <w:r>
        <w:rPr>
          <w:rFonts w:hint="eastAsia" w:ascii="楷体_GB2312" w:hAnsi="楷体_GB2312" w:eastAsia="楷体_GB2312" w:cs="楷体_GB2312"/>
          <w:b w:val="0"/>
          <w:bCs w:val="0"/>
          <w:sz w:val="32"/>
          <w:szCs w:val="32"/>
          <w:lang w:val="en-US" w:eastAsia="zh-CN"/>
        </w:rPr>
        <w:t>16</w:t>
      </w:r>
      <w:r>
        <w:rPr>
          <w:rFonts w:hint="eastAsia" w:ascii="楷体_GB2312" w:hAnsi="楷体_GB2312" w:eastAsia="楷体_GB2312" w:cs="楷体_GB2312"/>
          <w:b w:val="0"/>
          <w:bCs w:val="0"/>
          <w:sz w:val="32"/>
          <w:szCs w:val="32"/>
        </w:rPr>
        <w:t>分）</w:t>
      </w:r>
    </w:p>
    <w:p w14:paraId="552D53C9">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结合项目特性，从地质灾害防治重点项目效果指标（12分）以及相关者满意度（4分）分析。</w:t>
      </w:r>
    </w:p>
    <w:p w14:paraId="05F54CB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1.地质灾害防治重点项目效果指标（12分，得分12分）</w:t>
      </w:r>
    </w:p>
    <w:p w14:paraId="42D950A2">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橙色以上地质灾害预警及时处置率（4分）：建立“预警接收－指令传达－监测员响应－群众撤离”全链条处置机制，接到橙色及以上地质灾害预警信息后，专职监测员15分钟内抵达隐患点巡查核实，2小时内完成受威胁群众通知及有序撤离，未发生因处置不及时导致的人员伤亡或财产损失。得分4分</w:t>
      </w:r>
    </w:p>
    <w:p w14:paraId="53D73DFC">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（2）地质灾害隐患点培训演练有效性（4分）：演练安排了专业技术人员进行指导，演练涵盖白天和夜间，按照既定撤离路线有序开展，增强了群众防灾意识，提高了群众避险能力，得4分；</w:t>
      </w:r>
    </w:p>
    <w:p w14:paraId="56C8AA44">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（3）隐患识别靶区处置率（4分）：开展常态化巡排查识别地灾隐患，结合斜坡调查成果针对靶区开展现场勘察，精准识别分析风险隐患，及时落实处置措施。得分4分。</w:t>
      </w:r>
    </w:p>
    <w:p w14:paraId="712C3BA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2.相关者满意度（4分，得分4分）</w:t>
      </w:r>
    </w:p>
    <w:p w14:paraId="76FF4568">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基层工作人员对地质灾害防治工作满意度（2分）：对于上报的风险隐患，做到了有报必查，及时给基层工作人员提供了技术支持和业务指导，有效沟通配合增强了识灾辨灾能力，提高了防灾水平，基层工作人员满意度高。得分2分；</w:t>
      </w:r>
    </w:p>
    <w:p w14:paraId="52AA478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en-US" w:eastAsia="zh-CN"/>
        </w:rPr>
        <w:t>地质灾害受威胁群众满意度</w:t>
      </w:r>
      <w:r>
        <w:rPr>
          <w:rFonts w:hint="eastAsia" w:ascii="仿宋" w:hAnsi="仿宋" w:eastAsia="仿宋" w:cs="仿宋"/>
          <w:sz w:val="32"/>
          <w:szCs w:val="32"/>
          <w:lang w:val="en-US" w:eastAsia="zh-CN"/>
        </w:rPr>
        <w:t>（2分）：通过现场调查，群众反馈工程治理效果满意度为100%，对工程施工过程组织的满意程度为100%，总的来看该工程得到了群众的广泛认可和支持，实现了良好社会效益。得分2分。</w:t>
      </w:r>
    </w:p>
    <w:p w14:paraId="59263A73">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（四）扣分项（总分 10 分，</w:t>
      </w:r>
      <w:r>
        <w:rPr>
          <w:rFonts w:hint="eastAsia" w:ascii="楷体_GB2312" w:hAnsi="楷体_GB2312" w:eastAsia="楷体_GB2312" w:cs="楷体_GB2312"/>
          <w:b w:val="0"/>
          <w:bCs w:val="0"/>
          <w:sz w:val="32"/>
          <w:szCs w:val="32"/>
          <w:lang w:val="en-US" w:eastAsia="zh-CN"/>
        </w:rPr>
        <w:t>扣0</w:t>
      </w:r>
      <w:r>
        <w:rPr>
          <w:rFonts w:hint="eastAsia" w:ascii="楷体_GB2312" w:hAnsi="楷体_GB2312" w:eastAsia="楷体_GB2312" w:cs="楷体_GB2312"/>
          <w:b w:val="0"/>
          <w:bCs w:val="0"/>
          <w:sz w:val="32"/>
          <w:szCs w:val="32"/>
        </w:rPr>
        <w:t>分）</w:t>
      </w:r>
    </w:p>
    <w:p w14:paraId="66B6DA3E">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被评价部门（沐川县自然资源局）积极配合自评工作，及时提供相关资料、协助现场核查，无配合不力情况</w:t>
      </w:r>
      <w:r>
        <w:rPr>
          <w:rFonts w:hint="eastAsia" w:ascii="仿宋" w:hAnsi="仿宋" w:eastAsia="仿宋" w:cs="仿宋"/>
          <w:sz w:val="32"/>
          <w:szCs w:val="32"/>
          <w:lang w:eastAsia="zh-CN"/>
        </w:rPr>
        <w:t>。</w:t>
      </w:r>
    </w:p>
    <w:p w14:paraId="01F299C7">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、评价结论</w:t>
      </w:r>
    </w:p>
    <w:p w14:paraId="0EB99C04">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本次专项预算绩效自评总得分为</w:t>
      </w:r>
      <w:r>
        <w:rPr>
          <w:rFonts w:hint="eastAsia" w:ascii="仿宋" w:hAnsi="仿宋" w:eastAsia="仿宋" w:cs="仿宋"/>
          <w:sz w:val="32"/>
          <w:szCs w:val="32"/>
          <w:lang w:val="en-US" w:eastAsia="zh-CN"/>
        </w:rPr>
        <w:t>96</w:t>
      </w:r>
      <w:r>
        <w:rPr>
          <w:rFonts w:hint="eastAsia" w:ascii="仿宋" w:hAnsi="仿宋" w:eastAsia="仿宋" w:cs="仿宋"/>
          <w:sz w:val="32"/>
          <w:szCs w:val="32"/>
        </w:rPr>
        <w:t>分（通用指标</w:t>
      </w:r>
      <w:r>
        <w:rPr>
          <w:rFonts w:hint="eastAsia" w:ascii="仿宋" w:hAnsi="仿宋" w:eastAsia="仿宋" w:cs="仿宋"/>
          <w:sz w:val="32"/>
          <w:szCs w:val="32"/>
          <w:lang w:val="en-US" w:eastAsia="zh-CN"/>
        </w:rPr>
        <w:t>50</w:t>
      </w:r>
      <w:r>
        <w:rPr>
          <w:rFonts w:hint="eastAsia" w:ascii="仿宋" w:hAnsi="仿宋" w:eastAsia="仿宋" w:cs="仿宋"/>
          <w:sz w:val="32"/>
          <w:szCs w:val="32"/>
        </w:rPr>
        <w:t>分+专用指标</w:t>
      </w:r>
      <w:r>
        <w:rPr>
          <w:rFonts w:hint="eastAsia" w:ascii="仿宋" w:hAnsi="仿宋" w:eastAsia="仿宋" w:cs="仿宋"/>
          <w:sz w:val="32"/>
          <w:szCs w:val="32"/>
          <w:lang w:val="en-US" w:eastAsia="zh-CN"/>
        </w:rPr>
        <w:t>30</w:t>
      </w:r>
      <w:r>
        <w:rPr>
          <w:rFonts w:hint="eastAsia" w:ascii="仿宋" w:hAnsi="仿宋" w:eastAsia="仿宋" w:cs="仿宋"/>
          <w:sz w:val="32"/>
          <w:szCs w:val="32"/>
        </w:rPr>
        <w:t>分+个性指标</w:t>
      </w:r>
      <w:r>
        <w:rPr>
          <w:rFonts w:hint="eastAsia" w:ascii="仿宋" w:hAnsi="仿宋" w:eastAsia="仿宋" w:cs="仿宋"/>
          <w:sz w:val="32"/>
          <w:szCs w:val="32"/>
          <w:lang w:val="en-US" w:eastAsia="zh-CN"/>
        </w:rPr>
        <w:t>16</w:t>
      </w:r>
      <w:r>
        <w:rPr>
          <w:rFonts w:hint="eastAsia" w:ascii="仿宋" w:hAnsi="仿宋" w:eastAsia="仿宋" w:cs="仿宋"/>
          <w:sz w:val="32"/>
          <w:szCs w:val="32"/>
        </w:rPr>
        <w:t>分</w:t>
      </w:r>
      <w:r>
        <w:rPr>
          <w:rFonts w:hint="eastAsia" w:ascii="仿宋" w:hAnsi="仿宋" w:eastAsia="仿宋" w:cs="仿宋"/>
          <w:sz w:val="32"/>
          <w:szCs w:val="32"/>
          <w:lang w:eastAsia="zh-CN"/>
        </w:rPr>
        <w:t>－</w:t>
      </w:r>
      <w:r>
        <w:rPr>
          <w:rFonts w:hint="eastAsia" w:ascii="仿宋" w:hAnsi="仿宋" w:eastAsia="仿宋" w:cs="仿宋"/>
          <w:sz w:val="32"/>
          <w:szCs w:val="32"/>
        </w:rPr>
        <w:t>扣分项0分），评价等级为优秀。</w:t>
      </w:r>
    </w:p>
    <w:p w14:paraId="2B52873E">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项目整体实施情况良好，资金使用合规有序，全面完成了沐川县舟坝镇乐群村11组花腔岩滑坡治理、专职监测布设、</w:t>
      </w:r>
      <w:r>
        <w:rPr>
          <w:rFonts w:hint="eastAsia" w:ascii="仿宋" w:hAnsi="仿宋" w:eastAsia="仿宋" w:cs="仿宋"/>
          <w:sz w:val="32"/>
          <w:szCs w:val="32"/>
          <w:lang w:val="en-US" w:eastAsia="zh-CN"/>
        </w:rPr>
        <w:t>32</w:t>
      </w:r>
      <w:r>
        <w:rPr>
          <w:rFonts w:hint="eastAsia" w:ascii="仿宋" w:hAnsi="仿宋" w:eastAsia="仿宋" w:cs="仿宋"/>
          <w:sz w:val="32"/>
          <w:szCs w:val="32"/>
        </w:rPr>
        <w:t>户群众避险搬迁三大核心任务。通过项目实施，成功消除了区域地质灾害隐患，构建了有效的监测预警体系，保障了受威胁群众的生命财产安全，取得了显著的社会效益，得到了群众的广泛认可。但在制度体系完善、地方配套资金拨付、群众满意度提升等方面仍存在一定改进空间。</w:t>
      </w:r>
    </w:p>
    <w:p w14:paraId="4604F8E7">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、存在主要问题</w:t>
      </w:r>
    </w:p>
    <w:p w14:paraId="31AA275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1.我县地处乌蒙山区，地质条件复杂，属于地质灾害高发区。现有地质灾害隐患点种类多，数量大，分散面积广，落实专业监测设备和实施地质灾害避险搬迁、工程治理难度大。</w:t>
      </w:r>
    </w:p>
    <w:p w14:paraId="7B9A698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专项资金缺口大，基层治理能力受限。县级财政对地质灾害治理的投入有限，中央和省级专项资金申报程序复杂、周期长，</w:t>
      </w:r>
      <w:r>
        <w:rPr>
          <w:rFonts w:hint="eastAsia" w:ascii="仿宋" w:hAnsi="仿宋" w:eastAsia="仿宋" w:cs="仿宋"/>
          <w:sz w:val="32"/>
          <w:szCs w:val="32"/>
          <w:lang w:val="en-US" w:eastAsia="zh-CN"/>
        </w:rPr>
        <w:t>地灾防治资金紧张。</w:t>
      </w:r>
    </w:p>
    <w:p w14:paraId="2D5F5F4D">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六、改进建议</w:t>
      </w:r>
    </w:p>
    <w:p w14:paraId="45E779F1">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加快配套资金拨付：加强与地方财政部门的沟通协调，细化配套资金筹措方案，建立资金拨付预警机制，定期跟踪资金到位情况，确保配套资金及时足额拨付，保障项目附属设施建设顺利推进。</w:t>
      </w:r>
    </w:p>
    <w:p w14:paraId="3D13F8FC">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提升群众保障水平：联合人社、乡村振兴、教育、医疗等部门，为搬迁群众提供就业技能培训、岗位推荐等服务，拓宽就业渠道；协调推进安置区域基础设施和公共服务配套建设，完善医疗、教育、购物等便民设施，及时回应并解决群众合理诉求，提升群众满意度。</w:t>
      </w:r>
    </w:p>
    <w:p w14:paraId="3F2DDB2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强化监测设备保障：对现有监测设备进行升级改造，优化数据传输线路，提升设备抗极端天气能力；制定监测设备应急保障预案，加强监测人员专业培训，提高应急处置能力，确保监测数据传输连续、准确，保障预警功能有效发挥。</w:t>
      </w:r>
    </w:p>
    <w:p w14:paraId="1417E630">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p>
    <w:p w14:paraId="191CF6B3">
      <w:pPr>
        <w:spacing w:before="300" w:after="120" w:line="288" w:lineRule="auto"/>
        <w:ind w:left="0"/>
        <w:jc w:val="left"/>
        <w:outlineLvl w:val="2"/>
        <w:rPr>
          <w:rFonts w:hint="eastAsia" w:ascii="黑体" w:hAnsi="黑体" w:eastAsia="黑体" w:cs="黑体"/>
          <w:b w:val="0"/>
          <w:bCs w:val="0"/>
          <w:sz w:val="32"/>
          <w:szCs w:val="32"/>
        </w:rPr>
      </w:pPr>
    </w:p>
    <w:p w14:paraId="0EEB4482">
      <w:pPr>
        <w:spacing w:before="300" w:after="120" w:line="288" w:lineRule="auto"/>
        <w:ind w:left="0"/>
        <w:jc w:val="left"/>
        <w:outlineLvl w:val="2"/>
        <w:rPr>
          <w:rFonts w:hint="eastAsia" w:ascii="黑体" w:hAnsi="黑体" w:eastAsia="黑体" w:cs="黑体"/>
          <w:b w:val="0"/>
          <w:bCs w:val="0"/>
          <w:sz w:val="32"/>
          <w:szCs w:val="32"/>
        </w:rPr>
      </w:pPr>
    </w:p>
    <w:p w14:paraId="5BB2D9A1">
      <w:pPr>
        <w:spacing w:before="300" w:after="120" w:line="288" w:lineRule="auto"/>
        <w:ind w:left="0"/>
        <w:jc w:val="center"/>
        <w:outlineLvl w:val="2"/>
        <w:rPr>
          <w:rFonts w:hint="eastAsia" w:ascii="方正小标宋简体" w:hAnsi="方正小标宋简体" w:eastAsia="方正小标宋简体" w:cs="方正小标宋简体"/>
          <w:b w:val="0"/>
          <w:bCs w:val="0"/>
          <w:sz w:val="44"/>
          <w:szCs w:val="44"/>
        </w:rPr>
      </w:pPr>
    </w:p>
    <w:p w14:paraId="122373BC">
      <w:pPr>
        <w:pStyle w:val="2"/>
        <w:rPr>
          <w:rFonts w:hint="eastAsia" w:ascii="方正小标宋简体" w:hAnsi="方正小标宋简体" w:eastAsia="方正小标宋简体" w:cs="方正小标宋简体"/>
          <w:b w:val="0"/>
          <w:bCs w:val="0"/>
          <w:sz w:val="44"/>
          <w:szCs w:val="44"/>
        </w:rPr>
      </w:pPr>
    </w:p>
    <w:p w14:paraId="0E7D7A78">
      <w:pPr>
        <w:rPr>
          <w:rFonts w:hint="eastAsia" w:ascii="方正小标宋简体" w:hAnsi="方正小标宋简体" w:eastAsia="方正小标宋简体" w:cs="方正小标宋简体"/>
          <w:b w:val="0"/>
          <w:bCs w:val="0"/>
          <w:sz w:val="44"/>
          <w:szCs w:val="44"/>
        </w:rPr>
      </w:pPr>
    </w:p>
    <w:p w14:paraId="31D53AA5">
      <w:pPr>
        <w:pStyle w:val="2"/>
        <w:rPr>
          <w:rFonts w:hint="eastAsia" w:ascii="方正小标宋简体" w:hAnsi="方正小标宋简体" w:eastAsia="方正小标宋简体" w:cs="方正小标宋简体"/>
          <w:b w:val="0"/>
          <w:bCs w:val="0"/>
          <w:sz w:val="44"/>
          <w:szCs w:val="44"/>
        </w:rPr>
      </w:pPr>
    </w:p>
    <w:p w14:paraId="4A549EF8">
      <w:pPr>
        <w:rPr>
          <w:rFonts w:hint="eastAsia"/>
        </w:rPr>
      </w:pPr>
    </w:p>
    <w:p w14:paraId="4DF8718B">
      <w:pPr>
        <w:spacing w:before="300" w:after="120" w:line="288" w:lineRule="auto"/>
        <w:ind w:left="0"/>
        <w:jc w:val="center"/>
        <w:outlineLvl w:val="2"/>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专项预算项目绩效目标完成情况自评表</w:t>
      </w:r>
    </w:p>
    <w:tbl>
      <w:tblPr>
        <w:tblStyle w:val="16"/>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08FF6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384BD0F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专项预算项目绩效目标完成情况自评表</w:t>
            </w:r>
          </w:p>
        </w:tc>
      </w:tr>
      <w:tr w14:paraId="65DE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0359B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EDA52D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r>
              <w:rPr>
                <w:rFonts w:hint="eastAsia" w:ascii="Times New Roman" w:hAnsi="Times New Roman" w:eastAsia="宋体" w:cs="Times New Roman"/>
                <w:i w:val="0"/>
                <w:color w:val="000000"/>
                <w:kern w:val="0"/>
                <w:sz w:val="24"/>
                <w:szCs w:val="24"/>
                <w:u w:val="none"/>
                <w:lang w:val="en-US" w:eastAsia="zh-CN" w:bidi="ar"/>
              </w:rPr>
              <w:t>沐川县2025年地质灾害防治专项项目（花腔岩滑坡治理、专职监测、避险搬迁）</w:t>
            </w:r>
          </w:p>
        </w:tc>
      </w:tr>
      <w:tr w14:paraId="20036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DFC0E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436669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r>
              <w:rPr>
                <w:rFonts w:hint="eastAsia" w:ascii="Times New Roman" w:hAnsi="Times New Roman" w:eastAsia="宋体" w:cs="Times New Roman"/>
                <w:i w:val="0"/>
                <w:color w:val="000000"/>
                <w:kern w:val="0"/>
                <w:sz w:val="24"/>
                <w:szCs w:val="24"/>
                <w:u w:val="none"/>
                <w:lang w:val="en-US" w:eastAsia="zh-CN" w:bidi="ar"/>
              </w:rPr>
              <w:t>沐川县自然资源局</w:t>
            </w:r>
          </w:p>
        </w:tc>
      </w:tr>
      <w:tr w14:paraId="1E724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D113A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B6A09D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6C169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C46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C3E6B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中长期规划（名称、文号，仅指</w:t>
            </w:r>
          </w:p>
          <w:p w14:paraId="719C9B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A3AD96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18D1C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71E2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3ED11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72C0F1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6BC1F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F70C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8032A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AE594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34FA11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F958F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856AF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£因素法与项目法相结合</w:t>
            </w:r>
          </w:p>
        </w:tc>
      </w:tr>
      <w:tr w14:paraId="766B4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374C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727CFE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A50F6F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4839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3F81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BC4851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4C07E5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1CF65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8FF7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3F2BA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55B8D1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7F71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ED5B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FC779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261BF4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04163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05A6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项目资金</w:t>
            </w:r>
          </w:p>
          <w:p w14:paraId="1BEDBE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C4340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F0FF69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rPr>
            </w:pPr>
            <w:r>
              <w:rPr>
                <w:rFonts w:hint="eastAsia" w:ascii="宋体" w:hAnsi="宋体" w:eastAsia="宋体" w:cs="宋体"/>
                <w:kern w:val="0"/>
                <w:sz w:val="21"/>
                <w:szCs w:val="21"/>
                <w:lang w:val="en-US" w:eastAsia="zh-CN"/>
              </w:rPr>
              <w:t>215.94</w:t>
            </w:r>
          </w:p>
        </w:tc>
      </w:tr>
      <w:tr w14:paraId="6C12C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A20D6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22209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37A253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eastAsia="zh-CN"/>
              </w:rPr>
            </w:pPr>
            <w:r>
              <w:rPr>
                <w:rFonts w:hint="eastAsia" w:ascii="宋体" w:hAnsi="宋体" w:eastAsia="宋体" w:cs="宋体"/>
                <w:i w:val="0"/>
                <w:color w:val="000000"/>
                <w:kern w:val="0"/>
                <w:sz w:val="21"/>
                <w:szCs w:val="21"/>
                <w:u w:val="none"/>
                <w:lang w:val="en-US" w:eastAsia="zh-CN"/>
              </w:rPr>
              <w:t>199.84</w:t>
            </w:r>
          </w:p>
        </w:tc>
      </w:tr>
      <w:tr w14:paraId="044C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C0453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3F0969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0DA172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rPr>
            </w:pPr>
            <w:r>
              <w:rPr>
                <w:rFonts w:hint="eastAsia" w:ascii="宋体" w:hAnsi="宋体" w:eastAsia="宋体" w:cs="宋体"/>
                <w:i w:val="0"/>
                <w:color w:val="000000"/>
                <w:kern w:val="0"/>
                <w:sz w:val="21"/>
                <w:szCs w:val="21"/>
                <w:u w:val="none"/>
                <w:lang w:val="en-US" w:eastAsia="zh-CN"/>
              </w:rPr>
              <w:t>16.1</w:t>
            </w:r>
          </w:p>
        </w:tc>
      </w:tr>
      <w:tr w14:paraId="5890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9D7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BB3E0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年度目标</w:t>
            </w:r>
          </w:p>
        </w:tc>
      </w:tr>
      <w:tr w14:paraId="16CC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B343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F5D105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50B1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3FC64B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50BEB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DB0BE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4C557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585D9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3AEA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64A1F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37895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5B7288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实际完成指标值</w:t>
            </w:r>
          </w:p>
        </w:tc>
      </w:tr>
      <w:tr w14:paraId="3D63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A43FFE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DEAF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327DA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A97E9">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滑坡治理工程完成数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8D6CD">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完成</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6AADE">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572BB">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8215F">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892E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1</w:t>
            </w:r>
          </w:p>
        </w:tc>
      </w:tr>
      <w:tr w14:paraId="630A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DDB52C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8027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200C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53BFC">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地质灾害专职监测覆盖隐患点数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97401">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全覆盖</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FFD27">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区域内全部隐患点</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7EA25">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B058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9B2AD">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区域内地质灾害隐患点专职监测 100% 覆盖</w:t>
            </w:r>
          </w:p>
        </w:tc>
      </w:tr>
      <w:tr w14:paraId="692C3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30889B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9C39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FA16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6C96B">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避险搬迁完成户数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9A38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完成</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E79A4">
            <w:pPr>
              <w:spacing w:before="120" w:after="120" w:line="288" w:lineRule="auto"/>
              <w:ind w:left="0" w:lef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A5EE4">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户</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83820">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DE2B8">
            <w:pPr>
              <w:spacing w:before="120" w:after="120" w:line="288" w:lineRule="auto"/>
              <w:ind w:left="0" w:lef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实际完成搬迁</w:t>
            </w:r>
            <w:r>
              <w:rPr>
                <w:rFonts w:hint="eastAsia" w:ascii="宋体" w:hAnsi="宋体" w:eastAsia="宋体" w:cs="宋体"/>
                <w:sz w:val="21"/>
                <w:szCs w:val="21"/>
              </w:rPr>
              <w:t>14</w:t>
            </w:r>
            <w:r>
              <w:rPr>
                <w:rFonts w:hint="eastAsia" w:ascii="宋体" w:hAnsi="宋体" w:eastAsia="宋体" w:cs="宋体"/>
                <w:sz w:val="21"/>
                <w:szCs w:val="21"/>
                <w:lang w:val="en-US" w:eastAsia="zh-CN"/>
              </w:rPr>
              <w:t>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2025年第二批地质灾害搬迁农户18户未完成</w:t>
            </w:r>
          </w:p>
        </w:tc>
      </w:tr>
      <w:tr w14:paraId="0592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BABBDD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1A093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AAAA1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质量指标</w:t>
            </w:r>
          </w:p>
        </w:tc>
        <w:tc>
          <w:tcPr>
            <w:tcW w:w="1312" w:type="dxa"/>
            <w:tcBorders>
              <w:top w:val="single" w:color="000000" w:sz="4" w:space="0"/>
              <w:left w:val="single" w:color="000000" w:sz="4" w:space="0"/>
              <w:right w:val="single" w:color="000000" w:sz="4" w:space="0"/>
            </w:tcBorders>
            <w:noWrap w:val="0"/>
            <w:vAlign w:val="center"/>
          </w:tcPr>
          <w:p w14:paraId="58BF117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工程验收合格率</w:t>
            </w:r>
          </w:p>
        </w:tc>
        <w:tc>
          <w:tcPr>
            <w:tcW w:w="1127" w:type="dxa"/>
            <w:tcBorders>
              <w:top w:val="single" w:color="000000" w:sz="4" w:space="0"/>
              <w:left w:val="single" w:color="000000" w:sz="4" w:space="0"/>
              <w:right w:val="single" w:color="000000" w:sz="4" w:space="0"/>
            </w:tcBorders>
            <w:noWrap w:val="0"/>
            <w:vAlign w:val="center"/>
          </w:tcPr>
          <w:p w14:paraId="1813C13F">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000000" w:sz="4" w:space="0"/>
              <w:left w:val="single" w:color="000000" w:sz="4" w:space="0"/>
              <w:right w:val="single" w:color="000000" w:sz="4" w:space="0"/>
            </w:tcBorders>
            <w:noWrap w:val="0"/>
            <w:vAlign w:val="center"/>
          </w:tcPr>
          <w:p w14:paraId="346E1E22">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c>
          <w:tcPr>
            <w:tcW w:w="1061" w:type="dxa"/>
            <w:tcBorders>
              <w:top w:val="single" w:color="000000" w:sz="4" w:space="0"/>
              <w:left w:val="single" w:color="000000" w:sz="4" w:space="0"/>
              <w:right w:val="single" w:color="000000" w:sz="4" w:space="0"/>
            </w:tcBorders>
            <w:noWrap w:val="0"/>
            <w:vAlign w:val="center"/>
          </w:tcPr>
          <w:p w14:paraId="484CC85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287C445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9FFB85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r>
      <w:tr w14:paraId="5E5F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1"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032816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7EDE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right w:val="single" w:color="000000" w:sz="4" w:space="0"/>
            </w:tcBorders>
            <w:noWrap w:val="0"/>
            <w:vAlign w:val="center"/>
          </w:tcPr>
          <w:p w14:paraId="3FE975E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时效指标</w:t>
            </w:r>
          </w:p>
          <w:p w14:paraId="471DE4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right w:val="single" w:color="000000" w:sz="4" w:space="0"/>
            </w:tcBorders>
            <w:noWrap w:val="0"/>
            <w:vAlign w:val="center"/>
          </w:tcPr>
          <w:p w14:paraId="781F64CC">
            <w:pPr>
              <w:spacing w:before="120" w:after="120" w:line="288" w:lineRule="auto"/>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项目完成时限</w:t>
            </w:r>
          </w:p>
        </w:tc>
        <w:tc>
          <w:tcPr>
            <w:tcW w:w="1127" w:type="dxa"/>
            <w:tcBorders>
              <w:top w:val="single" w:color="000000" w:sz="4" w:space="0"/>
              <w:left w:val="single" w:color="000000" w:sz="4" w:space="0"/>
              <w:right w:val="single" w:color="000000" w:sz="4" w:space="0"/>
            </w:tcBorders>
            <w:noWrap w:val="0"/>
            <w:vAlign w:val="center"/>
          </w:tcPr>
          <w:p w14:paraId="681C8B48">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完成</w:t>
            </w:r>
          </w:p>
        </w:tc>
        <w:tc>
          <w:tcPr>
            <w:tcW w:w="971" w:type="dxa"/>
            <w:tcBorders>
              <w:top w:val="single" w:color="000000" w:sz="4" w:space="0"/>
              <w:left w:val="single" w:color="000000" w:sz="4" w:space="0"/>
              <w:right w:val="single" w:color="000000" w:sz="4" w:space="0"/>
            </w:tcBorders>
            <w:noWrap w:val="0"/>
            <w:vAlign w:val="center"/>
          </w:tcPr>
          <w:p w14:paraId="6AEDB6C7">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4</w:t>
            </w:r>
          </w:p>
        </w:tc>
        <w:tc>
          <w:tcPr>
            <w:tcW w:w="1061" w:type="dxa"/>
            <w:tcBorders>
              <w:top w:val="single" w:color="000000" w:sz="4" w:space="0"/>
              <w:left w:val="single" w:color="000000" w:sz="4" w:space="0"/>
              <w:right w:val="single" w:color="000000" w:sz="4" w:space="0"/>
            </w:tcBorders>
            <w:noWrap w:val="0"/>
            <w:vAlign w:val="center"/>
          </w:tcPr>
          <w:p w14:paraId="107EC8C8">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个</w:t>
            </w:r>
          </w:p>
        </w:tc>
        <w:tc>
          <w:tcPr>
            <w:tcW w:w="938" w:type="dxa"/>
            <w:tcBorders>
              <w:top w:val="single" w:color="000000" w:sz="4" w:space="0"/>
              <w:left w:val="single" w:color="000000" w:sz="4" w:space="0"/>
              <w:right w:val="single" w:color="000000" w:sz="4" w:space="0"/>
            </w:tcBorders>
            <w:noWrap w:val="0"/>
            <w:vAlign w:val="center"/>
          </w:tcPr>
          <w:p w14:paraId="6D4D790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E2CCC40">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3</w:t>
            </w:r>
          </w:p>
        </w:tc>
      </w:tr>
      <w:tr w14:paraId="5DFE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168DC8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E5BE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45451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经济效益</w:t>
            </w:r>
          </w:p>
          <w:p w14:paraId="2BDF88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14:paraId="72B4BCA4">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受地质灾害威胁群众生命安全保障率</w:t>
            </w:r>
          </w:p>
        </w:tc>
        <w:tc>
          <w:tcPr>
            <w:tcW w:w="1127" w:type="dxa"/>
            <w:tcBorders>
              <w:top w:val="single" w:color="000000" w:sz="4" w:space="0"/>
              <w:left w:val="single" w:color="000000" w:sz="4" w:space="0"/>
              <w:right w:val="single" w:color="000000" w:sz="4" w:space="0"/>
            </w:tcBorders>
            <w:noWrap w:val="0"/>
            <w:vAlign w:val="center"/>
          </w:tcPr>
          <w:p w14:paraId="7BA5C58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提升</w:t>
            </w:r>
          </w:p>
        </w:tc>
        <w:tc>
          <w:tcPr>
            <w:tcW w:w="971" w:type="dxa"/>
            <w:tcBorders>
              <w:top w:val="single" w:color="000000" w:sz="4" w:space="0"/>
              <w:left w:val="single" w:color="000000" w:sz="4" w:space="0"/>
              <w:right w:val="single" w:color="000000" w:sz="4" w:space="0"/>
            </w:tcBorders>
            <w:noWrap w:val="0"/>
            <w:vAlign w:val="center"/>
          </w:tcPr>
          <w:p w14:paraId="0069C6C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061" w:type="dxa"/>
            <w:tcBorders>
              <w:top w:val="single" w:color="000000" w:sz="4" w:space="0"/>
              <w:left w:val="single" w:color="000000" w:sz="4" w:space="0"/>
              <w:right w:val="single" w:color="000000" w:sz="4" w:space="0"/>
            </w:tcBorders>
            <w:noWrap w:val="0"/>
            <w:vAlign w:val="center"/>
          </w:tcPr>
          <w:p w14:paraId="7485A57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20AEF2F1">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B6EA01A">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有效保障 14 户搬迁群众及区域内居民生命安全</w:t>
            </w:r>
          </w:p>
        </w:tc>
      </w:tr>
      <w:tr w14:paraId="4C92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92"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FD87BC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02F6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right w:val="single" w:color="000000" w:sz="4" w:space="0"/>
            </w:tcBorders>
            <w:noWrap w:val="0"/>
            <w:vAlign w:val="center"/>
          </w:tcPr>
          <w:p w14:paraId="23535E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社会效益</w:t>
            </w:r>
          </w:p>
          <w:p w14:paraId="0906E2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14:paraId="2779FCED">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区域地质灾害风险降低程度</w:t>
            </w:r>
          </w:p>
        </w:tc>
        <w:tc>
          <w:tcPr>
            <w:tcW w:w="1127" w:type="dxa"/>
            <w:tcBorders>
              <w:top w:val="single" w:color="000000" w:sz="4" w:space="0"/>
              <w:left w:val="single" w:color="000000" w:sz="4" w:space="0"/>
              <w:right w:val="single" w:color="000000" w:sz="4" w:space="0"/>
            </w:tcBorders>
            <w:noWrap w:val="0"/>
            <w:vAlign w:val="center"/>
          </w:tcPr>
          <w:p w14:paraId="1C13D92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降低</w:t>
            </w:r>
          </w:p>
        </w:tc>
        <w:tc>
          <w:tcPr>
            <w:tcW w:w="971" w:type="dxa"/>
            <w:tcBorders>
              <w:top w:val="single" w:color="000000" w:sz="4" w:space="0"/>
              <w:left w:val="single" w:color="000000" w:sz="4" w:space="0"/>
              <w:right w:val="single" w:color="000000" w:sz="4" w:space="0"/>
            </w:tcBorders>
            <w:noWrap w:val="0"/>
            <w:vAlign w:val="center"/>
          </w:tcPr>
          <w:p w14:paraId="2467891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显著</w:t>
            </w:r>
          </w:p>
        </w:tc>
        <w:tc>
          <w:tcPr>
            <w:tcW w:w="1061" w:type="dxa"/>
            <w:tcBorders>
              <w:top w:val="single" w:color="000000" w:sz="4" w:space="0"/>
              <w:left w:val="single" w:color="000000" w:sz="4" w:space="0"/>
              <w:right w:val="single" w:color="000000" w:sz="4" w:space="0"/>
            </w:tcBorders>
            <w:noWrap w:val="0"/>
            <w:vAlign w:val="center"/>
          </w:tcPr>
          <w:p w14:paraId="333EA2B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64FD6FBB">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BC382E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区域地质灾害发生风险显著降低</w:t>
            </w:r>
          </w:p>
        </w:tc>
      </w:tr>
      <w:tr w14:paraId="1B164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8932CC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14:paraId="3C1526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满意度</w:t>
            </w:r>
          </w:p>
          <w:p w14:paraId="03644D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50117B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服务对象</w:t>
            </w:r>
          </w:p>
          <w:p w14:paraId="09233E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满意度指标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35583C02">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受影响群众满意度</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099F0F2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2DE2FB0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90%</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0426A6C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5D55A491">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14:paraId="4CCB314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≥90%</w:t>
            </w:r>
          </w:p>
        </w:tc>
      </w:tr>
      <w:tr w14:paraId="2BAEF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82"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3D736E3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48523D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成本指标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828016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经济成本</w:t>
            </w:r>
          </w:p>
          <w:p w14:paraId="163A54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指标</w:t>
            </w:r>
          </w:p>
          <w:p w14:paraId="3B3D20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7E63F7B">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项目总预算控制率</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4BF7C0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2ED657FF">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520B201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4B64E90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23EC594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lang w:val="en-US" w:eastAsia="zh-CN"/>
              </w:rPr>
              <w:t>70.83</w:t>
            </w:r>
            <w:r>
              <w:rPr>
                <w:rFonts w:hint="eastAsia" w:ascii="宋体" w:hAnsi="宋体" w:eastAsia="宋体" w:cs="宋体"/>
                <w:sz w:val="21"/>
                <w:szCs w:val="21"/>
              </w:rPr>
              <w:t xml:space="preserve">%（总预算 </w:t>
            </w:r>
            <w:r>
              <w:rPr>
                <w:rFonts w:hint="eastAsia" w:ascii="宋体" w:hAnsi="宋体" w:eastAsia="宋体" w:cs="宋体"/>
                <w:sz w:val="21"/>
                <w:szCs w:val="21"/>
                <w:lang w:val="en-US" w:eastAsia="zh-CN"/>
              </w:rPr>
              <w:t>215.94</w:t>
            </w:r>
            <w:r>
              <w:rPr>
                <w:rFonts w:hint="eastAsia" w:ascii="宋体" w:hAnsi="宋体" w:eastAsia="宋体" w:cs="宋体"/>
                <w:sz w:val="21"/>
                <w:szCs w:val="21"/>
              </w:rPr>
              <w:t xml:space="preserve"> 万元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实际完成152.94万元</w:t>
            </w:r>
            <w:r>
              <w:rPr>
                <w:rFonts w:hint="eastAsia" w:ascii="宋体" w:hAnsi="宋体" w:eastAsia="宋体" w:cs="宋体"/>
                <w:sz w:val="21"/>
                <w:szCs w:val="21"/>
              </w:rPr>
              <w:t>）</w:t>
            </w:r>
          </w:p>
        </w:tc>
      </w:tr>
    </w:tbl>
    <w:p w14:paraId="4105B446">
      <w:pPr>
        <w:pStyle w:val="2"/>
        <w:rPr>
          <w:rFonts w:hint="eastAsia"/>
          <w:lang w:val="en-US" w:eastAsia="zh-CN"/>
        </w:rPr>
      </w:pPr>
    </w:p>
    <w:p w14:paraId="4CD6BBB3">
      <w:pPr>
        <w:widowControl/>
        <w:jc w:val="center"/>
        <w:rPr>
          <w:rFonts w:hint="eastAsia" w:ascii="Times New Roman" w:hAnsi="Times New Roman" w:eastAsia="黑体"/>
          <w:color w:val="auto"/>
          <w:sz w:val="44"/>
          <w:szCs w:val="44"/>
          <w:highlight w:val="none"/>
        </w:rPr>
      </w:pPr>
    </w:p>
    <w:p w14:paraId="2E1D4B92">
      <w:pPr>
        <w:widowControl/>
        <w:jc w:val="center"/>
        <w:rPr>
          <w:rFonts w:hint="eastAsia" w:ascii="Times New Roman" w:hAnsi="Times New Roman" w:eastAsia="黑体"/>
          <w:color w:val="auto"/>
          <w:sz w:val="44"/>
          <w:szCs w:val="44"/>
          <w:highlight w:val="none"/>
        </w:rPr>
      </w:pPr>
    </w:p>
    <w:p w14:paraId="2476E93A">
      <w:pPr>
        <w:widowControl/>
        <w:jc w:val="center"/>
        <w:rPr>
          <w:rFonts w:hint="eastAsia" w:ascii="Times New Roman" w:hAnsi="Times New Roman" w:eastAsia="黑体"/>
          <w:color w:val="auto"/>
          <w:sz w:val="44"/>
          <w:szCs w:val="44"/>
          <w:highlight w:val="none"/>
        </w:rPr>
      </w:pPr>
    </w:p>
    <w:p w14:paraId="280F8761">
      <w:pPr>
        <w:widowControl/>
        <w:jc w:val="center"/>
        <w:rPr>
          <w:rFonts w:hint="eastAsia" w:ascii="Times New Roman" w:hAnsi="Times New Roman" w:eastAsia="黑体"/>
          <w:color w:val="auto"/>
          <w:sz w:val="44"/>
          <w:szCs w:val="44"/>
          <w:highlight w:val="none"/>
        </w:rPr>
      </w:pPr>
    </w:p>
    <w:p w14:paraId="7DA1D9B7">
      <w:pPr>
        <w:widowControl/>
        <w:jc w:val="center"/>
        <w:rPr>
          <w:rFonts w:hint="eastAsia" w:ascii="Times New Roman" w:hAnsi="Times New Roman" w:eastAsia="黑体"/>
          <w:color w:val="auto"/>
          <w:sz w:val="44"/>
          <w:szCs w:val="44"/>
          <w:highlight w:val="none"/>
        </w:rPr>
      </w:pPr>
    </w:p>
    <w:p w14:paraId="47B5A09D">
      <w:pPr>
        <w:widowControl/>
        <w:jc w:val="center"/>
        <w:rPr>
          <w:rFonts w:hint="eastAsia" w:ascii="Times New Roman" w:hAnsi="Times New Roman" w:eastAsia="黑体"/>
          <w:color w:val="auto"/>
          <w:sz w:val="44"/>
          <w:szCs w:val="44"/>
          <w:highlight w:val="none"/>
        </w:rPr>
      </w:pPr>
    </w:p>
    <w:p w14:paraId="5BEE8135">
      <w:pPr>
        <w:widowControl/>
        <w:jc w:val="center"/>
        <w:rPr>
          <w:rFonts w:hint="eastAsia" w:ascii="Times New Roman" w:hAnsi="Times New Roman" w:eastAsia="黑体"/>
          <w:color w:val="auto"/>
          <w:sz w:val="44"/>
          <w:szCs w:val="44"/>
          <w:highlight w:val="none"/>
        </w:rPr>
      </w:pPr>
    </w:p>
    <w:p w14:paraId="2FD44158">
      <w:pPr>
        <w:widowControl/>
        <w:jc w:val="center"/>
        <w:rPr>
          <w:rFonts w:hint="eastAsia" w:ascii="Times New Roman" w:hAnsi="Times New Roman" w:eastAsia="黑体"/>
          <w:color w:val="auto"/>
          <w:sz w:val="44"/>
          <w:szCs w:val="44"/>
          <w:highlight w:val="none"/>
        </w:rPr>
      </w:pPr>
    </w:p>
    <w:p w14:paraId="5022A965">
      <w:pPr>
        <w:widowControl/>
        <w:jc w:val="center"/>
        <w:rPr>
          <w:rFonts w:hint="eastAsia" w:ascii="Times New Roman" w:hAnsi="Times New Roman" w:eastAsia="黑体"/>
          <w:color w:val="auto"/>
          <w:sz w:val="44"/>
          <w:szCs w:val="44"/>
          <w:highlight w:val="none"/>
        </w:rPr>
      </w:pPr>
    </w:p>
    <w:p w14:paraId="4EB06E0B">
      <w:pPr>
        <w:widowControl/>
        <w:jc w:val="center"/>
        <w:rPr>
          <w:rFonts w:hint="eastAsia" w:ascii="Times New Roman" w:hAnsi="Times New Roman" w:eastAsia="黑体"/>
          <w:color w:val="auto"/>
          <w:sz w:val="44"/>
          <w:szCs w:val="44"/>
          <w:highlight w:val="none"/>
        </w:rPr>
      </w:pPr>
    </w:p>
    <w:p w14:paraId="45C12E50">
      <w:pPr>
        <w:pStyle w:val="2"/>
        <w:rPr>
          <w:rFonts w:hint="eastAsia"/>
        </w:rPr>
      </w:pPr>
    </w:p>
    <w:p w14:paraId="1ABB12F5">
      <w:pPr>
        <w:rPr>
          <w:rFonts w:hint="eastAsia"/>
        </w:rPr>
      </w:pPr>
    </w:p>
    <w:p w14:paraId="323E6753">
      <w:pPr>
        <w:pStyle w:val="2"/>
        <w:rPr>
          <w:rFonts w:hint="eastAsia"/>
        </w:rPr>
      </w:pPr>
    </w:p>
    <w:p w14:paraId="07B2140E">
      <w:pPr>
        <w:widowControl w:val="0"/>
        <w:spacing w:beforeLines="30"/>
        <w:jc w:val="both"/>
        <w:rPr>
          <w:rFonts w:hint="eastAsia" w:ascii="Times New Roman" w:hAnsi="Times New Roman" w:eastAsia="黑体" w:cs="黑体"/>
          <w:color w:val="auto"/>
          <w:kern w:val="0"/>
          <w:sz w:val="32"/>
          <w:szCs w:val="32"/>
          <w:highlight w:val="none"/>
          <w:lang w:val="en-US" w:eastAsia="zh-CN" w:bidi="ar-SA"/>
        </w:rPr>
      </w:pPr>
      <w:r>
        <w:rPr>
          <w:rFonts w:hint="eastAsia" w:ascii="Times New Roman" w:hAnsi="Times New Roman" w:eastAsia="黑体" w:cs="黑体"/>
          <w:color w:val="auto"/>
          <w:kern w:val="0"/>
          <w:sz w:val="32"/>
          <w:szCs w:val="32"/>
          <w:highlight w:val="none"/>
          <w:shd w:val="clear" w:color="auto" w:fill="FFFFFF"/>
          <w:lang w:val="zh-CN" w:eastAsia="zh-CN" w:bidi="ar-SA"/>
        </w:rPr>
        <w:t>附件</w:t>
      </w:r>
      <w:r>
        <w:rPr>
          <w:rFonts w:hint="eastAsia" w:ascii="Times New Roman" w:hAnsi="Times New Roman" w:eastAsia="黑体" w:cs="黑体"/>
          <w:color w:val="auto"/>
          <w:kern w:val="0"/>
          <w:sz w:val="32"/>
          <w:szCs w:val="32"/>
          <w:highlight w:val="none"/>
          <w:shd w:val="clear" w:color="auto" w:fill="FFFFFF"/>
          <w:lang w:val="en-US" w:eastAsia="zh-CN" w:bidi="ar-SA"/>
        </w:rPr>
        <w:t>3</w:t>
      </w:r>
    </w:p>
    <w:p w14:paraId="78AD0F5E">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bidi="ar-SA"/>
        </w:rPr>
      </w:pPr>
    </w:p>
    <w:p w14:paraId="65DAAF28">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bidi="ar-SA"/>
        </w:rPr>
      </w:pPr>
      <w:r>
        <w:rPr>
          <w:rFonts w:hint="eastAsia" w:ascii="Times New Roman" w:hAnsi="Times New Roman" w:eastAsia="方正小标宋简体" w:cs="方正小标宋简体"/>
          <w:color w:val="auto"/>
          <w:kern w:val="2"/>
          <w:sz w:val="44"/>
          <w:szCs w:val="44"/>
          <w:highlight w:val="none"/>
          <w:lang w:val="en-US" w:eastAsia="zh-CN" w:bidi="ar-SA"/>
        </w:rPr>
        <w:t>不动产中心房租费绩效自评报告</w:t>
      </w:r>
    </w:p>
    <w:p w14:paraId="07F9CBD5">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eastAsia="宋体" w:cs="Times New Roman"/>
          <w:color w:val="auto"/>
          <w:kern w:val="2"/>
          <w:sz w:val="32"/>
          <w:szCs w:val="32"/>
          <w:highlight w:val="none"/>
          <w:lang w:val="zh-CN" w:eastAsia="zh-CN" w:bidi="ar-SA"/>
        </w:rPr>
      </w:pPr>
    </w:p>
    <w:p w14:paraId="31076A8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cs="Times New Roman"/>
          <w:sz w:val="32"/>
          <w:szCs w:val="32"/>
          <w:highlight w:val="none"/>
          <w:lang w:val="zh-CN"/>
        </w:rPr>
      </w:pPr>
      <w:r>
        <w:rPr>
          <w:rFonts w:hint="eastAsia" w:ascii="Times New Roman" w:hAnsi="Times New Roman" w:eastAsia="黑体" w:cs="Times New Roman"/>
          <w:sz w:val="32"/>
          <w:szCs w:val="32"/>
          <w:highlight w:val="none"/>
        </w:rPr>
        <w:t>一、</w:t>
      </w:r>
      <w:r>
        <w:rPr>
          <w:rFonts w:hint="eastAsia" w:ascii="Times New Roman" w:hAnsi="Times New Roman" w:eastAsia="黑体" w:cs="Times New Roman"/>
          <w:sz w:val="32"/>
          <w:szCs w:val="32"/>
          <w:highlight w:val="none"/>
          <w:lang w:val="zh-CN"/>
        </w:rPr>
        <w:t>项目概况</w:t>
      </w:r>
    </w:p>
    <w:p w14:paraId="16CC5D6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（一）基本情况。</w:t>
      </w:r>
    </w:p>
    <w:p w14:paraId="528D623F">
      <w:pPr>
        <w:widowControl w:val="0"/>
        <w:spacing w:before="103" w:beforeLines="30" w:line="219" w:lineRule="auto"/>
        <w:ind w:left="710"/>
        <w:jc w:val="both"/>
        <w:rPr>
          <w:rFonts w:hint="eastAsia" w:ascii="Times New Roman" w:hAnsi="Times New Roman" w:eastAsia="仿宋_GB2312" w:cs="仿宋_GB2312"/>
          <w:color w:val="auto"/>
          <w:kern w:val="0"/>
          <w:sz w:val="32"/>
          <w:szCs w:val="32"/>
          <w:highlight w:val="none"/>
          <w:u w:val="none"/>
          <w:shd w:val="clear" w:color="auto" w:fill="FFFFFF"/>
          <w:lang w:val="zh-CN" w:eastAsia="zh-CN" w:bidi="ar-SA"/>
        </w:rPr>
      </w:pPr>
      <w:r>
        <w:rPr>
          <w:rFonts w:hint="eastAsia" w:ascii="Times New Roman" w:hAnsi="Times New Roman" w:eastAsia="仿宋_GB2312" w:cs="仿宋_GB2312"/>
          <w:color w:val="auto"/>
          <w:kern w:val="0"/>
          <w:sz w:val="32"/>
          <w:szCs w:val="32"/>
          <w:highlight w:val="none"/>
          <w:u w:val="none"/>
          <w:shd w:val="clear" w:color="auto" w:fill="FFFFFF"/>
          <w:lang w:val="zh-CN" w:eastAsia="zh-CN" w:bidi="ar-SA"/>
        </w:rPr>
        <w:t>1.项目基本情况</w:t>
      </w:r>
    </w:p>
    <w:p w14:paraId="2796B6B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仿宋_GB2312" w:cs="仿宋_GB2312"/>
          <w:color w:val="auto"/>
          <w:kern w:val="0"/>
          <w:sz w:val="32"/>
          <w:szCs w:val="32"/>
          <w:highlight w:val="none"/>
          <w:u w:val="none"/>
          <w:shd w:val="clear" w:color="auto" w:fill="FFFFFF"/>
          <w:lang w:val="zh-CN"/>
        </w:rPr>
        <w:t>为保障沐川县不动产登记窗口办事、档案存放、内部办公业务正常运行经县政府同意（沐川县人民政府阅办文件批示单收文〔2021〕167号），县自然资源局于</w:t>
      </w:r>
      <w:r>
        <w:rPr>
          <w:rFonts w:hint="eastAsia" w:ascii="Times New Roman" w:hAnsi="Times New Roman" w:eastAsia="仿宋_GB2312" w:cs="仿宋_GB2312"/>
          <w:color w:val="auto"/>
          <w:kern w:val="0"/>
          <w:sz w:val="32"/>
          <w:szCs w:val="32"/>
          <w:highlight w:val="none"/>
          <w:u w:val="none"/>
          <w:shd w:val="clear" w:color="auto" w:fill="FFFFFF"/>
          <w:lang w:val="en-US" w:eastAsia="zh-CN"/>
        </w:rPr>
        <w:t>2021年4月与业主签订房屋租赁合同，租赁面积为696.14平方米，租期五年。根据该合同，沐川县自然资源局应在每年5月30日前支付业主租金150336元。因财政预算该租金为150300元，经与业主协商，业主同意县自然资源局支付2023年5月1日至2024年4月30日房租150300元。</w:t>
      </w:r>
      <w:r>
        <w:rPr>
          <w:rFonts w:hint="eastAsia" w:ascii="Times New Roman" w:hAnsi="Times New Roman" w:eastAsia="仿宋_GB2312" w:cs="仿宋_GB2312"/>
          <w:color w:val="auto"/>
          <w:kern w:val="0"/>
          <w:sz w:val="32"/>
          <w:szCs w:val="32"/>
          <w:highlight w:val="none"/>
          <w:u w:val="none"/>
          <w:shd w:val="clear" w:color="auto" w:fill="FFFFFF"/>
          <w:lang w:val="zh-CN"/>
        </w:rPr>
        <w:t>项目主要用于租赁办公大厅，由沐川县自然资源局履行预算及资金监管职责。</w:t>
      </w:r>
    </w:p>
    <w:p w14:paraId="27B1AC7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落实行政单位房屋租赁资金管理相关规定，通过租赁办公场地，保障不动产登记业务、便民服务有序开展，主要任务为按合同履约、按期支付租金，保障场地安全合规使用。</w:t>
      </w:r>
    </w:p>
    <w:p w14:paraId="2DB01F7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年度预算</w:t>
      </w:r>
      <w:r>
        <w:rPr>
          <w:rFonts w:hint="eastAsia" w:ascii="Times New Roman" w:hAnsi="Times New Roman" w:eastAsia="仿宋_GB2312" w:cs="仿宋_GB2312"/>
          <w:b w:val="0"/>
          <w:bCs w:val="0"/>
          <w:kern w:val="0"/>
          <w:position w:val="0"/>
          <w:sz w:val="32"/>
          <w:szCs w:val="32"/>
          <w:highlight w:val="none"/>
          <w:lang w:val="en-US" w:eastAsia="zh-CN" w:bidi="ar-SA"/>
        </w:rPr>
        <w:t>150300</w:t>
      </w:r>
      <w:r>
        <w:rPr>
          <w:rFonts w:hint="eastAsia" w:ascii="Times New Roman" w:hAnsi="Times New Roman" w:eastAsia="仿宋_GB2312" w:cs="仿宋_GB2312"/>
          <w:b w:val="0"/>
          <w:bCs w:val="0"/>
          <w:kern w:val="0"/>
          <w:position w:val="0"/>
          <w:sz w:val="32"/>
          <w:szCs w:val="32"/>
          <w:highlight w:val="none"/>
          <w:lang w:val="zh-CN" w:eastAsia="zh-CN" w:bidi="ar-SA"/>
        </w:rPr>
        <w:t>万元，全部用于本单位办公用房租金，无向下级分配资金。资金严格按照租赁合同、财政支付规定据实拨付，专款专用。</w:t>
      </w:r>
    </w:p>
    <w:p w14:paraId="33D8CB40">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（四）项目绩效目标设置。</w:t>
      </w:r>
    </w:p>
    <w:p w14:paraId="27D66712">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整体目标：保障办公及服务场地稳定，满足登记业务、档案保管使用需求，资金使用合规，群众办事环境得到保障。</w:t>
      </w:r>
    </w:p>
    <w:p w14:paraId="7874191B">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具体目标：完成年度房屋租赁履约，保障业务全年正常运行，严格控制预算，提升办事群众体验。</w:t>
      </w:r>
    </w:p>
    <w:p w14:paraId="4A94352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rPr>
        <w:t>二、</w:t>
      </w:r>
      <w:r>
        <w:rPr>
          <w:rFonts w:hint="eastAsia" w:ascii="Times New Roman" w:hAnsi="Times New Roman" w:eastAsia="黑体" w:cs="Times New Roman"/>
          <w:sz w:val="32"/>
          <w:szCs w:val="32"/>
          <w:highlight w:val="none"/>
          <w:lang w:eastAsia="zh-CN"/>
        </w:rPr>
        <w:t>评价实施</w:t>
      </w:r>
    </w:p>
    <w:p w14:paraId="08A0C46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核查办公用房租赁项目预算执行、资金使用及实际保障效果。</w:t>
      </w:r>
    </w:p>
    <w:p w14:paraId="39F23F8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（二）预设问题及评价重点。</w:t>
      </w:r>
      <w:r>
        <w:rPr>
          <w:rFonts w:hint="eastAsia" w:ascii="Times New Roman" w:hAnsi="Times New Roman" w:eastAsia="仿宋_GB2312" w:cs="仿宋_GB2312"/>
          <w:b w:val="0"/>
          <w:bCs w:val="0"/>
          <w:color w:val="auto"/>
          <w:kern w:val="0"/>
          <w:position w:val="0"/>
          <w:sz w:val="32"/>
          <w:szCs w:val="32"/>
          <w:highlight w:val="none"/>
          <w:lang w:val="zh-CN" w:eastAsia="zh-CN" w:bidi="ar-SA"/>
        </w:rPr>
        <w:t>对照指标体系，重点评价项目立项程序、预算编制、资金支付合规性、租赁场地实际保障能力、绩效目标完成情况。</w:t>
      </w:r>
    </w:p>
    <w:p w14:paraId="1B768F6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（三）评价选点。</w:t>
      </w:r>
      <w:r>
        <w:rPr>
          <w:rFonts w:hint="eastAsia" w:ascii="Times New Roman" w:hAnsi="Times New Roman" w:eastAsia="仿宋_GB2312" w:cs="仿宋_GB2312"/>
          <w:b w:val="0"/>
          <w:bCs w:val="0"/>
          <w:color w:val="auto"/>
          <w:kern w:val="0"/>
          <w:position w:val="0"/>
          <w:sz w:val="32"/>
          <w:szCs w:val="32"/>
          <w:highlight w:val="none"/>
          <w:lang w:val="zh-CN" w:eastAsia="zh-CN" w:bidi="ar-SA"/>
        </w:rPr>
        <w:t>本项目为单位本级实施的行政运转项目，无下级资金分配，不开展市县点位抽样踏勘。</w:t>
      </w:r>
    </w:p>
    <w:p w14:paraId="61D43BC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eastAsia="仿宋_GB2312" w:cs="仿宋_GB2312"/>
          <w:b w:val="0"/>
          <w:bCs w:val="0"/>
          <w:color w:val="auto"/>
          <w:kern w:val="0"/>
          <w:position w:val="0"/>
          <w:sz w:val="32"/>
          <w:szCs w:val="32"/>
          <w:highlight w:val="none"/>
          <w:lang w:val="zh-CN" w:eastAsia="zh-CN" w:bidi="ar-SA"/>
        </w:rPr>
        <w:t>采用单位自评法，查阅预算资料、租赁合同、会计凭证，结合业务实际开展内部评价。</w:t>
      </w:r>
    </w:p>
    <w:p w14:paraId="28CFFA7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宋体" w:cs="Times New Roman"/>
          <w:color w:val="auto"/>
          <w:sz w:val="32"/>
          <w:szCs w:val="32"/>
          <w:highlight w:val="none"/>
          <w:u w:val="none"/>
          <w:lang w:val="zh-CN"/>
        </w:rPr>
      </w:pPr>
      <w:r>
        <w:rPr>
          <w:rFonts w:hint="eastAsia" w:ascii="Times New Roman" w:hAnsi="Times New Roman" w:eastAsia="黑体" w:cs="Times New Roman"/>
          <w:color w:val="auto"/>
          <w:sz w:val="32"/>
          <w:szCs w:val="32"/>
          <w:highlight w:val="none"/>
          <w:u w:val="none"/>
        </w:rPr>
        <w:t>三、</w:t>
      </w:r>
      <w:r>
        <w:rPr>
          <w:rFonts w:hint="eastAsia" w:ascii="Times New Roman" w:hAnsi="Times New Roman" w:eastAsia="黑体" w:cs="Times New Roman"/>
          <w:color w:val="auto"/>
          <w:sz w:val="32"/>
          <w:szCs w:val="32"/>
          <w:highlight w:val="none"/>
          <w:u w:val="none"/>
          <w:lang w:eastAsia="zh-CN"/>
        </w:rPr>
        <w:t>绩效分析</w:t>
      </w:r>
      <w:r>
        <w:rPr>
          <w:rFonts w:hint="eastAsia" w:ascii="Times New Roman" w:hAnsi="Times New Roman" w:eastAsia="宋体" w:cs="Times New Roman"/>
          <w:color w:val="auto"/>
          <w:sz w:val="32"/>
          <w:szCs w:val="32"/>
          <w:highlight w:val="none"/>
          <w:u w:val="none"/>
          <w:lang w:val="zh-CN"/>
        </w:rPr>
        <w:tab/>
      </w:r>
    </w:p>
    <w:p w14:paraId="00A87024">
      <w:pPr>
        <w:keepNext w:val="0"/>
        <w:keepLines w:val="0"/>
        <w:pageBreakBefore w:val="0"/>
        <w:kinsoku/>
        <w:wordWrap/>
        <w:overflowPunct/>
        <w:topLinePunct w:val="0"/>
        <w:autoSpaceDE/>
        <w:autoSpaceDN/>
        <w:bidi w:val="0"/>
        <w:adjustRightInd w:val="0"/>
        <w:snapToGrid w:val="0"/>
        <w:spacing w:line="578" w:lineRule="exact"/>
        <w:ind w:firstLine="643" w:firstLineChars="200"/>
        <w:textAlignment w:val="auto"/>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DAE6C6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ascii="Times New Roman" w:hAnsi="Times New Roman" w:eastAsia="仿宋_GB2312" w:cs="仿宋_GB2312"/>
          <w:b w:val="0"/>
          <w:bCs w:val="0"/>
          <w:color w:val="auto"/>
          <w:kern w:val="0"/>
          <w:position w:val="0"/>
          <w:sz w:val="32"/>
          <w:szCs w:val="32"/>
          <w:highlight w:val="none"/>
          <w:lang w:val="zh-CN" w:eastAsia="zh-CN" w:bidi="ar-SA"/>
        </w:rPr>
        <w:t>项目经县政府批示同意，履行内部决策程序；续租租金按原合同标准执行，并经与出租人反复磋商，论证充分；资金全部用于房屋租金，投向合规，无挤占挪用。</w:t>
      </w:r>
    </w:p>
    <w:p w14:paraId="064573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w:t>
      </w:r>
      <w:r>
        <w:rPr>
          <w:rFonts w:hint="eastAsia" w:ascii="Times New Roman" w:hAnsi="Times New Roman" w:eastAsia="仿宋_GB2312" w:cs="仿宋_GB2312"/>
          <w:b w:val="0"/>
          <w:bCs w:val="0"/>
          <w:color w:val="auto"/>
          <w:kern w:val="0"/>
          <w:position w:val="0"/>
          <w:sz w:val="32"/>
          <w:szCs w:val="32"/>
          <w:highlight w:val="none"/>
          <w:lang w:val="zh-CN" w:eastAsia="zh-CN" w:bidi="ar-SA"/>
        </w:rPr>
        <w:t>严格执行行政单位财务、房屋租赁管理制度；资金专款专用，绩效监控按要求开展。</w:t>
      </w:r>
    </w:p>
    <w:p w14:paraId="508835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预算执行基本到位，租金按合同约定</w:t>
      </w:r>
      <w:r>
        <w:rPr>
          <w:rFonts w:hint="eastAsia" w:ascii="Times New Roman" w:hAnsi="Times New Roman" w:eastAsia="仿宋_GB2312" w:cs="仿宋_GB2312"/>
          <w:b w:val="0"/>
          <w:bCs w:val="0"/>
          <w:color w:val="auto"/>
          <w:kern w:val="0"/>
          <w:position w:val="0"/>
          <w:sz w:val="32"/>
          <w:szCs w:val="32"/>
          <w:highlight w:val="none"/>
          <w:lang w:val="zh-CN" w:eastAsia="zh-CN" w:bidi="ar-SA"/>
        </w:rPr>
        <w:t>分期</w:t>
      </w:r>
      <w:r>
        <w:rPr>
          <w:rFonts w:hint="eastAsia" w:ascii="Times New Roman" w:hAnsi="Times New Roman" w:eastAsia="仿宋_GB2312" w:cs="仿宋_GB2312"/>
          <w:b w:val="0"/>
          <w:bCs w:val="0"/>
          <w:kern w:val="0"/>
          <w:position w:val="0"/>
          <w:sz w:val="32"/>
          <w:szCs w:val="32"/>
          <w:highlight w:val="none"/>
          <w:lang w:val="zh-CN" w:eastAsia="zh-CN" w:bidi="ar-SA"/>
        </w:rPr>
        <w:t>支付，财务手续完备，资金使用规范。</w:t>
      </w:r>
    </w:p>
    <w:p w14:paraId="52DA3CF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ascii="Times New Roman" w:hAnsi="Times New Roman" w:eastAsia="仿宋_GB2312" w:cs="仿宋_GB2312"/>
          <w:b w:val="0"/>
          <w:bCs w:val="0"/>
          <w:kern w:val="0"/>
          <w:position w:val="0"/>
          <w:sz w:val="32"/>
          <w:szCs w:val="32"/>
          <w:highlight w:val="none"/>
          <w:lang w:val="zh-CN" w:eastAsia="zh-CN" w:bidi="ar-SA"/>
        </w:rPr>
        <w:t>完成年度租赁履约，办公、窗口、档案存放地正常投入使用，保障不动产登记业务持续运转，达成既定绩效目标。</w:t>
      </w:r>
    </w:p>
    <w:p w14:paraId="259334F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FF000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27A667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1.</w:t>
      </w:r>
      <w:r>
        <w:rPr>
          <w:rFonts w:hint="eastAsia" w:ascii="Times New Roman" w:hAnsi="Times New Roman" w:eastAsia="仿宋_GB2312" w:cs="仿宋_GB2312"/>
          <w:b w:val="0"/>
          <w:bCs w:val="0"/>
          <w:color w:val="auto"/>
          <w:kern w:val="0"/>
          <w:position w:val="0"/>
          <w:sz w:val="32"/>
          <w:szCs w:val="32"/>
          <w:highlight w:val="none"/>
          <w:lang w:val="zh-CN" w:eastAsia="zh-CN" w:bidi="ar-SA"/>
        </w:rPr>
        <w:t>经济性分析。</w:t>
      </w:r>
    </w:p>
    <w:p w14:paraId="1A304B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（1）项目成本（预算）控制情况。</w:t>
      </w:r>
    </w:p>
    <w:p w14:paraId="42D0AFA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项目全年预算财政资金</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元，资金实际执行数</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元，执行率100%。</w:t>
      </w:r>
    </w:p>
    <w:p w14:paraId="74AB2DB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（2）项目成本（预算）节约情况</w:t>
      </w:r>
    </w:p>
    <w:p w14:paraId="01BBDA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该项目实际支出</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元，没有结余资金。</w:t>
      </w:r>
    </w:p>
    <w:p w14:paraId="2BF3F0B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2.效率性分析。</w:t>
      </w:r>
    </w:p>
    <w:p w14:paraId="75B16F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（1）实施进度</w:t>
      </w:r>
    </w:p>
    <w:p w14:paraId="14877CF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办公场所房屋租金项目工作任务均在202</w:t>
      </w:r>
      <w:r>
        <w:rPr>
          <w:rFonts w:hint="eastAsia" w:ascii="Times New Roman" w:hAnsi="Times New Roman" w:eastAsia="仿宋_GB2312" w:cs="仿宋_GB2312"/>
          <w:b w:val="0"/>
          <w:bCs w:val="0"/>
          <w:color w:val="auto"/>
          <w:kern w:val="0"/>
          <w:position w:val="0"/>
          <w:sz w:val="32"/>
          <w:szCs w:val="32"/>
          <w:highlight w:val="none"/>
          <w:lang w:val="en-US" w:eastAsia="zh-CN" w:bidi="ar-SA"/>
        </w:rPr>
        <w:t>5</w:t>
      </w:r>
      <w:r>
        <w:rPr>
          <w:rFonts w:hint="eastAsia" w:ascii="Times New Roman" w:hAnsi="Times New Roman" w:eastAsia="仿宋_GB2312" w:cs="仿宋_GB2312"/>
          <w:b w:val="0"/>
          <w:bCs w:val="0"/>
          <w:color w:val="auto"/>
          <w:kern w:val="0"/>
          <w:position w:val="0"/>
          <w:sz w:val="32"/>
          <w:szCs w:val="32"/>
          <w:highlight w:val="none"/>
          <w:lang w:val="zh-CN" w:eastAsia="zh-CN" w:bidi="ar-SA"/>
        </w:rPr>
        <w:t>年度完成。</w:t>
      </w:r>
    </w:p>
    <w:p w14:paraId="6E5729E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（2）完成质量</w:t>
      </w:r>
    </w:p>
    <w:p w14:paraId="614C52E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该项目保障了不动产登记工作办公场所需求，使各项工作有序开展，提高群众办理不动产登记效率，方便群众办事。</w:t>
      </w:r>
    </w:p>
    <w:p w14:paraId="1770E8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3.效益性分析。</w:t>
      </w:r>
    </w:p>
    <w:p w14:paraId="218E21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（1）项目预期目标完成程度</w:t>
      </w:r>
    </w:p>
    <w:p w14:paraId="351868E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办公场所房屋租金项目顺利实施，并全面完成各项工 作任务。</w:t>
      </w:r>
    </w:p>
    <w:p w14:paraId="7619B38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（2）项目实施对经济和社会的影响。</w:t>
      </w:r>
    </w:p>
    <w:p w14:paraId="68A5076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办公场所房屋租金项目有利于维持沐川县不动产登记中心办公场所需要，提高群众办理不动产登记效率，方便群众办事。因此，该项目的实施对经济和社会的影响较好。</w:t>
      </w:r>
    </w:p>
    <w:p w14:paraId="4DCFEAD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4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可持续性分析。</w:t>
      </w:r>
    </w:p>
    <w:p w14:paraId="760C6D7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该项目属于经常性项目，每年财政都会安排一定资金 支付沐川县不动产登记中心的办公场所租金，因此，该项目可持续发展。</w:t>
      </w:r>
    </w:p>
    <w:p w14:paraId="1F6E583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0000FF"/>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58CD15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项目预算批复的绩效指标完成情况分析。</w:t>
      </w:r>
    </w:p>
    <w:p w14:paraId="6927889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数量指标分析</w:t>
      </w:r>
    </w:p>
    <w:p w14:paraId="06AA399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该数量指标，租赁办公场所面积，年度指标为</w:t>
      </w:r>
      <w:r>
        <w:rPr>
          <w:rFonts w:hint="eastAsia" w:ascii="Times New Roman" w:hAnsi="Times New Roman" w:eastAsia="仿宋_GB2312" w:cs="仿宋_GB2312"/>
          <w:b w:val="0"/>
          <w:bCs w:val="0"/>
          <w:color w:val="auto"/>
          <w:kern w:val="0"/>
          <w:position w:val="0"/>
          <w:sz w:val="32"/>
          <w:szCs w:val="32"/>
          <w:highlight w:val="none"/>
          <w:lang w:val="en-US" w:eastAsia="zh-CN" w:bidi="ar-SA"/>
        </w:rPr>
        <w:t>694.14</w:t>
      </w:r>
      <w:r>
        <w:rPr>
          <w:rFonts w:hint="eastAsia" w:ascii="Times New Roman" w:hAnsi="Times New Roman" w:eastAsia="仿宋_GB2312" w:cs="仿宋_GB2312"/>
          <w:b w:val="0"/>
          <w:bCs w:val="0"/>
          <w:color w:val="auto"/>
          <w:kern w:val="0"/>
          <w:position w:val="0"/>
          <w:sz w:val="32"/>
          <w:szCs w:val="32"/>
          <w:highlight w:val="none"/>
          <w:lang w:val="zh-CN" w:eastAsia="zh-CN" w:bidi="ar-SA"/>
        </w:rPr>
        <w:t>平方米，分值20分。实际租赁办公场所面积等于</w:t>
      </w:r>
      <w:r>
        <w:rPr>
          <w:rFonts w:hint="eastAsia" w:ascii="Times New Roman" w:hAnsi="Times New Roman" w:eastAsia="仿宋_GB2312" w:cs="仿宋_GB2312"/>
          <w:b w:val="0"/>
          <w:bCs w:val="0"/>
          <w:color w:val="auto"/>
          <w:kern w:val="0"/>
          <w:position w:val="0"/>
          <w:sz w:val="32"/>
          <w:szCs w:val="32"/>
          <w:highlight w:val="none"/>
          <w:lang w:val="en-US" w:eastAsia="zh-CN" w:bidi="ar-SA"/>
        </w:rPr>
        <w:t>694.14</w:t>
      </w:r>
      <w:r>
        <w:rPr>
          <w:rFonts w:hint="eastAsia" w:ascii="Times New Roman" w:hAnsi="Times New Roman" w:eastAsia="仿宋_GB2312" w:cs="仿宋_GB2312"/>
          <w:b w:val="0"/>
          <w:bCs w:val="0"/>
          <w:color w:val="auto"/>
          <w:kern w:val="0"/>
          <w:position w:val="0"/>
          <w:sz w:val="32"/>
          <w:szCs w:val="32"/>
          <w:highlight w:val="none"/>
          <w:lang w:val="zh-CN" w:eastAsia="zh-CN" w:bidi="ar-SA"/>
        </w:rPr>
        <w:t>平方米，该绩效目标完成，该指标得分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25</w:t>
      </w:r>
      <w:r>
        <w:rPr>
          <w:rFonts w:hint="eastAsia" w:ascii="Times New Roman" w:hAnsi="Times New Roman" w:eastAsia="仿宋_GB2312" w:cs="仿宋_GB2312"/>
          <w:b w:val="0"/>
          <w:bCs w:val="0"/>
          <w:color w:val="auto"/>
          <w:kern w:val="0"/>
          <w:position w:val="0"/>
          <w:sz w:val="32"/>
          <w:szCs w:val="32"/>
          <w:highlight w:val="none"/>
          <w:lang w:val="zh-CN" w:eastAsia="zh-CN" w:bidi="ar-SA"/>
        </w:rPr>
        <w:t>分。</w:t>
      </w:r>
    </w:p>
    <w:p w14:paraId="0648815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2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时效指标分析</w:t>
      </w:r>
    </w:p>
    <w:p w14:paraId="29F1E2B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该时效指标，租赁办公场所合同期限，年度指标</w:t>
      </w:r>
      <w:r>
        <w:rPr>
          <w:rFonts w:hint="eastAsia" w:ascii="Times New Roman" w:hAnsi="Times New Roman" w:eastAsia="仿宋_GB2312" w:cs="仿宋_GB2312"/>
          <w:b w:val="0"/>
          <w:bCs w:val="0"/>
          <w:color w:val="auto"/>
          <w:kern w:val="0"/>
          <w:position w:val="0"/>
          <w:sz w:val="32"/>
          <w:szCs w:val="32"/>
          <w:highlight w:val="none"/>
          <w:lang w:val="en-US" w:eastAsia="zh-CN" w:bidi="ar-SA"/>
        </w:rPr>
        <w:t>=1</w:t>
      </w:r>
      <w:r>
        <w:rPr>
          <w:rFonts w:hint="eastAsia" w:ascii="Times New Roman" w:hAnsi="Times New Roman" w:eastAsia="仿宋_GB2312" w:cs="仿宋_GB2312"/>
          <w:b w:val="0"/>
          <w:bCs w:val="0"/>
          <w:color w:val="auto"/>
          <w:kern w:val="0"/>
          <w:position w:val="0"/>
          <w:sz w:val="32"/>
          <w:szCs w:val="32"/>
          <w:highlight w:val="none"/>
          <w:lang w:val="zh-CN" w:eastAsia="zh-CN" w:bidi="ar-SA"/>
        </w:rPr>
        <w:t>年，分值20分。实际签订租赁办公场所合同1年，目标完成100%，该绩效目标完成，该指标得分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25</w:t>
      </w:r>
      <w:r>
        <w:rPr>
          <w:rFonts w:hint="eastAsia" w:ascii="Times New Roman" w:hAnsi="Times New Roman" w:eastAsia="仿宋_GB2312" w:cs="仿宋_GB2312"/>
          <w:b w:val="0"/>
          <w:bCs w:val="0"/>
          <w:color w:val="auto"/>
          <w:kern w:val="0"/>
          <w:position w:val="0"/>
          <w:sz w:val="32"/>
          <w:szCs w:val="32"/>
          <w:highlight w:val="none"/>
          <w:lang w:val="zh-CN" w:eastAsia="zh-CN" w:bidi="ar-SA"/>
        </w:rPr>
        <w:t>分。</w:t>
      </w:r>
    </w:p>
    <w:p w14:paraId="49D2D88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3</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社会效益指标分析</w:t>
      </w:r>
    </w:p>
    <w:p w14:paraId="3E0FDBF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该社会效益指标，提高群众办理不动产登记效益率，年度指标≥90%，分值</w:t>
      </w:r>
      <w:r>
        <w:rPr>
          <w:rFonts w:hint="eastAsia" w:ascii="Times New Roman" w:hAnsi="Times New Roman" w:eastAsia="仿宋_GB2312" w:cs="仿宋_GB2312"/>
          <w:b w:val="0"/>
          <w:bCs w:val="0"/>
          <w:color w:val="auto"/>
          <w:kern w:val="0"/>
          <w:position w:val="0"/>
          <w:sz w:val="32"/>
          <w:szCs w:val="32"/>
          <w:highlight w:val="none"/>
          <w:lang w:val="en-US" w:eastAsia="zh-CN" w:bidi="ar-SA"/>
        </w:rPr>
        <w:t>3</w:t>
      </w:r>
      <w:r>
        <w:rPr>
          <w:rFonts w:hint="eastAsia" w:ascii="Times New Roman" w:hAnsi="Times New Roman" w:eastAsia="仿宋_GB2312" w:cs="仿宋_GB2312"/>
          <w:b w:val="0"/>
          <w:bCs w:val="0"/>
          <w:color w:val="auto"/>
          <w:kern w:val="0"/>
          <w:position w:val="0"/>
          <w:sz w:val="32"/>
          <w:szCs w:val="32"/>
          <w:highlight w:val="none"/>
          <w:lang w:val="zh-CN" w:eastAsia="zh-CN" w:bidi="ar-SA"/>
        </w:rPr>
        <w:t>0分。办公场所设立“一窗受理，并行办理”，推行系列便民服务，实现不动产登记一体化服务。有效提高了不动产确权办事效率、使群众少跑腿，方便群众办事。提高群众办理不动产登记效益率95%，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3</w:t>
      </w:r>
      <w:r>
        <w:rPr>
          <w:rFonts w:hint="eastAsia" w:ascii="Times New Roman" w:hAnsi="Times New Roman" w:eastAsia="仿宋_GB2312" w:cs="仿宋_GB2312"/>
          <w:b w:val="0"/>
          <w:bCs w:val="0"/>
          <w:color w:val="auto"/>
          <w:kern w:val="0"/>
          <w:position w:val="0"/>
          <w:sz w:val="32"/>
          <w:szCs w:val="32"/>
          <w:highlight w:val="none"/>
          <w:lang w:val="zh-CN" w:eastAsia="zh-CN" w:bidi="ar-SA"/>
        </w:rPr>
        <w:t>0 分。</w:t>
      </w:r>
    </w:p>
    <w:p w14:paraId="0EE7798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4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经济成本指标分析</w:t>
      </w:r>
    </w:p>
    <w:p w14:paraId="4F5C993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该经济成本指标，租赁办公场所租金成本，年度指标 =</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元/年，分值</w:t>
      </w:r>
      <w:r>
        <w:rPr>
          <w:rFonts w:hint="eastAsia" w:ascii="Times New Roman" w:hAnsi="Times New Roman" w:eastAsia="仿宋_GB2312" w:cs="仿宋_GB2312"/>
          <w:b w:val="0"/>
          <w:bCs w:val="0"/>
          <w:color w:val="auto"/>
          <w:kern w:val="0"/>
          <w:position w:val="0"/>
          <w:sz w:val="32"/>
          <w:szCs w:val="32"/>
          <w:highlight w:val="none"/>
          <w:lang w:val="en-US" w:eastAsia="zh-CN" w:bidi="ar-SA"/>
        </w:rPr>
        <w:t>2</w:t>
      </w: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0分。签订合同租金一年为 </w:t>
      </w:r>
      <w:r>
        <w:rPr>
          <w:rFonts w:hint="eastAsia" w:ascii="Times New Roman" w:hAnsi="Times New Roman" w:eastAsia="仿宋_GB2312" w:cs="仿宋_GB2312"/>
          <w:b w:val="0"/>
          <w:bCs w:val="0"/>
          <w:color w:val="auto"/>
          <w:kern w:val="0"/>
          <w:position w:val="0"/>
          <w:sz w:val="32"/>
          <w:szCs w:val="32"/>
          <w:highlight w:val="none"/>
          <w:lang w:val="en-US" w:eastAsia="zh-CN" w:bidi="ar-SA"/>
        </w:rPr>
        <w:t>150336</w:t>
      </w:r>
      <w:r>
        <w:rPr>
          <w:rFonts w:hint="eastAsia" w:ascii="Times New Roman" w:hAnsi="Times New Roman" w:eastAsia="仿宋_GB2312" w:cs="仿宋_GB2312"/>
          <w:b w:val="0"/>
          <w:bCs w:val="0"/>
          <w:color w:val="auto"/>
          <w:kern w:val="0"/>
          <w:position w:val="0"/>
          <w:sz w:val="32"/>
          <w:szCs w:val="32"/>
          <w:highlight w:val="none"/>
          <w:lang w:val="zh-CN" w:eastAsia="zh-CN" w:bidi="ar-SA"/>
        </w:rPr>
        <w:t>元，经与业主友好协商，租金达成一致为</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150300元。</w:t>
      </w:r>
      <w:r>
        <w:rPr>
          <w:rFonts w:hint="eastAsia" w:ascii="Times New Roman" w:hAnsi="Times New Roman" w:eastAsia="仿宋_GB2312" w:cs="仿宋_GB2312"/>
          <w:b w:val="0"/>
          <w:bCs w:val="0"/>
          <w:color w:val="auto"/>
          <w:kern w:val="0"/>
          <w:position w:val="0"/>
          <w:sz w:val="32"/>
          <w:szCs w:val="32"/>
          <w:highlight w:val="none"/>
          <w:lang w:val="zh-CN" w:eastAsia="zh-CN" w:bidi="ar-SA"/>
        </w:rPr>
        <w:t>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w:t>
      </w:r>
      <w:r>
        <w:rPr>
          <w:rFonts w:hint="eastAsia" w:ascii="Times New Roman" w:hAnsi="Times New Roman" w:eastAsia="仿宋_GB2312" w:cs="仿宋_GB2312"/>
          <w:b w:val="0"/>
          <w:bCs w:val="0"/>
          <w:color w:val="auto"/>
          <w:kern w:val="0"/>
          <w:position w:val="0"/>
          <w:sz w:val="32"/>
          <w:szCs w:val="32"/>
          <w:highlight w:val="none"/>
          <w:lang w:val="zh-CN" w:eastAsia="zh-CN" w:bidi="ar-SA"/>
        </w:rPr>
        <w:t>0分。</w:t>
      </w:r>
    </w:p>
    <w:p w14:paraId="17F4E82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2D7B49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本项目自评总分</w:t>
      </w:r>
      <w:r>
        <w:rPr>
          <w:rFonts w:hint="eastAsia" w:ascii="Times New Roman" w:hAnsi="Times New Roman" w:eastAsia="仿宋_GB2312" w:cs="仿宋_GB2312"/>
          <w:b w:val="0"/>
          <w:bCs w:val="0"/>
          <w:color w:val="auto"/>
          <w:kern w:val="0"/>
          <w:position w:val="0"/>
          <w:sz w:val="32"/>
          <w:szCs w:val="32"/>
          <w:highlight w:val="none"/>
          <w:lang w:val="en-US" w:eastAsia="zh-CN" w:bidi="ar-SA"/>
        </w:rPr>
        <w:t>100</w:t>
      </w:r>
      <w:r>
        <w:rPr>
          <w:rFonts w:hint="eastAsia" w:ascii="Times New Roman" w:hAnsi="Times New Roman" w:eastAsia="仿宋_GB2312" w:cs="仿宋_GB2312"/>
          <w:b w:val="0"/>
          <w:bCs w:val="0"/>
          <w:color w:val="auto"/>
          <w:kern w:val="0"/>
          <w:position w:val="0"/>
          <w:sz w:val="32"/>
          <w:szCs w:val="32"/>
          <w:highlight w:val="none"/>
          <w:lang w:val="zh-CN" w:eastAsia="zh-CN" w:bidi="ar-SA"/>
        </w:rPr>
        <w:t>分。办公用房租赁项目实施到位，预算执行总体较好，资金使用合规，租赁场地有效保障不动产登记窗口服务、档案保管及内部办公履职需求，较好实现项目预期绩效目标。</w:t>
      </w:r>
    </w:p>
    <w:p w14:paraId="4AEF26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57BD80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B510B4C">
      <w:pPr>
        <w:widowControl w:val="0"/>
        <w:ind w:firstLine="640" w:firstLineChars="200"/>
        <w:jc w:val="both"/>
        <w:rPr>
          <w:rFonts w:hint="eastAsia" w:ascii="Times New Roman" w:hAnsi="Times New Roman" w:eastAsia="黑体"/>
          <w:color w:val="auto"/>
          <w:sz w:val="44"/>
          <w:szCs w:val="44"/>
          <w:highlight w:val="none"/>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72A3B5C2">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5"/>
      <w:bookmarkEnd w:id="47"/>
      <w:bookmarkStart w:id="48" w:name="_Toc15396619"/>
    </w:p>
    <w:p w14:paraId="53B62D4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9C11D8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2F27468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0B5B3EB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3DA3DB4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332408A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5B6D8DE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38CEE80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459B0C1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C5560B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55D3435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10B78AC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02058F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09CFB2B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3572A075">
      <w:pPr>
        <w:rPr>
          <w:rFonts w:hint="eastAsia" w:ascii="Times New Roman" w:hAnsi="Times New Roman"/>
          <w:lang w:eastAsia="zh-CN"/>
        </w:rPr>
      </w:pPr>
    </w:p>
    <w:sectPr>
      <w:footerReference r:id="rId8"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2010609060101010101"/>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53BD8">
    <w:pPr>
      <w:pStyle w:val="11"/>
      <w:jc w:val="center"/>
    </w:pPr>
  </w:p>
  <w:p w14:paraId="072386E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7A526">
    <w:pPr>
      <w:pStyle w:val="11"/>
      <w:jc w:val="center"/>
    </w:pPr>
  </w:p>
  <w:p w14:paraId="25C760FD">
    <w:pPr>
      <w:pStyle w:val="11"/>
      <w:suppressAutoHyphens/>
      <w:bidi w:val="0"/>
      <w:rPr>
        <w:color w:val="auto"/>
      </w:rPr>
    </w:pPr>
  </w:p>
  <w:p w14:paraId="6C89DD8D">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64D5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4154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74154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9D1DB">
    <w:pPr>
      <w:pStyle w:val="11"/>
      <w:jc w:val="center"/>
    </w:pPr>
  </w:p>
  <w:p w14:paraId="230FB495">
    <w:pPr>
      <w:pStyle w:val="11"/>
      <w:suppressAutoHyphens/>
      <w:bidi w:val="0"/>
      <w:rPr>
        <w:color w:val="auto"/>
      </w:rPr>
    </w:pPr>
  </w:p>
  <w:p w14:paraId="36439ED8">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20438">
    <w:pPr>
      <w:pStyle w:val="11"/>
      <w:suppressAutoHyphens/>
      <w:bidi w:val="0"/>
      <w:rPr>
        <w:color w:val="auto"/>
      </w:rPr>
    </w:pPr>
    <w:r>
      <w:rPr>
        <w:color w:val="auto"/>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1FFD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D51FFD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79839F23">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DE0F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160F7C"/>
    <w:multiLevelType w:val="singleLevel"/>
    <w:tmpl w:val="A9160F7C"/>
    <w:lvl w:ilvl="0" w:tentative="0">
      <w:start w:val="2"/>
      <w:numFmt w:val="chineseCounting"/>
      <w:suff w:val="nothing"/>
      <w:lvlText w:val="（%1）"/>
      <w:lvlJc w:val="left"/>
      <w:rPr>
        <w:rFonts w:hint="eastAsia"/>
      </w:rPr>
    </w:lvl>
  </w:abstractNum>
  <w:abstractNum w:abstractNumId="1">
    <w:nsid w:val="D171DE21"/>
    <w:multiLevelType w:val="singleLevel"/>
    <w:tmpl w:val="D171DE2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1B7D"/>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C22B3"/>
    <w:rsid w:val="015975B8"/>
    <w:rsid w:val="01A23516"/>
    <w:rsid w:val="02317B1B"/>
    <w:rsid w:val="02344AD7"/>
    <w:rsid w:val="02D257CE"/>
    <w:rsid w:val="02FEBE30"/>
    <w:rsid w:val="061E35DE"/>
    <w:rsid w:val="066E0107"/>
    <w:rsid w:val="07996F6E"/>
    <w:rsid w:val="07DFD8BA"/>
    <w:rsid w:val="07E85A2F"/>
    <w:rsid w:val="08DB07E4"/>
    <w:rsid w:val="08F82577"/>
    <w:rsid w:val="09867E8F"/>
    <w:rsid w:val="0A2032A3"/>
    <w:rsid w:val="0A6F29B5"/>
    <w:rsid w:val="0AA6270A"/>
    <w:rsid w:val="0C0A51FF"/>
    <w:rsid w:val="0C6C4794"/>
    <w:rsid w:val="0C7809D9"/>
    <w:rsid w:val="0CA8290A"/>
    <w:rsid w:val="0D35B1ED"/>
    <w:rsid w:val="0D651376"/>
    <w:rsid w:val="0DCB0FA0"/>
    <w:rsid w:val="0DE07E2B"/>
    <w:rsid w:val="0E22113F"/>
    <w:rsid w:val="0F98263C"/>
    <w:rsid w:val="101860EC"/>
    <w:rsid w:val="10C055FF"/>
    <w:rsid w:val="10E370E8"/>
    <w:rsid w:val="11772AA4"/>
    <w:rsid w:val="118107EC"/>
    <w:rsid w:val="13755A31"/>
    <w:rsid w:val="13957196"/>
    <w:rsid w:val="13D50BC4"/>
    <w:rsid w:val="14022904"/>
    <w:rsid w:val="152F2A07"/>
    <w:rsid w:val="165E0673"/>
    <w:rsid w:val="16BB723D"/>
    <w:rsid w:val="16F13FCB"/>
    <w:rsid w:val="186504BB"/>
    <w:rsid w:val="18F2462F"/>
    <w:rsid w:val="19060F45"/>
    <w:rsid w:val="1938089F"/>
    <w:rsid w:val="198E6934"/>
    <w:rsid w:val="19A445FC"/>
    <w:rsid w:val="1B630F0E"/>
    <w:rsid w:val="1B7D550C"/>
    <w:rsid w:val="1BE8440E"/>
    <w:rsid w:val="1CDF1DB3"/>
    <w:rsid w:val="1D155CEE"/>
    <w:rsid w:val="1DE178F3"/>
    <w:rsid w:val="1E6455F3"/>
    <w:rsid w:val="1E740ACF"/>
    <w:rsid w:val="1ECA6A0E"/>
    <w:rsid w:val="1FF35744"/>
    <w:rsid w:val="1FF6BC77"/>
    <w:rsid w:val="21962A9E"/>
    <w:rsid w:val="21AE7C77"/>
    <w:rsid w:val="22BC3C41"/>
    <w:rsid w:val="234B45A0"/>
    <w:rsid w:val="23860B96"/>
    <w:rsid w:val="240371BF"/>
    <w:rsid w:val="24E801F8"/>
    <w:rsid w:val="25536A50"/>
    <w:rsid w:val="260F557C"/>
    <w:rsid w:val="281408E2"/>
    <w:rsid w:val="29FD04D3"/>
    <w:rsid w:val="2AD35CD5"/>
    <w:rsid w:val="2B6F7E7E"/>
    <w:rsid w:val="2BFF7BC6"/>
    <w:rsid w:val="2C8A61B5"/>
    <w:rsid w:val="2D2E01CF"/>
    <w:rsid w:val="2DAA4B56"/>
    <w:rsid w:val="2DF04E50"/>
    <w:rsid w:val="2E9545B0"/>
    <w:rsid w:val="2F040D46"/>
    <w:rsid w:val="2F747B9D"/>
    <w:rsid w:val="2F8C6508"/>
    <w:rsid w:val="2FAE5751"/>
    <w:rsid w:val="2FB1A395"/>
    <w:rsid w:val="2FD9A7D8"/>
    <w:rsid w:val="30025A3D"/>
    <w:rsid w:val="30551C94"/>
    <w:rsid w:val="319F7F4E"/>
    <w:rsid w:val="320A5AF4"/>
    <w:rsid w:val="321B2544"/>
    <w:rsid w:val="324D58B9"/>
    <w:rsid w:val="328E6C13"/>
    <w:rsid w:val="3304709D"/>
    <w:rsid w:val="34281836"/>
    <w:rsid w:val="34935860"/>
    <w:rsid w:val="349D6851"/>
    <w:rsid w:val="35BA6CAF"/>
    <w:rsid w:val="35D37231"/>
    <w:rsid w:val="35E800DA"/>
    <w:rsid w:val="35FB0348"/>
    <w:rsid w:val="364D14C1"/>
    <w:rsid w:val="36AA5135"/>
    <w:rsid w:val="36BE0DA7"/>
    <w:rsid w:val="376105ED"/>
    <w:rsid w:val="376B6AA6"/>
    <w:rsid w:val="376D39B2"/>
    <w:rsid w:val="37E16F03"/>
    <w:rsid w:val="37E8214B"/>
    <w:rsid w:val="37F53A3B"/>
    <w:rsid w:val="38657280"/>
    <w:rsid w:val="389B6C89"/>
    <w:rsid w:val="38BC25DC"/>
    <w:rsid w:val="38D469F0"/>
    <w:rsid w:val="391F0E08"/>
    <w:rsid w:val="392D3F0D"/>
    <w:rsid w:val="39627CCD"/>
    <w:rsid w:val="397BAF1F"/>
    <w:rsid w:val="3AB79AF3"/>
    <w:rsid w:val="3B7EF35A"/>
    <w:rsid w:val="3B9FDB6C"/>
    <w:rsid w:val="3BF5BC2F"/>
    <w:rsid w:val="3C1D3B53"/>
    <w:rsid w:val="3CEBA265"/>
    <w:rsid w:val="3D98207C"/>
    <w:rsid w:val="3D9B0D99"/>
    <w:rsid w:val="3DEE7CF3"/>
    <w:rsid w:val="3DF02244"/>
    <w:rsid w:val="3E78745D"/>
    <w:rsid w:val="3FF4CAE0"/>
    <w:rsid w:val="3FF7B227"/>
    <w:rsid w:val="40781C1C"/>
    <w:rsid w:val="40E54C45"/>
    <w:rsid w:val="41313393"/>
    <w:rsid w:val="43A407DF"/>
    <w:rsid w:val="44515BEA"/>
    <w:rsid w:val="44E268DA"/>
    <w:rsid w:val="452B7428"/>
    <w:rsid w:val="4538391E"/>
    <w:rsid w:val="453F7E5B"/>
    <w:rsid w:val="486A6C7A"/>
    <w:rsid w:val="49176D9B"/>
    <w:rsid w:val="494006BD"/>
    <w:rsid w:val="497F0C32"/>
    <w:rsid w:val="4A627F82"/>
    <w:rsid w:val="4A6621F3"/>
    <w:rsid w:val="4B0E749A"/>
    <w:rsid w:val="4B4F25DA"/>
    <w:rsid w:val="4BDA0CFB"/>
    <w:rsid w:val="4BE068DB"/>
    <w:rsid w:val="4C221180"/>
    <w:rsid w:val="4C8060E2"/>
    <w:rsid w:val="4CB60A02"/>
    <w:rsid w:val="4CB82C53"/>
    <w:rsid w:val="4D3C0CCC"/>
    <w:rsid w:val="4D577224"/>
    <w:rsid w:val="4D5F2EFF"/>
    <w:rsid w:val="4DBF1CEB"/>
    <w:rsid w:val="4EAB630A"/>
    <w:rsid w:val="4ECE2238"/>
    <w:rsid w:val="4F833267"/>
    <w:rsid w:val="4FE9BD67"/>
    <w:rsid w:val="4FFB052F"/>
    <w:rsid w:val="50C82C60"/>
    <w:rsid w:val="53083A92"/>
    <w:rsid w:val="532929E2"/>
    <w:rsid w:val="537E6D0A"/>
    <w:rsid w:val="53AF27A2"/>
    <w:rsid w:val="53F74C96"/>
    <w:rsid w:val="54452748"/>
    <w:rsid w:val="56C92DC6"/>
    <w:rsid w:val="56E47B74"/>
    <w:rsid w:val="570011D1"/>
    <w:rsid w:val="57615ECD"/>
    <w:rsid w:val="57897DAE"/>
    <w:rsid w:val="57BD3DD4"/>
    <w:rsid w:val="5ABA77E4"/>
    <w:rsid w:val="5AF92295"/>
    <w:rsid w:val="5B256A6B"/>
    <w:rsid w:val="5B444925"/>
    <w:rsid w:val="5B7D357F"/>
    <w:rsid w:val="5BDD79E6"/>
    <w:rsid w:val="5BF561CA"/>
    <w:rsid w:val="5BFF5DFC"/>
    <w:rsid w:val="5C3F26AF"/>
    <w:rsid w:val="5CD71FC4"/>
    <w:rsid w:val="5D1F11B5"/>
    <w:rsid w:val="5DAE1B18"/>
    <w:rsid w:val="5DE7D9E5"/>
    <w:rsid w:val="5E3E55D4"/>
    <w:rsid w:val="5ECEC941"/>
    <w:rsid w:val="5F493CB7"/>
    <w:rsid w:val="5FBF9FF3"/>
    <w:rsid w:val="5FCD4E2C"/>
    <w:rsid w:val="5FD15F49"/>
    <w:rsid w:val="5FEF394A"/>
    <w:rsid w:val="5FF67715"/>
    <w:rsid w:val="62BF3928"/>
    <w:rsid w:val="635A426B"/>
    <w:rsid w:val="6403578D"/>
    <w:rsid w:val="646D705D"/>
    <w:rsid w:val="647F5392"/>
    <w:rsid w:val="664B1D71"/>
    <w:rsid w:val="670C015D"/>
    <w:rsid w:val="67626104"/>
    <w:rsid w:val="67AA3209"/>
    <w:rsid w:val="681C4F0D"/>
    <w:rsid w:val="69046D0F"/>
    <w:rsid w:val="698D0931"/>
    <w:rsid w:val="6A006457"/>
    <w:rsid w:val="6A993CED"/>
    <w:rsid w:val="6AD8105C"/>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CA02A6"/>
    <w:rsid w:val="72233669"/>
    <w:rsid w:val="72734D90"/>
    <w:rsid w:val="727F7D5B"/>
    <w:rsid w:val="73183EF9"/>
    <w:rsid w:val="7332FE48"/>
    <w:rsid w:val="73AB61DA"/>
    <w:rsid w:val="73AD73D5"/>
    <w:rsid w:val="73AF6F46"/>
    <w:rsid w:val="73B6EB34"/>
    <w:rsid w:val="73FA497D"/>
    <w:rsid w:val="73FC7C3B"/>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9FC004D"/>
    <w:rsid w:val="7A321E43"/>
    <w:rsid w:val="7A894339"/>
    <w:rsid w:val="7AAB3A25"/>
    <w:rsid w:val="7AFF7572"/>
    <w:rsid w:val="7B6C7DFB"/>
    <w:rsid w:val="7BBFBED0"/>
    <w:rsid w:val="7BC3E394"/>
    <w:rsid w:val="7C1F3737"/>
    <w:rsid w:val="7C384864"/>
    <w:rsid w:val="7CBFC87B"/>
    <w:rsid w:val="7CF23AEA"/>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正文-公1"/>
    <w:next w:val="1"/>
    <w:qFormat/>
    <w:uiPriority w:val="0"/>
    <w:pPr>
      <w:widowControl w:val="0"/>
      <w:ind w:firstLine="200" w:firstLineChars="200"/>
      <w:jc w:val="both"/>
    </w:pPr>
    <w:rPr>
      <w:rFonts w:ascii="Times New Roman" w:hAnsi="Times New Roman" w:eastAsia="宋体" w:cs="Times New Roman"/>
      <w:kern w:val="2"/>
      <w:sz w:val="21"/>
      <w:lang w:val="en-US" w:eastAsia="zh-CN"/>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next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91ec9a50-4b74-43a9-a724-b7abbd4748a3</errorID>
      <errorWord>(</errorWord>
      <group>L1_Format</group>
      <groupName>格式问题</groupName>
      <ability>L2_HalfPunc_CN</ability>
      <abilityName>全半角问题</abilityName>
      <candidateList>
        <item>（</item>
      </candidateList>
      <explain>文本全半角错误。</explain>
      <paraID>210EE4E6</paraID>
      <start>52</start>
      <end>53</end>
      <status>modified</status>
      <modifiedWord>（</modifiedWord>
      <trackRevisions>false</trackRevisions>
    </reviewItem>
    <reviewItem>
      <errorID>38c82acb-e841-4551-8622-cd744c87eed1</errorID>
      <errorWord>巩固脱贫攻坚成果</errorWord>
      <group>L1_Word</group>
      <groupName>字词问题</groupName>
      <ability>L2_Typo</ability>
      <abilityName>字词错误</abilityName>
      <candidateList>
        <item>巩固拓展脱贫攻坚成果</item>
      </candidateList>
      <explain/>
      <paraID>78662A22</paraID>
      <start>10</start>
      <end>18</end>
      <status>ignored</status>
      <modifiedWord/>
      <trackRevisions>false</trackRevisions>
    </reviewItem>
    <reviewItem>
      <errorID>1921e3be-6e3d-458c-b146-f760fbd27036</errorID>
      <errorWord>巩固脱贫攻坚成果</errorWord>
      <group>L1_Word</group>
      <groupName>字词问题</groupName>
      <ability>L2_Typo</ability>
      <abilityName>字词错误</abilityName>
      <candidateList>
        <item>巩固拓展脱贫攻坚成果</item>
      </candidateList>
      <explain/>
      <paraID>3563066A</paraID>
      <start>10</start>
      <end>18</end>
      <status>ignored</status>
      <modifiedWord/>
      <trackRevisions>false</trackRevisions>
    </reviewItem>
    <reviewItem>
      <errorID>6673cf9e-3139-492b-ac3e-2b363c2095a7</errorID>
      <errorWord>指用</errorWord>
      <group>L1_Word</group>
      <groupName>字词问题</groupName>
      <ability>L2_Typo</ability>
      <abilityName>字词错误</abilityName>
      <candidateList>
        <item>指</item>
      </candidateList>
      <explain/>
      <paraID>3563066A</paraID>
      <start>39</start>
      <end>41</end>
      <status>ignored</status>
      <modifiedWord/>
      <trackRevisions>false</trackRevisions>
    </reviewItem>
    <reviewItem>
      <errorID>48040148-eff8-4d3d-ae29-419456f41f46</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2A9450A4</paraID>
      <start>33</start>
      <end>36</end>
      <status>ignored</status>
      <modifiedWord/>
      <trackRevisions>false</trackRevisions>
    </reviewItem>
    <reviewItem>
      <errorID>3a632da3-8e8e-4163-86db-f8f84f8c29c5</errorID>
      <errorWord>指标指标</errorWord>
      <group>L1_Word</group>
      <groupName>字词问题</groupName>
      <ability>L2_Typo</ability>
      <abilityName>字词错误</abilityName>
      <candidateList>
        <item>指标</item>
      </candidateList>
      <explain/>
      <paraID>21720B46</paraID>
      <start>4</start>
      <end>8</end>
      <status>ignored</status>
      <modifiedWord/>
      <trackRevisions>false</trackRevisions>
    </reviewItem>
    <reviewItem>
      <errorID>49026a34-ffb9-4f71-8e0f-c3b4f969a899</errorID>
      <errorWord>制</errorWord>
      <group>L1_Word</group>
      <groupName>字词问题</groupName>
      <ability>L2_Typo</ability>
      <abilityName>字词错误</abilityName>
      <candidateList>
        <item>制等</item>
      </candidateList>
      <explain/>
      <paraID>2914B5B8</paraID>
      <start>54</start>
      <end>55</end>
      <status>ignored</status>
      <modifiedWord/>
      <trackRevisions>false</trackRevisions>
    </reviewItem>
    <reviewItem>
      <errorID>99430528-c827-40d5-b09d-42550603887a</errorID>
      <errorWord>间</errorWord>
      <group>L1_Word</group>
      <groupName>字词问题</groupName>
      <ability>L2_Typo</ability>
      <abilityName>字词错误</abilityName>
      <candidateList>
        <item>间内</item>
      </candidateList>
      <explain/>
      <paraID>4E9357DE</paraID>
      <start>12</start>
      <end>13</end>
      <status>ignored</status>
      <modifiedWord/>
      <trackRevisions>false</trackRevisions>
    </reviewItem>
    <reviewItem>
      <errorID>c31c94ec-3317-4510-94fe-88ce40a0bb6f</errorID>
      <errorWord>使用范围</errorWord>
      <group>L1_Word</group>
      <groupName>字词问题</groupName>
      <ability>L2_Typo</ability>
      <abilityName>字词错误</abilityName>
      <candidateList>
        <item>适用范围</item>
      </candidateList>
      <explain>存在发音相同字词的误用。</explain>
      <paraID>5BC48510</paraID>
      <start>0</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c8f4de-6705-402b-843c-0cf793e7ac5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18556</Words>
  <Characters>20625</Characters>
  <Lines>61</Lines>
  <Paragraphs>17</Paragraphs>
  <TotalTime>251</TotalTime>
  <ScaleCrop>false</ScaleCrop>
  <LinksUpToDate>false</LinksUpToDate>
  <CharactersWithSpaces>20674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不穿邱裤</cp:lastModifiedBy>
  <cp:lastPrinted>2026-09-20T07:28:00Z</cp:lastPrinted>
  <dcterms:modified xsi:type="dcterms:W3CDTF">2026-09-22T07:14:13Z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eyJoZGlkIjoiZTExMzQyNTMyOGI4ZWUyNDJlZTNmMTE1MjQxY2VjOGMiLCJ1c2VySWQiOiIzMDc2OTg3NDAifQ==</vt:lpwstr>
  </property>
</Properties>
</file>