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684569">
      <w:pPr>
        <w:suppressAutoHyphens/>
        <w:bidi w:val="0"/>
        <w:adjustRightInd w:val="0"/>
        <w:snapToGrid w:val="0"/>
        <w:spacing w:line="360" w:lineRule="auto"/>
        <w:jc w:val="both"/>
        <w:outlineLvl w:val="0"/>
        <w:rPr>
          <w:rFonts w:hint="eastAsia" w:ascii="方正小标宋简体" w:hAnsi="方正小标宋简体" w:eastAsia="方正小标宋简体" w:cs="方正小标宋简体"/>
          <w:color w:val="auto"/>
          <w:sz w:val="72"/>
          <w:szCs w:val="72"/>
        </w:rPr>
      </w:pPr>
      <w:bookmarkStart w:id="0" w:name="_Toc15396597"/>
      <w:bookmarkStart w:id="1" w:name="_Toc15378441"/>
      <w:bookmarkStart w:id="2" w:name="_Toc15377193"/>
      <w:bookmarkStart w:id="3" w:name="_Toc15306267"/>
      <w:bookmarkStart w:id="4" w:name="_Toc15396475"/>
      <w:bookmarkStart w:id="5" w:name="_Toc15377425"/>
    </w:p>
    <w:p w14:paraId="5F2FBC22">
      <w:pPr>
        <w:suppressAutoHyphens/>
        <w:bidi w:val="0"/>
        <w:adjustRightInd w:val="0"/>
        <w:snapToGrid w:val="0"/>
        <w:spacing w:line="360" w:lineRule="auto"/>
        <w:jc w:val="center"/>
        <w:outlineLvl w:val="0"/>
        <w:rPr>
          <w:rFonts w:ascii="方正小标宋简体" w:hAnsi="方正小标宋简体" w:eastAsia="方正小标宋简体" w:cs="方正小标宋简体"/>
          <w:color w:val="auto"/>
          <w:sz w:val="72"/>
          <w:szCs w:val="72"/>
        </w:rPr>
      </w:pPr>
      <w:r>
        <w:rPr>
          <w:rFonts w:hint="eastAsia" w:ascii="方正小标宋简体" w:hAnsi="方正小标宋简体" w:eastAsia="方正小标宋简体" w:cs="方正小标宋简体"/>
          <w:color w:val="auto"/>
          <w:sz w:val="72"/>
          <w:szCs w:val="72"/>
        </w:rPr>
        <w:t>202</w:t>
      </w:r>
      <w:r>
        <w:rPr>
          <w:rFonts w:hint="eastAsia" w:ascii="方正小标宋简体" w:hAnsi="方正小标宋简体" w:eastAsia="方正小标宋简体" w:cs="方正小标宋简体"/>
          <w:color w:val="auto"/>
          <w:sz w:val="72"/>
          <w:szCs w:val="72"/>
          <w:lang w:val="en-US" w:eastAsia="zh-CN"/>
        </w:rPr>
        <w:t>5</w:t>
      </w:r>
      <w:r>
        <w:rPr>
          <w:rFonts w:hint="eastAsia" w:ascii="方正小标宋简体" w:hAnsi="方正小标宋简体" w:eastAsia="方正小标宋简体" w:cs="方正小标宋简体"/>
          <w:color w:val="auto"/>
          <w:sz w:val="72"/>
          <w:szCs w:val="72"/>
        </w:rPr>
        <w:t>年度</w:t>
      </w:r>
    </w:p>
    <w:p w14:paraId="4B6D0853">
      <w:pPr>
        <w:suppressAutoHyphens/>
        <w:bidi w:val="0"/>
        <w:adjustRightInd w:val="0"/>
        <w:snapToGrid w:val="0"/>
        <w:spacing w:line="360" w:lineRule="auto"/>
        <w:jc w:val="center"/>
        <w:outlineLvl w:val="0"/>
        <w:rPr>
          <w:rFonts w:hint="eastAsia" w:ascii="方正小标宋简体" w:hAnsi="方正小标宋简体" w:eastAsia="方正小标宋简体" w:cs="方正小标宋简体"/>
          <w:color w:val="auto"/>
          <w:sz w:val="72"/>
          <w:szCs w:val="72"/>
          <w:lang w:eastAsia="zh-CN"/>
        </w:rPr>
      </w:pPr>
      <w:r>
        <w:rPr>
          <w:rFonts w:hint="eastAsia" w:ascii="方正小标宋简体" w:hAnsi="方正小标宋简体" w:eastAsia="方正小标宋简体" w:cs="方正小标宋简体"/>
          <w:color w:val="auto"/>
          <w:sz w:val="72"/>
          <w:szCs w:val="72"/>
        </w:rPr>
        <w:t>四川省</w:t>
      </w:r>
      <w:r>
        <w:rPr>
          <w:rFonts w:hint="eastAsia" w:ascii="方正小标宋简体" w:hAnsi="方正小标宋简体" w:eastAsia="方正小标宋简体" w:cs="方正小标宋简体"/>
          <w:color w:val="auto"/>
          <w:sz w:val="72"/>
          <w:szCs w:val="72"/>
          <w:lang w:eastAsia="zh-CN"/>
        </w:rPr>
        <w:t>沐川县自然资源局</w:t>
      </w:r>
    </w:p>
    <w:p w14:paraId="372EE4F4">
      <w:pPr>
        <w:suppressAutoHyphens/>
        <w:bidi w:val="0"/>
        <w:adjustRightInd w:val="0"/>
        <w:snapToGrid w:val="0"/>
        <w:spacing w:line="360" w:lineRule="auto"/>
        <w:jc w:val="center"/>
        <w:outlineLvl w:val="0"/>
        <w:rPr>
          <w:rFonts w:ascii="Times New Roman" w:hAnsi="Times New Roman"/>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r>
        <w:rPr>
          <w:rFonts w:hint="eastAsia" w:ascii="方正小标宋简体" w:hAnsi="方正小标宋简体" w:eastAsia="方正小标宋简体" w:cs="方正小标宋简体"/>
          <w:color w:val="auto"/>
          <w:sz w:val="72"/>
          <w:szCs w:val="72"/>
        </w:rPr>
        <w:t>部门决算</w:t>
      </w:r>
    </w:p>
    <w:p w14:paraId="1DB80134">
      <w:pPr>
        <w:pStyle w:val="6"/>
        <w:jc w:val="both"/>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14:paraId="441F873E">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bookmarkStart w:id="61" w:name="_GoBack"/>
      <w:bookmarkEnd w:id="61"/>
    </w:p>
    <w:p w14:paraId="683F748C">
      <w:pPr>
        <w:widowControl/>
        <w:jc w:val="center"/>
        <w:rPr>
          <w:rFonts w:ascii="Times New Roman" w:hAnsi="Times New Roman" w:eastAsia="黑体" w:cstheme="minorBidi"/>
          <w:color w:val="auto"/>
          <w:sz w:val="28"/>
          <w:szCs w:val="28"/>
          <w:highlight w:val="none"/>
        </w:rPr>
      </w:pPr>
    </w:p>
    <w:p w14:paraId="7D88E5C1">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22</w:t>
      </w:r>
      <w:r>
        <w:rPr>
          <w:rFonts w:hint="eastAsia" w:ascii="Times New Roman" w:hAnsi="Times New Roman" w:eastAsia="仿宋_GB2312" w:cs="仿宋_GB2312"/>
          <w:color w:val="auto"/>
          <w:sz w:val="32"/>
          <w:szCs w:val="32"/>
          <w:highlight w:val="none"/>
        </w:rPr>
        <w:t>日</w:t>
      </w:r>
    </w:p>
    <w:p w14:paraId="1E39A8CC">
      <w:pPr>
        <w:rPr>
          <w:rFonts w:ascii="Times New Roman" w:hAnsi="Times New Roman"/>
          <w:color w:val="auto"/>
          <w:highlight w:val="none"/>
        </w:rPr>
      </w:pPr>
    </w:p>
    <w:p w14:paraId="696CA5D4">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第一部分 部门概况...................................</w:t>
      </w:r>
      <w:r>
        <w:rPr>
          <w:rFonts w:hint="eastAsia" w:ascii="Times New Roman" w:hAnsi="Times New Roman" w:eastAsia="黑体" w:cs="黑体"/>
          <w:color w:val="auto"/>
          <w:sz w:val="32"/>
          <w:szCs w:val="32"/>
          <w:highlight w:val="none"/>
          <w:lang w:val="en-US" w:eastAsia="zh-CN"/>
        </w:rPr>
        <w:t>.............................1-4</w:t>
      </w:r>
    </w:p>
    <w:p w14:paraId="245B337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eastAsia="仿宋_GB2312" w:cs="仿宋_GB2312"/>
          <w:color w:val="auto"/>
          <w:sz w:val="32"/>
          <w:szCs w:val="32"/>
          <w:highlight w:val="none"/>
          <w:lang w:val="en-US" w:eastAsia="zh-CN"/>
        </w:rPr>
        <w:t>..........1</w:t>
      </w:r>
    </w:p>
    <w:p w14:paraId="30376F0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二、机构设置</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..........4</w:t>
      </w:r>
    </w:p>
    <w:p w14:paraId="0078519F">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ascii="Times New Roman" w:hAnsi="Times New Roman" w:eastAsia="黑体" w:cs="黑体"/>
          <w:color w:val="auto"/>
          <w:sz w:val="32"/>
          <w:szCs w:val="32"/>
          <w:highlight w:val="none"/>
          <w:lang w:val="en-US" w:eastAsia="zh-CN"/>
        </w:rPr>
        <w:t>.........5-15</w:t>
      </w:r>
    </w:p>
    <w:p w14:paraId="6846633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hint="eastAsia" w:eastAsia="仿宋_GB2312" w:cs="仿宋_GB2312"/>
          <w:color w:val="auto"/>
          <w:sz w:val="32"/>
          <w:szCs w:val="32"/>
          <w:highlight w:val="none"/>
          <w:lang w:val="en-US" w:eastAsia="zh-CN"/>
        </w:rPr>
        <w:t>.................5</w:t>
      </w:r>
    </w:p>
    <w:p w14:paraId="6609DD5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hint="eastAsia" w:eastAsia="仿宋_GB2312" w:cs="仿宋_GB2312"/>
          <w:color w:val="auto"/>
          <w:sz w:val="32"/>
          <w:szCs w:val="32"/>
          <w:highlight w:val="none"/>
          <w:lang w:val="en-US" w:eastAsia="zh-CN"/>
        </w:rPr>
        <w:t>.................................5</w:t>
      </w:r>
    </w:p>
    <w:p w14:paraId="7B74E40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三、支出决算情况说明</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.............6</w:t>
      </w:r>
    </w:p>
    <w:p w14:paraId="2B5AC3A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eastAsia="仿宋_GB2312" w:cs="仿宋_GB2312"/>
          <w:color w:val="auto"/>
          <w:sz w:val="32"/>
          <w:szCs w:val="32"/>
          <w:highlight w:val="none"/>
          <w:lang w:val="en-US" w:eastAsia="zh-CN"/>
        </w:rPr>
        <w:t>.....6</w:t>
      </w:r>
    </w:p>
    <w:p w14:paraId="3CC5727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eastAsia="仿宋_GB2312" w:cs="仿宋_GB2312"/>
          <w:color w:val="auto"/>
          <w:sz w:val="32"/>
          <w:szCs w:val="32"/>
          <w:highlight w:val="none"/>
          <w:lang w:val="en-US" w:eastAsia="zh-CN"/>
        </w:rPr>
        <w:t>..........7-10</w:t>
      </w:r>
    </w:p>
    <w:p w14:paraId="504A091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color w:val="auto"/>
          <w:sz w:val="32"/>
          <w:szCs w:val="32"/>
          <w:highlight w:val="none"/>
          <w:lang w:val="en-US" w:eastAsia="zh-CN"/>
        </w:rPr>
        <w:t>10-11</w:t>
      </w:r>
    </w:p>
    <w:p w14:paraId="78561C3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color w:val="auto"/>
          <w:sz w:val="32"/>
          <w:szCs w:val="32"/>
          <w:highlight w:val="none"/>
          <w:lang w:val="en-US" w:eastAsia="zh-CN"/>
        </w:rPr>
        <w:t>............11-13</w:t>
      </w:r>
    </w:p>
    <w:p w14:paraId="7450961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color w:val="auto"/>
          <w:sz w:val="32"/>
          <w:szCs w:val="32"/>
          <w:highlight w:val="none"/>
          <w:lang w:val="en-US" w:eastAsia="zh-CN"/>
        </w:rPr>
        <w:t>........................13</w:t>
      </w:r>
    </w:p>
    <w:p w14:paraId="4B72654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color w:val="auto"/>
          <w:sz w:val="32"/>
          <w:szCs w:val="32"/>
          <w:highlight w:val="none"/>
          <w:lang w:val="en-US" w:eastAsia="zh-CN"/>
        </w:rPr>
        <w:t>....................13</w:t>
      </w:r>
    </w:p>
    <w:p w14:paraId="31C8985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color w:val="auto"/>
          <w:sz w:val="32"/>
          <w:szCs w:val="32"/>
          <w:highlight w:val="none"/>
          <w:lang w:val="en-US" w:eastAsia="zh-CN"/>
        </w:rPr>
        <w:t>....................................13-15</w:t>
      </w:r>
    </w:p>
    <w:p w14:paraId="5320B0FB">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lang w:val="en-US" w:eastAsia="zh-CN"/>
        </w:rPr>
        <w:t>............................................................16-19</w:t>
      </w:r>
    </w:p>
    <w:p w14:paraId="69448C0D">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lang w:val="en-US" w:eastAsia="zh-CN"/>
        </w:rPr>
        <w:t>....................................................................20-45</w:t>
      </w:r>
    </w:p>
    <w:p w14:paraId="796E687F">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_GB2312" w:cs="仿宋_GB2312"/>
          <w:color w:val="auto"/>
          <w:sz w:val="32"/>
          <w:szCs w:val="32"/>
          <w:highlight w:val="none"/>
          <w:lang w:val="en-US"/>
        </w:rPr>
        <w:sectPr>
          <w:footerReference r:id="rId6" w:type="first"/>
          <w:footerReference r:id="rId5" w:type="default"/>
          <w:pgSz w:w="11906" w:h="16838"/>
          <w:pgMar w:top="1440" w:right="1800" w:bottom="1440" w:left="1800" w:header="851" w:footer="992" w:gutter="0"/>
          <w:pgNumType w:fmt="numberInDash" w:start="1"/>
          <w:cols w:space="425" w:num="1"/>
          <w:docGrid w:type="lines" w:linePitch="312" w:charSpace="0"/>
        </w:sectPr>
      </w:pP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lang w:val="en-US" w:eastAsia="zh-CN"/>
        </w:rPr>
        <w:t>.........................................................................46</w:t>
      </w:r>
    </w:p>
    <w:p w14:paraId="4AD2225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5988A0D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79863E3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54423E9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30C24EC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38FECAA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51A174E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6C94775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3386BCA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28B7649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495D11E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1411009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66D53DA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3E32A8B4">
      <w:pPr>
        <w:pStyle w:val="3"/>
        <w:jc w:val="center"/>
        <w:rPr>
          <w:rFonts w:hint="eastAsia" w:ascii="Times New Roman" w:hAnsi="Times New Roman" w:eastAsia="方正小标宋简体" w:cs="方正小标宋简体"/>
          <w:b w:val="0"/>
          <w:color w:val="auto"/>
          <w:highlight w:val="none"/>
        </w:rPr>
        <w:sectPr>
          <w:footerReference r:id="rId7" w:type="default"/>
          <w:pgSz w:w="11906" w:h="16838"/>
          <w:pgMar w:top="1440" w:right="1800" w:bottom="1440" w:left="1800" w:header="851" w:footer="992" w:gutter="0"/>
          <w:pgNumType w:fmt="numberInDash" w:start="1"/>
          <w:cols w:space="425" w:num="1"/>
          <w:docGrid w:type="lines" w:linePitch="312" w:charSpace="0"/>
        </w:sectPr>
      </w:pPr>
      <w:bookmarkStart w:id="6" w:name="_Toc15377196"/>
      <w:bookmarkStart w:id="7" w:name="_Toc15396599"/>
    </w:p>
    <w:p w14:paraId="28312C6F">
      <w:pPr>
        <w:pStyle w:val="3"/>
        <w:jc w:val="center"/>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6"/>
      <w:bookmarkEnd w:id="7"/>
    </w:p>
    <w:p w14:paraId="7B59C14B">
      <w:pPr>
        <w:pStyle w:val="4"/>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01638869">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1.</w:t>
      </w:r>
      <w:r>
        <w:rPr>
          <w:rFonts w:ascii="仿宋" w:hAnsi="仿宋" w:eastAsia="仿宋"/>
          <w:bCs/>
          <w:kern w:val="0"/>
          <w:sz w:val="32"/>
          <w:szCs w:val="32"/>
        </w:rPr>
        <w:t>按照规定权限，履行全民所有土地、矿产、森林、湿地、水等自然资源资产所有者职责和所有国土空间用途管制职责。拟订全</w:t>
      </w:r>
      <w:r>
        <w:rPr>
          <w:rFonts w:hint="eastAsia" w:ascii="仿宋" w:hAnsi="仿宋" w:eastAsia="仿宋"/>
          <w:bCs/>
          <w:kern w:val="0"/>
          <w:sz w:val="32"/>
          <w:szCs w:val="32"/>
        </w:rPr>
        <w:t>县</w:t>
      </w:r>
      <w:r>
        <w:rPr>
          <w:rFonts w:ascii="仿宋" w:hAnsi="仿宋" w:eastAsia="仿宋"/>
          <w:bCs/>
          <w:kern w:val="0"/>
          <w:sz w:val="32"/>
          <w:szCs w:val="32"/>
        </w:rPr>
        <w:t>自然资源和国土空间规划的规范性文件，制定有关政策措施并监督检查执行情况。</w:t>
      </w:r>
    </w:p>
    <w:p w14:paraId="38E35DCC">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2.</w:t>
      </w:r>
      <w:r>
        <w:rPr>
          <w:rFonts w:ascii="仿宋" w:hAnsi="仿宋" w:eastAsia="仿宋"/>
          <w:bCs/>
          <w:kern w:val="0"/>
          <w:sz w:val="32"/>
          <w:szCs w:val="32"/>
        </w:rPr>
        <w:t>负责全</w:t>
      </w:r>
      <w:r>
        <w:rPr>
          <w:rFonts w:hint="eastAsia" w:ascii="仿宋" w:hAnsi="仿宋" w:eastAsia="仿宋"/>
          <w:bCs/>
          <w:kern w:val="0"/>
          <w:sz w:val="32"/>
          <w:szCs w:val="32"/>
        </w:rPr>
        <w:t>县</w:t>
      </w:r>
      <w:r>
        <w:rPr>
          <w:rFonts w:ascii="仿宋" w:hAnsi="仿宋" w:eastAsia="仿宋"/>
          <w:bCs/>
          <w:kern w:val="0"/>
          <w:sz w:val="32"/>
          <w:szCs w:val="32"/>
        </w:rPr>
        <w:t>自然资源调查监测评价。依照自然资源调查监测评价的指标体系和统计标准，建立统一规范的自然资源调查监测评价制度。实施自然资源基础调查、专项调查和监测。负责自然资源调查监测评价成果的监督管理和信息发布。</w:t>
      </w:r>
    </w:p>
    <w:p w14:paraId="4F6E1EE4">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3.</w:t>
      </w:r>
      <w:r>
        <w:rPr>
          <w:rFonts w:ascii="仿宋" w:hAnsi="仿宋" w:eastAsia="仿宋"/>
          <w:bCs/>
          <w:kern w:val="0"/>
          <w:sz w:val="32"/>
          <w:szCs w:val="32"/>
        </w:rPr>
        <w:t>负责全</w:t>
      </w:r>
      <w:r>
        <w:rPr>
          <w:rFonts w:hint="eastAsia" w:ascii="仿宋" w:hAnsi="仿宋" w:eastAsia="仿宋"/>
          <w:bCs/>
          <w:kern w:val="0"/>
          <w:sz w:val="32"/>
          <w:szCs w:val="32"/>
        </w:rPr>
        <w:t>县</w:t>
      </w:r>
      <w:r>
        <w:rPr>
          <w:rFonts w:ascii="仿宋" w:hAnsi="仿宋" w:eastAsia="仿宋"/>
          <w:bCs/>
          <w:kern w:val="0"/>
          <w:sz w:val="32"/>
          <w:szCs w:val="32"/>
        </w:rPr>
        <w:t>自然资源统一确权登记工作。组织实施各类自然资源和不动产统一确权登记、权籍调查、不动产测绘、争议调处、成果应用的制度、标准、规范。负责管理自然资源和不动产登记信息管理基础平台。负责自然资源和不动产登记资料收集、整理、共享、汇交管理等。指导监督自然资源和不动产确权登记工作。</w:t>
      </w:r>
    </w:p>
    <w:p w14:paraId="3905475F">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4.</w:t>
      </w:r>
      <w:r>
        <w:rPr>
          <w:rFonts w:ascii="仿宋" w:hAnsi="仿宋" w:eastAsia="仿宋"/>
          <w:bCs/>
          <w:kern w:val="0"/>
          <w:sz w:val="32"/>
          <w:szCs w:val="32"/>
        </w:rPr>
        <w:t>负责全</w:t>
      </w:r>
      <w:r>
        <w:rPr>
          <w:rFonts w:hint="eastAsia" w:ascii="仿宋" w:hAnsi="仿宋" w:eastAsia="仿宋"/>
          <w:bCs/>
          <w:kern w:val="0"/>
          <w:sz w:val="32"/>
          <w:szCs w:val="32"/>
        </w:rPr>
        <w:t>县</w:t>
      </w:r>
      <w:r>
        <w:rPr>
          <w:rFonts w:ascii="仿宋" w:hAnsi="仿宋" w:eastAsia="仿宋"/>
          <w:bCs/>
          <w:kern w:val="0"/>
          <w:sz w:val="32"/>
          <w:szCs w:val="32"/>
        </w:rPr>
        <w:t>自然资源资产有偿使用工作。建立全民所有自然资源资产统计制度，负责全民所有自然资源资产核算。编制全民所有自然资源资产负债表，依照有关标准组织考核。按照规定权限，制定全民所有自然资源资产划拨、出让、租赁、作价出资和土地储备政策，合理配置全民所有自然资源资产。负责自然资源资产价值评估管理，依法收缴相关资产收益。</w:t>
      </w:r>
    </w:p>
    <w:p w14:paraId="57CF1FA2">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5.</w:t>
      </w:r>
      <w:r>
        <w:rPr>
          <w:rFonts w:ascii="仿宋" w:hAnsi="仿宋" w:eastAsia="仿宋"/>
          <w:bCs/>
          <w:kern w:val="0"/>
          <w:sz w:val="32"/>
          <w:szCs w:val="32"/>
        </w:rPr>
        <w:t>负责全</w:t>
      </w:r>
      <w:r>
        <w:rPr>
          <w:rFonts w:hint="eastAsia" w:ascii="仿宋" w:hAnsi="仿宋" w:eastAsia="仿宋"/>
          <w:bCs/>
          <w:kern w:val="0"/>
          <w:sz w:val="32"/>
          <w:szCs w:val="32"/>
        </w:rPr>
        <w:t>县</w:t>
      </w:r>
      <w:r>
        <w:rPr>
          <w:rFonts w:ascii="仿宋" w:hAnsi="仿宋" w:eastAsia="仿宋"/>
          <w:bCs/>
          <w:kern w:val="0"/>
          <w:sz w:val="32"/>
          <w:szCs w:val="32"/>
        </w:rPr>
        <w:t>自然资源的合理开发利用。组织拟订自然资源发展规划和战略，制定自然资源开发利用地方标准并组织实施，建立政府公示自然资源价格体系，组织开展自然资源分等定级价格评估，开展自然资源利用评价考核，指导节约集约利用。负责自然资源市场监管。组织研究自然资源管理涉及宏观调控、区域协调和城乡统</w:t>
      </w:r>
      <w:r>
        <w:rPr>
          <w:rFonts w:hint="eastAsia" w:ascii="仿宋" w:hAnsi="仿宋" w:eastAsia="仿宋"/>
          <w:bCs/>
          <w:kern w:val="0"/>
          <w:sz w:val="32"/>
          <w:szCs w:val="32"/>
        </w:rPr>
        <w:t>筹</w:t>
      </w:r>
      <w:r>
        <w:rPr>
          <w:rFonts w:ascii="仿宋" w:hAnsi="仿宋" w:eastAsia="仿宋"/>
          <w:bCs/>
          <w:kern w:val="0"/>
          <w:sz w:val="32"/>
          <w:szCs w:val="32"/>
        </w:rPr>
        <w:t>的政策措施。</w:t>
      </w:r>
    </w:p>
    <w:p w14:paraId="52C3923D">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6.</w:t>
      </w:r>
      <w:r>
        <w:rPr>
          <w:rFonts w:ascii="仿宋" w:hAnsi="仿宋" w:eastAsia="仿宋"/>
          <w:bCs/>
          <w:kern w:val="0"/>
          <w:sz w:val="32"/>
          <w:szCs w:val="32"/>
        </w:rPr>
        <w:t>负责建立全</w:t>
      </w:r>
      <w:r>
        <w:rPr>
          <w:rFonts w:hint="eastAsia" w:ascii="仿宋" w:hAnsi="仿宋" w:eastAsia="仿宋"/>
          <w:bCs/>
          <w:kern w:val="0"/>
          <w:sz w:val="32"/>
          <w:szCs w:val="32"/>
        </w:rPr>
        <w:t>县</w:t>
      </w:r>
      <w:r>
        <w:rPr>
          <w:rFonts w:ascii="仿宋" w:hAnsi="仿宋" w:eastAsia="仿宋"/>
          <w:bCs/>
          <w:kern w:val="0"/>
          <w:sz w:val="32"/>
          <w:szCs w:val="32"/>
        </w:rPr>
        <w:t>空间规划体系并监督实施。推进主体功能区战略和制度，组织编制并监督实施国土空间规划和相关专项规划。开展国土空间开发适宜性评价，建立国土空间规划实施监测、评估和预警体系。组织划定生态保护红线、永久基本农田、城镇开发边界等控制线，构建节约资源和保护环境的生产、生活、生态空间布局。建立健全国土空间用途管制制度，研究拟订城乡规划政策并监督实施。组织拟订并实施土地等自然资源年度利用计划。负责土地等国土空间用途转用工作。负责土地征收征用管理。</w:t>
      </w:r>
    </w:p>
    <w:p w14:paraId="5B55A728">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7.</w:t>
      </w:r>
      <w:r>
        <w:rPr>
          <w:rFonts w:ascii="仿宋" w:hAnsi="仿宋" w:eastAsia="仿宋"/>
          <w:bCs/>
          <w:kern w:val="0"/>
          <w:sz w:val="32"/>
          <w:szCs w:val="32"/>
        </w:rPr>
        <w:t>负责统</w:t>
      </w:r>
      <w:r>
        <w:rPr>
          <w:rFonts w:hint="eastAsia" w:ascii="仿宋" w:hAnsi="仿宋" w:eastAsia="仿宋"/>
          <w:bCs/>
          <w:kern w:val="0"/>
          <w:sz w:val="32"/>
          <w:szCs w:val="32"/>
        </w:rPr>
        <w:t>筹</w:t>
      </w:r>
      <w:r>
        <w:rPr>
          <w:rFonts w:ascii="仿宋" w:hAnsi="仿宋" w:eastAsia="仿宋"/>
          <w:bCs/>
          <w:kern w:val="0"/>
          <w:sz w:val="32"/>
          <w:szCs w:val="32"/>
        </w:rPr>
        <w:t>全</w:t>
      </w:r>
      <w:r>
        <w:rPr>
          <w:rFonts w:hint="eastAsia" w:ascii="仿宋" w:hAnsi="仿宋" w:eastAsia="仿宋"/>
          <w:bCs/>
          <w:kern w:val="0"/>
          <w:sz w:val="32"/>
          <w:szCs w:val="32"/>
        </w:rPr>
        <w:t>县国土</w:t>
      </w:r>
      <w:r>
        <w:rPr>
          <w:rFonts w:ascii="仿宋" w:hAnsi="仿宋" w:eastAsia="仿宋"/>
          <w:bCs/>
          <w:kern w:val="0"/>
          <w:sz w:val="32"/>
          <w:szCs w:val="32"/>
        </w:rPr>
        <w:t>空间生态修复。牵头组织编制全</w:t>
      </w:r>
      <w:r>
        <w:rPr>
          <w:rFonts w:hint="eastAsia" w:ascii="仿宋" w:hAnsi="仿宋" w:eastAsia="仿宋"/>
          <w:bCs/>
          <w:kern w:val="0"/>
          <w:sz w:val="32"/>
          <w:szCs w:val="32"/>
        </w:rPr>
        <w:t>县</w:t>
      </w:r>
      <w:r>
        <w:rPr>
          <w:rFonts w:ascii="仿宋" w:hAnsi="仿宋" w:eastAsia="仿宋"/>
          <w:bCs/>
          <w:kern w:val="0"/>
          <w:sz w:val="32"/>
          <w:szCs w:val="32"/>
        </w:rPr>
        <w:t>国土空间生态修复规划并实施有关生态修复重大工程。负责开展国土空间综合整治、土地整理复垦、矿山地质环境恢复治理等工作。牵头建立和实施生态保护补偿制度，制定合理利用社会资金进行生态修复的政策措施，提出重大备选项目。</w:t>
      </w:r>
    </w:p>
    <w:p w14:paraId="44DA4D5B">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8.</w:t>
      </w:r>
      <w:r>
        <w:rPr>
          <w:rFonts w:ascii="仿宋" w:hAnsi="仿宋" w:eastAsia="仿宋"/>
          <w:bCs/>
          <w:kern w:val="0"/>
          <w:sz w:val="32"/>
          <w:szCs w:val="32"/>
        </w:rPr>
        <w:t>负责组织实施最严格的耕地保护制度。牵头拟订并实施全</w:t>
      </w:r>
      <w:r>
        <w:rPr>
          <w:rFonts w:hint="eastAsia" w:ascii="仿宋" w:hAnsi="仿宋" w:eastAsia="仿宋"/>
          <w:bCs/>
          <w:kern w:val="0"/>
          <w:sz w:val="32"/>
          <w:szCs w:val="32"/>
        </w:rPr>
        <w:t>县</w:t>
      </w:r>
      <w:r>
        <w:rPr>
          <w:rFonts w:ascii="仿宋" w:hAnsi="仿宋" w:eastAsia="仿宋"/>
          <w:bCs/>
          <w:kern w:val="0"/>
          <w:sz w:val="32"/>
          <w:szCs w:val="32"/>
        </w:rPr>
        <w:t>耕地保护政策，负责耕地数量、质量、生态保护。组织实施耕地保护责任目标考核和永久基本农田特殊保护。完善耕地占补平衡制度，监督占用耕地补偿制度执行情况。</w:t>
      </w:r>
    </w:p>
    <w:p w14:paraId="40A6800E">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9.</w:t>
      </w:r>
      <w:r>
        <w:rPr>
          <w:rFonts w:ascii="仿宋" w:hAnsi="仿宋" w:eastAsia="仿宋"/>
          <w:bCs/>
          <w:kern w:val="0"/>
          <w:sz w:val="32"/>
          <w:szCs w:val="32"/>
        </w:rPr>
        <w:t>负责管理全</w:t>
      </w:r>
      <w:r>
        <w:rPr>
          <w:rFonts w:hint="eastAsia" w:ascii="仿宋" w:hAnsi="仿宋" w:eastAsia="仿宋"/>
          <w:bCs/>
          <w:kern w:val="0"/>
          <w:sz w:val="32"/>
          <w:szCs w:val="32"/>
        </w:rPr>
        <w:t>县</w:t>
      </w:r>
      <w:r>
        <w:rPr>
          <w:rFonts w:ascii="仿宋" w:hAnsi="仿宋" w:eastAsia="仿宋"/>
          <w:bCs/>
          <w:kern w:val="0"/>
          <w:sz w:val="32"/>
          <w:szCs w:val="32"/>
        </w:rPr>
        <w:t>地质勘查行业和地质工作。拟订全</w:t>
      </w:r>
      <w:r>
        <w:rPr>
          <w:rFonts w:hint="eastAsia" w:ascii="仿宋" w:hAnsi="仿宋" w:eastAsia="仿宋"/>
          <w:bCs/>
          <w:kern w:val="0"/>
          <w:sz w:val="32"/>
          <w:szCs w:val="32"/>
        </w:rPr>
        <w:t>县</w:t>
      </w:r>
      <w:r>
        <w:rPr>
          <w:rFonts w:ascii="仿宋" w:hAnsi="仿宋" w:eastAsia="仿宋"/>
          <w:bCs/>
          <w:kern w:val="0"/>
          <w:sz w:val="32"/>
          <w:szCs w:val="32"/>
        </w:rPr>
        <w:t>地质勘查规划并监督检查执行情况。管理</w:t>
      </w:r>
      <w:r>
        <w:rPr>
          <w:rFonts w:hint="eastAsia" w:ascii="仿宋" w:hAnsi="仿宋" w:eastAsia="仿宋"/>
          <w:bCs/>
          <w:kern w:val="0"/>
          <w:sz w:val="32"/>
          <w:szCs w:val="32"/>
        </w:rPr>
        <w:t>县</w:t>
      </w:r>
      <w:r>
        <w:rPr>
          <w:rFonts w:ascii="仿宋" w:hAnsi="仿宋" w:eastAsia="仿宋"/>
          <w:bCs/>
          <w:kern w:val="0"/>
          <w:sz w:val="32"/>
          <w:szCs w:val="32"/>
        </w:rPr>
        <w:t>级地质勘查项目。组织实施重大地质矿产勘查专项。负责地质灾害预防和治理，监督管理地下水过量开采及引发的地面沉降等地质问题。负责古生物化石的监督管理。</w:t>
      </w:r>
    </w:p>
    <w:p w14:paraId="46EFB478">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10.</w:t>
      </w:r>
      <w:r>
        <w:rPr>
          <w:rFonts w:ascii="仿宋" w:hAnsi="仿宋" w:eastAsia="仿宋"/>
          <w:bCs/>
          <w:kern w:val="0"/>
          <w:sz w:val="32"/>
          <w:szCs w:val="32"/>
        </w:rPr>
        <w:t>负责落实综合防灾减灾规划相关要求，组织编制全</w:t>
      </w:r>
      <w:r>
        <w:rPr>
          <w:rFonts w:hint="eastAsia" w:ascii="仿宋" w:hAnsi="仿宋" w:eastAsia="仿宋"/>
          <w:bCs/>
          <w:kern w:val="0"/>
          <w:sz w:val="32"/>
          <w:szCs w:val="32"/>
        </w:rPr>
        <w:t>县</w:t>
      </w:r>
      <w:r>
        <w:rPr>
          <w:rFonts w:ascii="仿宋" w:hAnsi="仿宋" w:eastAsia="仿宋"/>
          <w:bCs/>
          <w:kern w:val="0"/>
          <w:sz w:val="32"/>
          <w:szCs w:val="32"/>
        </w:rPr>
        <w:t>地质灾害防治规划和防护标准并指导实施。组织指导协调和监督地质灾害调查评价及隐患的普查、详查、排查。组织、指导开展群测群防、专业监测和预报预警等工作，组织、指导开展地质灾害工程治理工作。承担地质灾害应急救援的技术保障工作。</w:t>
      </w:r>
    </w:p>
    <w:p w14:paraId="4EF479C5">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11.</w:t>
      </w:r>
      <w:r>
        <w:rPr>
          <w:rFonts w:ascii="仿宋" w:hAnsi="仿宋" w:eastAsia="仿宋"/>
          <w:bCs/>
          <w:kern w:val="0"/>
          <w:sz w:val="32"/>
          <w:szCs w:val="32"/>
        </w:rPr>
        <w:t>负责全</w:t>
      </w:r>
      <w:r>
        <w:rPr>
          <w:rFonts w:hint="eastAsia" w:ascii="仿宋" w:hAnsi="仿宋" w:eastAsia="仿宋"/>
          <w:bCs/>
          <w:kern w:val="0"/>
          <w:sz w:val="32"/>
          <w:szCs w:val="32"/>
        </w:rPr>
        <w:t>县</w:t>
      </w:r>
      <w:r>
        <w:rPr>
          <w:rFonts w:ascii="仿宋" w:hAnsi="仿宋" w:eastAsia="仿宋"/>
          <w:bCs/>
          <w:kern w:val="0"/>
          <w:sz w:val="32"/>
          <w:szCs w:val="32"/>
        </w:rPr>
        <w:t>矿产资源管理工作。负责矿产资源储量管理及压覆矿产资源报批。负责矿业权管理。会同有关部门承担保护性开采的特定矿种、优势矿产的调控及相关管理工作。监督指导矿产资源合理利用和保护。</w:t>
      </w:r>
    </w:p>
    <w:p w14:paraId="5BB363F1">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12.负责测绘地理信息管理工作，负责基础测绘和测绘行业管理。负责测绘资质资格、质量、可信管理，监督管理地理信息安全和市场秩序。负责地图管理、地理信息公共服务工作。负责测量标志保护。承担全县地理空间数据汇集、共享工作。负责全县航空航天遥感影像数据的统一获取、处理、提供。</w:t>
      </w:r>
    </w:p>
    <w:p w14:paraId="2D31BBC9">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13.</w:t>
      </w:r>
      <w:r>
        <w:rPr>
          <w:rFonts w:ascii="仿宋" w:hAnsi="仿宋" w:eastAsia="仿宋"/>
          <w:bCs/>
          <w:kern w:val="0"/>
          <w:sz w:val="32"/>
          <w:szCs w:val="32"/>
        </w:rPr>
        <w:t>推动全</w:t>
      </w:r>
      <w:r>
        <w:rPr>
          <w:rFonts w:hint="eastAsia" w:ascii="仿宋" w:hAnsi="仿宋" w:eastAsia="仿宋"/>
          <w:bCs/>
          <w:kern w:val="0"/>
          <w:sz w:val="32"/>
          <w:szCs w:val="32"/>
        </w:rPr>
        <w:t>县</w:t>
      </w:r>
      <w:r>
        <w:rPr>
          <w:rFonts w:ascii="仿宋" w:hAnsi="仿宋" w:eastAsia="仿宋"/>
          <w:bCs/>
          <w:kern w:val="0"/>
          <w:sz w:val="32"/>
          <w:szCs w:val="32"/>
        </w:rPr>
        <w:t>自然资源领域科技发展和对外合作。制定并实施全</w:t>
      </w:r>
      <w:r>
        <w:rPr>
          <w:rFonts w:hint="eastAsia" w:ascii="仿宋" w:hAnsi="仿宋" w:eastAsia="仿宋"/>
          <w:bCs/>
          <w:kern w:val="0"/>
          <w:sz w:val="32"/>
          <w:szCs w:val="32"/>
        </w:rPr>
        <w:t>县</w:t>
      </w:r>
      <w:r>
        <w:rPr>
          <w:rFonts w:ascii="仿宋" w:hAnsi="仿宋" w:eastAsia="仿宋"/>
          <w:bCs/>
          <w:kern w:val="0"/>
          <w:sz w:val="32"/>
          <w:szCs w:val="32"/>
        </w:rPr>
        <w:t>自然资源领域科技创新发展和人才培养规划、计划。组织实施重大科技专项及创新能力建设，推进自然资源信息化和信息资料的公共服务。组织开展全</w:t>
      </w:r>
      <w:r>
        <w:rPr>
          <w:rFonts w:hint="eastAsia" w:ascii="仿宋" w:hAnsi="仿宋" w:eastAsia="仿宋"/>
          <w:bCs/>
          <w:kern w:val="0"/>
          <w:sz w:val="32"/>
          <w:szCs w:val="32"/>
        </w:rPr>
        <w:t>县</w:t>
      </w:r>
      <w:r>
        <w:rPr>
          <w:rFonts w:ascii="仿宋" w:hAnsi="仿宋" w:eastAsia="仿宋"/>
          <w:bCs/>
          <w:kern w:val="0"/>
          <w:sz w:val="32"/>
          <w:szCs w:val="32"/>
        </w:rPr>
        <w:t>自然资源系统对外交流合作。</w:t>
      </w:r>
    </w:p>
    <w:p w14:paraId="0DA32D53">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14.</w:t>
      </w:r>
      <w:r>
        <w:rPr>
          <w:rFonts w:ascii="仿宋" w:hAnsi="仿宋" w:eastAsia="仿宋"/>
          <w:bCs/>
          <w:kern w:val="0"/>
          <w:sz w:val="32"/>
          <w:szCs w:val="32"/>
        </w:rPr>
        <w:t>组织实施自然资源督察相关工作。</w:t>
      </w:r>
      <w:r>
        <w:rPr>
          <w:rFonts w:hint="eastAsia" w:ascii="仿宋" w:hAnsi="仿宋" w:eastAsia="仿宋"/>
          <w:bCs/>
          <w:kern w:val="0"/>
          <w:sz w:val="32"/>
          <w:szCs w:val="32"/>
        </w:rPr>
        <w:t>负责查处全县自然资源开发利用、国土空间规划等领域重大违法案件。</w:t>
      </w:r>
    </w:p>
    <w:p w14:paraId="6588CA1F">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15.</w:t>
      </w:r>
      <w:r>
        <w:rPr>
          <w:rFonts w:ascii="仿宋" w:hAnsi="仿宋" w:eastAsia="仿宋"/>
          <w:bCs/>
          <w:kern w:val="0"/>
          <w:sz w:val="32"/>
          <w:szCs w:val="32"/>
        </w:rPr>
        <w:t>负责职责范围内的安全生产和职业健康、生态环境保护</w:t>
      </w:r>
      <w:r>
        <w:rPr>
          <w:rFonts w:hint="eastAsia" w:ascii="仿宋" w:hAnsi="仿宋" w:eastAsia="仿宋"/>
          <w:bCs/>
          <w:kern w:val="0"/>
          <w:sz w:val="32"/>
          <w:szCs w:val="32"/>
        </w:rPr>
        <w:t>和职业健康</w:t>
      </w:r>
      <w:r>
        <w:rPr>
          <w:rFonts w:ascii="仿宋" w:hAnsi="仿宋" w:eastAsia="仿宋"/>
          <w:bCs/>
          <w:kern w:val="0"/>
          <w:sz w:val="32"/>
          <w:szCs w:val="32"/>
        </w:rPr>
        <w:t>等工作。</w:t>
      </w:r>
    </w:p>
    <w:p w14:paraId="73E20AD5">
      <w:pPr>
        <w:widowControl/>
        <w:spacing w:line="560" w:lineRule="exact"/>
        <w:ind w:firstLine="640" w:firstLineChars="200"/>
        <w:jc w:val="left"/>
        <w:rPr>
          <w:rFonts w:hint="eastAsia"/>
          <w:lang w:eastAsia="zh-CN"/>
        </w:rPr>
      </w:pPr>
      <w:r>
        <w:rPr>
          <w:rFonts w:hint="eastAsia" w:ascii="仿宋" w:hAnsi="仿宋" w:eastAsia="仿宋"/>
          <w:bCs/>
          <w:kern w:val="0"/>
          <w:sz w:val="32"/>
          <w:szCs w:val="32"/>
        </w:rPr>
        <w:t>16.</w:t>
      </w:r>
      <w:r>
        <w:rPr>
          <w:rFonts w:ascii="仿宋" w:hAnsi="仿宋" w:eastAsia="仿宋"/>
          <w:bCs/>
          <w:kern w:val="0"/>
          <w:sz w:val="32"/>
          <w:szCs w:val="32"/>
        </w:rPr>
        <w:t>完成</w:t>
      </w:r>
      <w:r>
        <w:rPr>
          <w:rFonts w:hint="eastAsia" w:ascii="仿宋" w:hAnsi="仿宋" w:eastAsia="仿宋"/>
          <w:bCs/>
          <w:kern w:val="0"/>
          <w:sz w:val="32"/>
          <w:szCs w:val="32"/>
        </w:rPr>
        <w:t>县</w:t>
      </w:r>
      <w:r>
        <w:rPr>
          <w:rFonts w:ascii="仿宋" w:hAnsi="仿宋" w:eastAsia="仿宋"/>
          <w:bCs/>
          <w:kern w:val="0"/>
          <w:sz w:val="32"/>
          <w:szCs w:val="32"/>
        </w:rPr>
        <w:t>委、</w:t>
      </w:r>
      <w:r>
        <w:rPr>
          <w:rFonts w:hint="eastAsia" w:ascii="仿宋" w:hAnsi="仿宋" w:eastAsia="仿宋"/>
          <w:bCs/>
          <w:kern w:val="0"/>
          <w:sz w:val="32"/>
          <w:szCs w:val="32"/>
        </w:rPr>
        <w:t>县</w:t>
      </w:r>
      <w:r>
        <w:rPr>
          <w:rFonts w:ascii="仿宋" w:hAnsi="仿宋" w:eastAsia="仿宋"/>
          <w:bCs/>
          <w:kern w:val="0"/>
          <w:sz w:val="32"/>
          <w:szCs w:val="32"/>
        </w:rPr>
        <w:t>政府交办的其他工作。</w:t>
      </w:r>
    </w:p>
    <w:p w14:paraId="04FC87D2">
      <w:pPr>
        <w:pStyle w:val="4"/>
        <w:rPr>
          <w:rStyle w:val="31"/>
          <w:rFonts w:ascii="Times New Roman" w:hAnsi="Times New Roman"/>
          <w:b w:val="0"/>
          <w:bCs w:val="0"/>
          <w:color w:val="auto"/>
          <w:highlight w:val="none"/>
        </w:rPr>
      </w:pPr>
      <w:bookmarkStart w:id="8" w:name="_Toc15377200"/>
      <w:bookmarkStart w:id="9" w:name="_Toc15396601"/>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8"/>
      <w:bookmarkEnd w:id="9"/>
    </w:p>
    <w:p w14:paraId="210EE4E6">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沐川县自然资源局</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8</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8</w:t>
      </w:r>
      <w:r>
        <w:rPr>
          <w:rFonts w:hint="eastAsia" w:ascii="Times New Roman" w:hAnsi="Times New Roman" w:eastAsia="仿宋_GB2312" w:cs="仿宋_GB2312"/>
          <w:color w:val="auto"/>
          <w:sz w:val="32"/>
          <w:szCs w:val="32"/>
          <w:highlight w:val="none"/>
        </w:rPr>
        <w:t>个</w:t>
      </w: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沐川县土地事务服务中心、沐川县不动产登记中心、沐川县规划设计中心、沐川县地质环境监测站，沐溪片区自然资源所、舟坝片区自然资源所、大楠片区自然资源所、利店片区自然资源所</w:t>
      </w: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w:t>
      </w:r>
    </w:p>
    <w:p w14:paraId="034EA149">
      <w:pPr>
        <w:pStyle w:val="6"/>
        <w:adjustRightInd w:val="0"/>
        <w:snapToGrid w:val="0"/>
        <w:spacing w:before="93" w:line="600" w:lineRule="exact"/>
        <w:ind w:firstLine="672" w:firstLineChars="210"/>
        <w:rPr>
          <w:rFonts w:hint="eastAsia"/>
        </w:rPr>
      </w:pPr>
      <w:r>
        <w:rPr>
          <w:rFonts w:hint="eastAsia" w:ascii="仿宋" w:hAnsi="仿宋" w:eastAsia="仿宋"/>
          <w:color w:val="000000"/>
          <w:sz w:val="32"/>
          <w:szCs w:val="32"/>
          <w:lang w:eastAsia="zh-CN"/>
        </w:rPr>
        <w:t>以上单位全部</w:t>
      </w:r>
      <w:r>
        <w:rPr>
          <w:rFonts w:hint="eastAsia" w:ascii="仿宋" w:hAnsi="仿宋" w:eastAsia="仿宋"/>
          <w:color w:val="000000"/>
          <w:sz w:val="32"/>
          <w:szCs w:val="32"/>
        </w:rPr>
        <w:t>纳入202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年度部门决算编制范围</w:t>
      </w:r>
      <w:r>
        <w:rPr>
          <w:rFonts w:hint="eastAsia" w:ascii="仿宋" w:hAnsi="仿宋" w:eastAsia="仿宋"/>
          <w:color w:val="000000"/>
          <w:sz w:val="32"/>
          <w:szCs w:val="32"/>
          <w:lang w:eastAsia="zh-CN"/>
        </w:rPr>
        <w:t>。</w:t>
      </w:r>
    </w:p>
    <w:p w14:paraId="647E1090">
      <w:pPr>
        <w:rPr>
          <w:rFonts w:hint="eastAsia"/>
        </w:rPr>
      </w:pPr>
      <w:bookmarkStart w:id="10" w:name="_Toc15377204"/>
      <w:bookmarkStart w:id="11" w:name="_Toc15396602"/>
    </w:p>
    <w:p w14:paraId="286C133C">
      <w:pPr>
        <w:pStyle w:val="3"/>
        <w:jc w:val="center"/>
        <w:rPr>
          <w:rFonts w:hint="eastAsia" w:ascii="Times New Roman" w:hAnsi="Times New Roman" w:eastAsia="方正小标宋简体" w:cs="方正小标宋简体"/>
          <w:b w:val="0"/>
          <w:color w:val="auto"/>
          <w:highlight w:val="none"/>
        </w:rPr>
      </w:pPr>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0"/>
      <w:bookmarkEnd w:id="11"/>
    </w:p>
    <w:p w14:paraId="0ABFCDFA">
      <w:pPr>
        <w:rPr>
          <w:rFonts w:ascii="Times New Roman" w:hAnsi="Times New Roman"/>
          <w:color w:val="auto"/>
          <w:highlight w:val="none"/>
        </w:rPr>
      </w:pPr>
    </w:p>
    <w:p w14:paraId="5B784957">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12" w:name="_Toc15377205"/>
      <w:bookmarkStart w:id="13"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12"/>
      <w:bookmarkEnd w:id="13"/>
    </w:p>
    <w:p w14:paraId="178CE50E">
      <w:pPr>
        <w:spacing w:line="560" w:lineRule="exact"/>
        <w:ind w:firstLine="640" w:firstLineChars="200"/>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15333.54</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790.53</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5.4</w:t>
      </w:r>
      <w:r>
        <w:rPr>
          <w:rFonts w:hint="eastAsia" w:ascii="Times New Roman" w:hAnsi="Times New Roman" w:eastAsia="仿宋_GB2312" w:cs="仿宋_GB2312"/>
          <w:color w:val="auto"/>
          <w:sz w:val="32"/>
          <w:szCs w:val="32"/>
          <w:highlight w:val="none"/>
        </w:rPr>
        <w:t>%。主要变动原因</w:t>
      </w:r>
      <w:r>
        <w:rPr>
          <w:rFonts w:hint="eastAsia" w:ascii="Times New Roman" w:hAnsi="Times New Roman" w:eastAsia="仿宋_GB2312" w:cs="仿宋_GB2312"/>
          <w:color w:val="auto"/>
          <w:sz w:val="32"/>
          <w:szCs w:val="32"/>
          <w:highlight w:val="none"/>
          <w:lang w:eastAsia="zh-CN"/>
        </w:rPr>
        <w:t>是</w:t>
      </w:r>
      <w:r>
        <w:rPr>
          <w:rFonts w:hint="eastAsia" w:ascii="Times New Roman" w:hAnsi="Times New Roman" w:eastAsia="仿宋_GB2312" w:cs="仿宋_GB2312"/>
          <w:color w:val="auto"/>
          <w:sz w:val="32"/>
          <w:szCs w:val="32"/>
          <w:highlight w:val="none"/>
        </w:rPr>
        <w:t>新增耕地和双挂钩项目</w:t>
      </w:r>
      <w:r>
        <w:rPr>
          <w:rFonts w:hint="eastAsia" w:eastAsia="仿宋_GB2312" w:cs="仿宋_GB2312"/>
          <w:color w:val="auto"/>
          <w:sz w:val="32"/>
          <w:szCs w:val="32"/>
          <w:highlight w:val="none"/>
          <w:lang w:eastAsia="zh-CN"/>
        </w:rPr>
        <w:t>、收回收购沐溪镇城北路和交通街路政大队存量闲置土地项目</w:t>
      </w:r>
      <w:r>
        <w:rPr>
          <w:rFonts w:hint="eastAsia" w:ascii="仿宋" w:hAnsi="仿宋" w:eastAsia="仿宋"/>
          <w:color w:val="auto"/>
          <w:kern w:val="0"/>
          <w:sz w:val="32"/>
          <w:szCs w:val="32"/>
          <w:lang w:eastAsia="zh-CN"/>
        </w:rPr>
        <w:t>预算收入、支出均增多。</w:t>
      </w:r>
    </w:p>
    <w:p w14:paraId="7404BC6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仿宋" w:hAnsi="仿宋" w:eastAsia="仿宋" w:cs="仿宋"/>
          <w:sz w:val="32"/>
          <w:szCs w:val="32"/>
          <w:lang w:val="en-US" w:eastAsia="zh-CN"/>
        </w:rPr>
        <w:object>
          <v:shape id="_x0000_i1025" o:spt="75" type="#_x0000_t75" style="height:222.75pt;width:375.75pt;" o:ole="t" filled="f" o:preferrelative="t" stroked="f" coordsize="21600,21600">
            <v:path/>
            <v:fill on="f" focussize="0,0"/>
            <v:stroke on="f"/>
            <v:imagedata r:id="rId11" o:title=""/>
            <o:lock v:ext="edit" aspectratio="t"/>
            <w10:wrap type="none"/>
            <w10:anchorlock/>
          </v:shape>
          <o:OLEObject Type="Embed" ProgID="Excel.Chart.8" ShapeID="_x0000_i1025" DrawAspect="Content" ObjectID="_1468075725" r:id="rId10">
            <o:LockedField>false</o:LockedField>
          </o:OLEObject>
        </w:object>
      </w:r>
    </w:p>
    <w:p w14:paraId="47AD1ACC">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96604"/>
      <w:bookmarkStart w:id="15" w:name="_Toc15377206"/>
      <w:r>
        <w:rPr>
          <w:rFonts w:hint="eastAsia" w:ascii="Times New Roman" w:hAnsi="Times New Roman" w:eastAsia="黑体"/>
          <w:color w:val="auto"/>
          <w:sz w:val="32"/>
          <w:szCs w:val="32"/>
          <w:highlight w:val="none"/>
          <w:lang w:eastAsia="zh-CN"/>
        </w:rPr>
        <w:t>二、收入决算情况说明</w:t>
      </w:r>
      <w:bookmarkEnd w:id="14"/>
      <w:bookmarkEnd w:id="15"/>
    </w:p>
    <w:p w14:paraId="1DE73885">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14955.75</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2351.36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15.72</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12491.41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83.52</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112.98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0.7</w:t>
      </w:r>
      <w:r>
        <w:rPr>
          <w:rFonts w:hint="eastAsia" w:ascii="仿宋_GB2312" w:hAnsi="仿宋_GB2312" w:eastAsia="仿宋_GB2312" w:cs="仿宋_GB2312"/>
          <w:sz w:val="32"/>
          <w:szCs w:val="32"/>
          <w:lang w:val="en-US" w:eastAsia="zh-CN"/>
        </w:rPr>
        <w:t>6</w:t>
      </w:r>
      <w:r>
        <w:rPr>
          <w:rFonts w:hint="eastAsia" w:ascii="Times New Roman" w:hAnsi="Times New Roman" w:eastAsia="仿宋_GB2312" w:cs="仿宋_GB2312"/>
          <w:color w:val="auto"/>
          <w:sz w:val="32"/>
          <w:szCs w:val="32"/>
          <w:highlight w:val="none"/>
          <w:lang w:eastAsia="zh-CN"/>
        </w:rPr>
        <w:t>%。</w:t>
      </w:r>
    </w:p>
    <w:p w14:paraId="3C71FE66">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638371FD">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仿宋_GB2312" w:hAnsi="仿宋" w:eastAsia="仿宋_GB2312"/>
          <w:sz w:val="32"/>
          <w:szCs w:val="32"/>
          <w:highlight w:val="none"/>
          <w:lang w:eastAsia="zh-CN"/>
        </w:rPr>
        <w:object>
          <v:shape id="_x0000_i1026" o:spt="75" type="#_x0000_t75" style="height:222.75pt;width:366.75pt;" o:ole="t" filled="f" o:preferrelative="t" stroked="f" coordsize="21600,21600">
            <v:path/>
            <v:fill on="f" focussize="0,0"/>
            <v:stroke on="f"/>
            <v:imagedata r:id="rId13" o:title=""/>
            <o:lock v:ext="edit" aspectratio="t"/>
            <w10:wrap type="none"/>
            <w10:anchorlock/>
          </v:shape>
          <o:OLEObject Type="Embed" ProgID="Excel.Chart.8" ShapeID="_x0000_i1026" DrawAspect="Content" ObjectID="_1468075726" r:id="rId12">
            <o:LockedField>false</o:LockedField>
          </o:OLEObject>
        </w:object>
      </w:r>
    </w:p>
    <w:p w14:paraId="67ED594E">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16" w:name="_Toc15396605"/>
      <w:bookmarkStart w:id="17"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16"/>
      <w:bookmarkEnd w:id="17"/>
    </w:p>
    <w:p w14:paraId="41FBE650">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15333.54</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1106.66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7.2</w:t>
      </w:r>
      <w:r>
        <w:rPr>
          <w:rFonts w:hint="eastAsia" w:ascii="仿宋_GB2312" w:hAnsi="仿宋_GB2312" w:eastAsia="仿宋_GB2312" w:cs="仿宋_GB2312"/>
          <w:sz w:val="32"/>
          <w:szCs w:val="32"/>
          <w:lang w:val="en-US" w:eastAsia="zh-CN"/>
        </w:rPr>
        <w:t>2</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14226.88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92.78</w:t>
      </w:r>
      <w:r>
        <w:rPr>
          <w:rFonts w:hint="eastAsia" w:ascii="Times New Roman" w:hAnsi="Times New Roman" w:eastAsia="仿宋_GB2312" w:cs="仿宋_GB2312"/>
          <w:color w:val="auto"/>
          <w:sz w:val="32"/>
          <w:szCs w:val="32"/>
          <w:highlight w:val="none"/>
          <w:lang w:eastAsia="zh-CN"/>
        </w:rPr>
        <w:t>%。</w:t>
      </w:r>
    </w:p>
    <w:p w14:paraId="7A44D357">
      <w:pPr>
        <w:ind w:firstLine="840" w:firstLineChars="400"/>
        <w:rPr>
          <w:rFonts w:hint="eastAsia" w:ascii="Times New Roman" w:hAnsi="Times New Roman" w:eastAsia="仿宋_GB2312" w:cs="仿宋_GB2312"/>
          <w:color w:val="auto"/>
          <w:sz w:val="32"/>
          <w:szCs w:val="32"/>
          <w:highlight w:val="none"/>
          <w:lang w:eastAsia="zh-CN"/>
        </w:rPr>
      </w:pPr>
      <w:r>
        <w:rPr>
          <w:rFonts w:hint="default"/>
          <w:lang w:val="en-US" w:eastAsia="zh-CN"/>
        </w:rPr>
        <w:object>
          <v:shape id="_x0000_i1027" o:spt="75" type="#_x0000_t75" style="height:222.75pt;width:366.75pt;" o:ole="t" filled="f" o:preferrelative="t" stroked="f" coordsize="21600,21600">
            <v:path/>
            <v:fill on="f" focussize="0,0"/>
            <v:stroke on="f"/>
            <v:imagedata r:id="rId15" o:title=""/>
            <o:lock v:ext="edit" aspectratio="t"/>
            <w10:wrap type="none"/>
            <w10:anchorlock/>
          </v:shape>
          <o:OLEObject Type="Embed" ProgID="Excel.Chart.8" ShapeID="_x0000_i1027" DrawAspect="Content" ObjectID="_1468075727" r:id="rId14">
            <o:LockedField>false</o:LockedField>
          </o:OLEObject>
        </w:object>
      </w:r>
    </w:p>
    <w:p w14:paraId="6AEC0D9E">
      <w:pPr>
        <w:spacing w:line="600" w:lineRule="exact"/>
        <w:ind w:firstLine="640" w:firstLineChars="200"/>
        <w:outlineLvl w:val="1"/>
        <w:rPr>
          <w:rStyle w:val="31"/>
          <w:rFonts w:ascii="Times New Roman" w:hAnsi="Times New Roman" w:eastAsia="黑体"/>
          <w:b w:val="0"/>
          <w:color w:val="auto"/>
          <w:highlight w:val="none"/>
        </w:rPr>
      </w:pPr>
      <w:bookmarkStart w:id="18" w:name="_Toc15396606"/>
      <w:bookmarkStart w:id="19" w:name="_Toc15377208"/>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18"/>
      <w:bookmarkEnd w:id="19"/>
    </w:p>
    <w:p w14:paraId="582DAAA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15220.56</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830.89</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5.77</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 w:hAnsi="仿宋" w:eastAsia="仿宋"/>
          <w:color w:val="auto"/>
          <w:kern w:val="0"/>
          <w:sz w:val="32"/>
          <w:szCs w:val="32"/>
          <w:lang w:eastAsia="zh-CN"/>
        </w:rPr>
        <w:t>政府性基金清欠专项债券和地方政府收储土地专项债</w:t>
      </w:r>
      <w:r>
        <w:rPr>
          <w:rFonts w:hint="eastAsia" w:ascii="仿宋" w:hAnsi="仿宋" w:eastAsia="仿宋"/>
          <w:color w:val="auto"/>
          <w:kern w:val="0"/>
          <w:sz w:val="32"/>
          <w:szCs w:val="32"/>
        </w:rPr>
        <w:t>资金</w:t>
      </w:r>
      <w:r>
        <w:rPr>
          <w:rFonts w:hint="eastAsia" w:ascii="仿宋" w:hAnsi="仿宋" w:eastAsia="仿宋"/>
          <w:color w:val="auto"/>
          <w:kern w:val="0"/>
          <w:sz w:val="32"/>
          <w:szCs w:val="32"/>
          <w:lang w:eastAsia="zh-CN"/>
        </w:rPr>
        <w:t>预算收入、支出均增多。</w:t>
      </w:r>
    </w:p>
    <w:p w14:paraId="785F1032">
      <w:pPr>
        <w:pStyle w:val="14"/>
        <w:ind w:firstLine="640" w:firstLineChars="200"/>
        <w:rPr>
          <w:rFonts w:hint="eastAsia"/>
          <w:lang w:val="en-US" w:eastAsia="zh-CN"/>
        </w:rPr>
      </w:pPr>
      <w:r>
        <w:rPr>
          <w:rFonts w:hint="eastAsia" w:ascii="仿宋" w:hAnsi="仿宋" w:eastAsia="仿宋" w:cs="仿宋"/>
          <w:sz w:val="32"/>
          <w:szCs w:val="32"/>
          <w:lang w:val="en-US" w:eastAsia="zh-CN"/>
        </w:rPr>
        <w:object>
          <v:shape id="_x0000_i1028" o:spt="75" type="#_x0000_t75" style="height:222.75pt;width:375.75pt;" o:ole="t" filled="f" o:preferrelative="t" stroked="f" coordsize="21600,21600">
            <v:path/>
            <v:fill on="f" focussize="0,0"/>
            <v:stroke on="f"/>
            <v:imagedata r:id="rId17" o:title=""/>
            <o:lock v:ext="edit" aspectratio="t"/>
            <w10:wrap type="none"/>
            <w10:anchorlock/>
          </v:shape>
          <o:OLEObject Type="Embed" ProgID="Excel.Chart.8" ShapeID="_x0000_i1028" DrawAspect="Content" ObjectID="_1468075728" r:id="rId16">
            <o:LockedField>false</o:LockedField>
          </o:OLEObject>
        </w:object>
      </w:r>
    </w:p>
    <w:p w14:paraId="049419E3">
      <w:pPr>
        <w:spacing w:line="600" w:lineRule="exact"/>
        <w:ind w:firstLine="640" w:firstLineChars="200"/>
        <w:outlineLvl w:val="1"/>
        <w:rPr>
          <w:rStyle w:val="31"/>
          <w:rFonts w:ascii="Times New Roman" w:hAnsi="Times New Roman" w:eastAsia="黑体"/>
          <w:b w:val="0"/>
          <w:color w:val="auto"/>
          <w:highlight w:val="none"/>
        </w:rPr>
      </w:pPr>
      <w:bookmarkStart w:id="20" w:name="_Toc15377209"/>
      <w:bookmarkStart w:id="21"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20"/>
      <w:bookmarkEnd w:id="21"/>
    </w:p>
    <w:p w14:paraId="6647517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14:paraId="77E66F4E">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2729.15</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17.79</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7674.07</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73.84</w:t>
      </w:r>
      <w:r>
        <w:rPr>
          <w:rFonts w:hint="eastAsia" w:ascii="Times New Roman" w:hAnsi="Times New Roman" w:eastAsia="仿宋_GB2312" w:cs="仿宋_GB2312"/>
          <w:color w:val="auto"/>
          <w:kern w:val="2"/>
          <w:sz w:val="32"/>
          <w:szCs w:val="32"/>
          <w:highlight w:val="none"/>
          <w:lang w:val="en-US" w:eastAsia="zh-CN" w:bidi="ar-SA"/>
        </w:rPr>
        <w:t>%。主要变动原因</w:t>
      </w:r>
      <w:r>
        <w:rPr>
          <w:rFonts w:hint="eastAsia" w:eastAsia="仿宋_GB2312" w:cs="仿宋_GB2312"/>
          <w:color w:val="auto"/>
          <w:kern w:val="2"/>
          <w:sz w:val="32"/>
          <w:szCs w:val="32"/>
          <w:highlight w:val="none"/>
          <w:lang w:val="en-US" w:eastAsia="zh-CN" w:bidi="ar-SA"/>
        </w:rPr>
        <w:t>是项目类</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减少，2025年该类资金多在政府性基金中解决。</w:t>
      </w:r>
    </w:p>
    <w:p w14:paraId="5104DCD9">
      <w:pPr>
        <w:pStyle w:val="2"/>
        <w:rPr>
          <w:rFonts w:hint="eastAsia"/>
          <w:lang w:val="en-US" w:eastAsia="zh-CN"/>
        </w:rPr>
      </w:pPr>
    </w:p>
    <w:p w14:paraId="736CCE35">
      <w:pPr>
        <w:pStyle w:val="8"/>
        <w:ind w:left="638" w:leftChars="304" w:firstLine="0" w:firstLineChars="0"/>
        <w:rPr>
          <w:rFonts w:hint="eastAsia" w:ascii="Times New Roman" w:hAnsi="Times New Roman" w:eastAsia="楷体_GB2312" w:cs="楷体_GB2312"/>
          <w:b/>
          <w:color w:val="auto"/>
          <w:sz w:val="32"/>
          <w:szCs w:val="32"/>
          <w:highlight w:val="none"/>
        </w:rPr>
      </w:pPr>
      <w:r>
        <w:rPr>
          <w:rFonts w:hint="eastAsia" w:ascii="仿宋" w:hAnsi="仿宋" w:eastAsia="仿宋" w:cs="仿宋"/>
          <w:sz w:val="32"/>
          <w:szCs w:val="32"/>
          <w:lang w:val="en-US" w:eastAsia="zh-CN"/>
        </w:rPr>
        <w:object>
          <v:shape id="_x0000_i1029" o:spt="75" type="#_x0000_t75" style="height:222.75pt;width:375.75pt;" o:ole="t" filled="f" o:preferrelative="t" stroked="f" coordsize="21600,21600">
            <v:path/>
            <v:fill on="f" focussize="0,0"/>
            <v:stroke on="f"/>
            <v:imagedata r:id="rId19" o:title=""/>
            <o:lock v:ext="edit" aspectratio="t"/>
            <w10:wrap type="none"/>
            <w10:anchorlock/>
          </v:shape>
          <o:OLEObject Type="Embed" ProgID="Excel.Chart.8" ShapeID="_x0000_i1029" DrawAspect="Content" ObjectID="_1468075729" r:id="rId18">
            <o:LockedField>false</o:LockedField>
          </o:OLEObject>
        </w:object>
      </w:r>
      <w:bookmarkStart w:id="23" w:name="_Toc15377211"/>
      <w:r>
        <w:rPr>
          <w:rFonts w:hint="eastAsia" w:ascii="仿宋" w:hAnsi="仿宋" w:eastAsia="仿宋" w:cs="仿宋"/>
          <w:sz w:val="32"/>
          <w:szCs w:val="32"/>
          <w:lang w:val="en-US" w:eastAsia="zh-CN"/>
        </w:rPr>
        <w:t xml:space="preserve"> </w:t>
      </w:r>
      <w:r>
        <w:rPr>
          <w:rFonts w:hint="eastAsia" w:ascii="Times New Roman" w:hAnsi="Times New Roman" w:eastAsia="楷体_GB2312" w:cs="楷体_GB2312"/>
          <w:b/>
          <w:color w:val="auto"/>
          <w:sz w:val="32"/>
          <w:szCs w:val="32"/>
          <w:highlight w:val="none"/>
        </w:rPr>
        <w:t>（二）一般公共预算财政拨款支出决算结构情况</w:t>
      </w:r>
      <w:bookmarkEnd w:id="23"/>
    </w:p>
    <w:p w14:paraId="17D9587A">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2729.15</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112.28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4.11</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114.78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4.21</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40.68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1.49</w:t>
      </w:r>
      <w:r>
        <w:rPr>
          <w:rFonts w:hint="eastAsia" w:ascii="Times New Roman" w:hAnsi="Times New Roman" w:eastAsia="仿宋_GB2312" w:cs="仿宋_GB2312"/>
          <w:color w:val="auto"/>
          <w:kern w:val="2"/>
          <w:sz w:val="32"/>
          <w:szCs w:val="32"/>
          <w:highlight w:val="none"/>
          <w:lang w:val="en-US" w:eastAsia="zh-CN" w:bidi="ar-SA"/>
        </w:rPr>
        <w:t>%；农林水支出0.71万元，占0.03%；自然资源海洋气象等支出1654.18万元，占60.61%；住房保障支出</w:t>
      </w:r>
      <w:r>
        <w:rPr>
          <w:rFonts w:hint="eastAsia" w:eastAsia="仿宋_GB2312" w:cs="仿宋_GB2312"/>
          <w:color w:val="auto"/>
          <w:kern w:val="2"/>
          <w:sz w:val="32"/>
          <w:szCs w:val="32"/>
          <w:highlight w:val="none"/>
          <w:lang w:val="en-US" w:eastAsia="zh-CN" w:bidi="ar-SA"/>
        </w:rPr>
        <w:t>77.59</w:t>
      </w:r>
      <w:r>
        <w:rPr>
          <w:rFonts w:hint="eastAsia" w:ascii="Times New Roman" w:hAnsi="Times New Roman" w:eastAsia="仿宋_GB2312" w:cs="仿宋_GB2312"/>
          <w:color w:val="auto"/>
          <w:kern w:val="2"/>
          <w:sz w:val="32"/>
          <w:szCs w:val="32"/>
          <w:highlight w:val="none"/>
          <w:lang w:val="en-US" w:eastAsia="zh-CN" w:bidi="ar-SA"/>
        </w:rPr>
        <w:t>万元，占2.84%；灾害防治及应急管理支出728.93万元，占26.71%.</w:t>
      </w:r>
    </w:p>
    <w:p w14:paraId="20772E37">
      <w:pPr>
        <w:pStyle w:val="14"/>
        <w:rPr>
          <w:rFonts w:hint="eastAsia" w:ascii="Times New Roman" w:hAnsi="Times New Roman" w:eastAsia="仿宋_GB2312" w:cs="仿宋_GB2312"/>
          <w:color w:val="auto"/>
          <w:kern w:val="2"/>
          <w:sz w:val="32"/>
          <w:szCs w:val="32"/>
          <w:highlight w:val="none"/>
          <w:lang w:val="en-US" w:eastAsia="zh-CN" w:bidi="ar-SA"/>
        </w:rPr>
      </w:pPr>
    </w:p>
    <w:p w14:paraId="2347A401">
      <w:pPr>
        <w:pStyle w:val="8"/>
        <w:rPr>
          <w:rFonts w:hint="eastAsia" w:ascii="Times New Roman" w:hAnsi="Times New Roman" w:eastAsia="仿宋_GB2312" w:cs="仿宋_GB2312"/>
          <w:color w:val="auto"/>
          <w:kern w:val="2"/>
          <w:sz w:val="32"/>
          <w:szCs w:val="32"/>
          <w:highlight w:val="none"/>
          <w:lang w:val="en-US" w:eastAsia="zh-CN" w:bidi="ar-SA"/>
        </w:rPr>
      </w:pPr>
      <w:r>
        <w:rPr>
          <w:rFonts w:hint="default"/>
          <w:lang w:val="en-US" w:eastAsia="zh-CN"/>
        </w:rPr>
        <w:object>
          <v:shape id="_x0000_i1030" o:spt="75" type="#_x0000_t75" style="height:222.75pt;width:366.75pt;" o:ole="t" filled="f" o:preferrelative="t" stroked="f" coordsize="21600,21600">
            <v:path/>
            <v:fill on="f" focussize="0,0"/>
            <v:stroke on="f"/>
            <v:imagedata r:id="rId21" o:title=""/>
            <o:lock v:ext="edit" aspectratio="t"/>
            <w10:wrap type="none"/>
            <w10:anchorlock/>
          </v:shape>
          <o:OLEObject Type="Embed" ProgID="Excel.Chart.8" ShapeID="_x0000_i1030" DrawAspect="Content" ObjectID="_1468075730" r:id="rId20">
            <o:LockedField>false</o:LockedField>
          </o:OLEObject>
        </w:object>
      </w:r>
    </w:p>
    <w:p w14:paraId="05BE7C8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4"/>
    </w:p>
    <w:p w14:paraId="7014529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5" w:name="_Toc15377444"/>
      <w:bookmarkStart w:id="26" w:name="_Toc15377213"/>
      <w:bookmarkStart w:id="27"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2729.15</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93.75</w:t>
      </w:r>
      <w:r>
        <w:rPr>
          <w:rFonts w:hint="eastAsia" w:ascii="Times New Roman" w:hAnsi="Times New Roman" w:eastAsia="仿宋_GB2312" w:cs="仿宋_GB2312"/>
          <w:color w:val="auto"/>
          <w:kern w:val="2"/>
          <w:sz w:val="32"/>
          <w:szCs w:val="32"/>
          <w:highlight w:val="none"/>
          <w:lang w:val="en-US" w:eastAsia="zh-CN" w:bidi="ar-SA"/>
        </w:rPr>
        <w:t>%。其中：</w:t>
      </w:r>
      <w:bookmarkEnd w:id="25"/>
      <w:bookmarkEnd w:id="26"/>
      <w:bookmarkEnd w:id="27"/>
    </w:p>
    <w:p w14:paraId="308FCE9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教育支出（类）</w:t>
      </w:r>
      <w:r>
        <w:rPr>
          <w:rFonts w:hint="eastAsia" w:eastAsia="仿宋_GB2312" w:cs="仿宋_GB2312"/>
          <w:color w:val="auto"/>
          <w:kern w:val="2"/>
          <w:sz w:val="32"/>
          <w:szCs w:val="32"/>
          <w:highlight w:val="none"/>
          <w:lang w:val="en-US" w:eastAsia="zh-CN" w:bidi="ar-SA"/>
        </w:rPr>
        <w:t>：普通教育（款）：其他普通教育支出（项）：</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112.28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71686CD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2.社会保障和就业（类）</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行政事业单位养老支出（款）</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 xml:space="preserve"> 支出决算为</w:t>
      </w:r>
      <w:r>
        <w:rPr>
          <w:rFonts w:hint="eastAsia" w:eastAsia="仿宋_GB2312" w:cs="仿宋_GB2312"/>
          <w:color w:val="auto"/>
          <w:kern w:val="2"/>
          <w:sz w:val="32"/>
          <w:szCs w:val="32"/>
          <w:highlight w:val="none"/>
          <w:lang w:val="en-US" w:eastAsia="zh-CN" w:bidi="ar-SA"/>
        </w:rPr>
        <w:t>93.5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机关事业单位职业年金缴费支出（项）：支出决算为5.59万元，完成预算100%；其他行政事业单位养老支出（项）：支出决算为4.58万元，完成预算100%。抚恤（款）：死亡抚恤（项）：支出决算为6.73万元，完成预算100%。其他社会保障和就业支出（款）：其他社会保障和就业支出（项）：支出预算为4.38万元，完成预算100%。</w:t>
      </w:r>
    </w:p>
    <w:p w14:paraId="49FEE2F7">
      <w:pPr>
        <w:spacing w:line="600" w:lineRule="exact"/>
        <w:ind w:firstLine="640"/>
        <w:rPr>
          <w:rFonts w:hint="default"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3.卫生健康支出（类）行政事业单位医疗（款）行政单位医疗（项）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6.19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；事业单位医疗（项）：支出决算为29.51万元，完成预算100%；公务员医疗补助（项）：支出决算为4.98万元，完成预算100%。</w:t>
      </w:r>
    </w:p>
    <w:p w14:paraId="78662A22">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4.农林水支出（类）巩固脱贫攻坚成果衔接乡村振兴（款）农村基础设施建设（项）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0.71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65DC2A5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5.自然资源海洋气象等支出（类）自然资源事务（款）行政运行（项）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301.81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一般行政管理事务</w:t>
      </w:r>
      <w:r>
        <w:rPr>
          <w:rFonts w:hint="eastAsia" w:eastAsia="仿宋_GB2312" w:cs="仿宋_GB2312"/>
          <w:color w:val="auto"/>
          <w:kern w:val="2"/>
          <w:sz w:val="32"/>
          <w:szCs w:val="32"/>
          <w:highlight w:val="none"/>
          <w:lang w:val="en-US" w:eastAsia="zh-CN" w:bidi="ar-SA"/>
        </w:rPr>
        <w:t>（项）：支出决算为20.4万元，完成预算100%；自然资源规划及管理（项）：支出预算为150.5万元，完成预算100%；自然资源利用与保护（项）77.46万元，完成预算100%；事业运行（项）：支出预算为571.8万元，完成预算100%；其他自然资源事务支出（项）：支出预算为532.21万元，完成预算100%。</w:t>
      </w:r>
    </w:p>
    <w:p w14:paraId="0DBB086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6.住房保障支出（类）住房改革支出（款）住房公积金（项）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77.59</w:t>
      </w:r>
      <w:r>
        <w:rPr>
          <w:rFonts w:hint="eastAsia" w:ascii="Times New Roman" w:hAnsi="Times New Roman" w:eastAsia="仿宋_GB2312" w:cs="仿宋_GB2312"/>
          <w:color w:val="auto"/>
          <w:kern w:val="2"/>
          <w:sz w:val="32"/>
          <w:szCs w:val="32"/>
          <w:highlight w:val="none"/>
          <w:lang w:val="en-US" w:eastAsia="zh-CN" w:bidi="ar-SA"/>
        </w:rPr>
        <w:t>万元，完成预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240104AD">
      <w:pPr>
        <w:spacing w:line="600" w:lineRule="exact"/>
        <w:ind w:firstLine="640"/>
        <w:rPr>
          <w:rFonts w:hint="eastAsia"/>
          <w:lang w:val="en-US" w:eastAsia="zh-CN"/>
        </w:rPr>
      </w:pPr>
      <w:r>
        <w:rPr>
          <w:rFonts w:hint="eastAsia" w:eastAsia="仿宋_GB2312" w:cs="仿宋_GB2312"/>
          <w:color w:val="auto"/>
          <w:kern w:val="2"/>
          <w:sz w:val="32"/>
          <w:szCs w:val="32"/>
          <w:highlight w:val="none"/>
          <w:lang w:val="en-US" w:eastAsia="zh-CN" w:bidi="ar-SA"/>
        </w:rPr>
        <w:t>7.灾害防治及应急管理支出（类）：自然灾害防治（款）：地质灾害防治（项）：支出预算为728.93万元，完成预算82.32%。</w:t>
      </w:r>
    </w:p>
    <w:p w14:paraId="6579FD11">
      <w:pPr>
        <w:tabs>
          <w:tab w:val="right" w:pos="8306"/>
        </w:tabs>
        <w:spacing w:line="600" w:lineRule="exact"/>
        <w:ind w:firstLine="640"/>
        <w:outlineLvl w:val="1"/>
        <w:rPr>
          <w:rStyle w:val="31"/>
          <w:rFonts w:ascii="Times New Roman" w:hAnsi="Times New Roman"/>
          <w:color w:val="auto"/>
          <w:highlight w:val="none"/>
        </w:rPr>
      </w:pPr>
      <w:bookmarkStart w:id="28" w:name="_Toc15377214"/>
      <w:bookmarkStart w:id="29"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28"/>
      <w:bookmarkEnd w:id="29"/>
      <w:r>
        <w:rPr>
          <w:rStyle w:val="31"/>
          <w:rFonts w:ascii="Times New Roman" w:hAnsi="Times New Roman" w:eastAsia="黑体"/>
          <w:b w:val="0"/>
          <w:color w:val="auto"/>
          <w:highlight w:val="none"/>
        </w:rPr>
        <w:tab/>
      </w:r>
    </w:p>
    <w:p w14:paraId="68954A6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1106.66</w:t>
      </w:r>
      <w:r>
        <w:rPr>
          <w:rFonts w:hint="eastAsia" w:ascii="Times New Roman" w:hAnsi="Times New Roman" w:eastAsia="仿宋_GB2312" w:cs="仿宋_GB2312"/>
          <w:color w:val="auto"/>
          <w:kern w:val="2"/>
          <w:sz w:val="32"/>
          <w:szCs w:val="32"/>
          <w:highlight w:val="none"/>
          <w:lang w:val="en-US" w:eastAsia="zh-CN" w:bidi="ar-SA"/>
        </w:rPr>
        <w:t>万元，其中：</w:t>
      </w:r>
    </w:p>
    <w:p w14:paraId="786326F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1018.23</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万元，主要包括：基本工资、津贴补贴、奖金、绩效工资、机关事业单位基本养老保险缴费、职业年金缴费、职工基本医疗保险缴费</w:t>
      </w:r>
      <w:r>
        <w:rPr>
          <w:rFonts w:hint="eastAsia" w:eastAsia="仿宋_GB2312" w:cs="仿宋_GB2312"/>
          <w:color w:val="auto"/>
          <w:kern w:val="2"/>
          <w:sz w:val="32"/>
          <w:szCs w:val="32"/>
          <w:highlight w:val="none"/>
          <w:lang w:val="en-US" w:eastAsia="zh-CN" w:bidi="ar-SA"/>
        </w:rPr>
        <w:t>、公务员医疗补助缴费、</w:t>
      </w:r>
      <w:r>
        <w:rPr>
          <w:rFonts w:hint="eastAsia" w:ascii="Times New Roman" w:hAnsi="Times New Roman" w:eastAsia="仿宋_GB2312" w:cs="仿宋_GB2312"/>
          <w:color w:val="auto"/>
          <w:kern w:val="2"/>
          <w:sz w:val="32"/>
          <w:szCs w:val="32"/>
          <w:highlight w:val="none"/>
          <w:lang w:val="en-US" w:eastAsia="zh-CN" w:bidi="ar-SA"/>
        </w:rPr>
        <w:t>其他社会保障缴费、住房公积金</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其他工资福利支出、抚恤金、生活补助、奖励金、其他对个人和家庭的补助支出等。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88.43</w:t>
      </w:r>
      <w:r>
        <w:rPr>
          <w:rFonts w:hint="eastAsia" w:ascii="Times New Roman" w:hAnsi="Times New Roman" w:eastAsia="仿宋_GB2312" w:cs="仿宋_GB2312"/>
          <w:color w:val="auto"/>
          <w:kern w:val="2"/>
          <w:sz w:val="32"/>
          <w:szCs w:val="32"/>
          <w:highlight w:val="none"/>
          <w:lang w:val="en-US" w:eastAsia="zh-CN" w:bidi="ar-SA"/>
        </w:rPr>
        <w:t>万元，主要包括：办公费、水费、电费、邮电费、差旅费、维修（护）费、租赁费、会议费、培训费、公务接待费、劳务费、工会经费、福利费、公务用车运行维护费、其他交通费</w:t>
      </w:r>
      <w:r>
        <w:rPr>
          <w:rFonts w:hint="eastAsia" w:eastAsia="仿宋_GB2312" w:cs="仿宋_GB2312"/>
          <w:color w:val="auto"/>
          <w:kern w:val="2"/>
          <w:sz w:val="32"/>
          <w:szCs w:val="32"/>
          <w:highlight w:val="none"/>
          <w:lang w:val="en-US" w:eastAsia="zh-CN" w:bidi="ar-SA"/>
        </w:rPr>
        <w:t>。</w:t>
      </w:r>
    </w:p>
    <w:p w14:paraId="09E33D2F">
      <w:pPr>
        <w:spacing w:line="600" w:lineRule="exact"/>
        <w:ind w:firstLine="640"/>
        <w:outlineLvl w:val="1"/>
        <w:rPr>
          <w:rStyle w:val="31"/>
          <w:rFonts w:ascii="Times New Roman" w:hAnsi="Times New Roman" w:eastAsia="黑体"/>
          <w:b w:val="0"/>
          <w:color w:val="auto"/>
          <w:highlight w:val="none"/>
        </w:rPr>
      </w:pPr>
      <w:bookmarkStart w:id="30" w:name="_Toc15377215"/>
      <w:bookmarkStart w:id="31" w:name="_Toc15396609"/>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30"/>
      <w:bookmarkEnd w:id="31"/>
    </w:p>
    <w:p w14:paraId="359DAD4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2"/>
    </w:p>
    <w:p w14:paraId="40CB6FD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1.45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color w:val="auto"/>
          <w:sz w:val="32"/>
          <w:szCs w:val="32"/>
          <w:lang w:val="en-US" w:eastAsia="zh-CN"/>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0.08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5.83</w:t>
      </w:r>
      <w:r>
        <w:rPr>
          <w:rFonts w:hint="eastAsia" w:ascii="Times New Roman" w:hAnsi="Times New Roman" w:eastAsia="仿宋_GB2312" w:cs="仿宋_GB2312"/>
          <w:color w:val="auto"/>
          <w:kern w:val="2"/>
          <w:sz w:val="32"/>
          <w:szCs w:val="32"/>
          <w:highlight w:val="none"/>
          <w:lang w:val="en-US" w:eastAsia="zh-CN" w:bidi="ar-SA"/>
        </w:rPr>
        <w:t>%。</w:t>
      </w:r>
    </w:p>
    <w:p w14:paraId="531B2E2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3"/>
    </w:p>
    <w:p w14:paraId="43D1180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财政拨款“三公”经费支出决算中，因公出国（境）费支出决算0万元，占0%；公务用车购置及运行维护费支出决算</w:t>
      </w:r>
      <w:r>
        <w:rPr>
          <w:rFonts w:hint="eastAsia" w:ascii="仿宋_GB2312" w:hAnsi="仿宋_GB2312" w:eastAsia="仿宋_GB2312" w:cs="仿宋_GB2312"/>
          <w:sz w:val="32"/>
          <w:szCs w:val="32"/>
        </w:rPr>
        <w:t>1.15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79.31</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20.69</w:t>
      </w:r>
      <w:r>
        <w:rPr>
          <w:rFonts w:hint="eastAsia" w:ascii="Times New Roman" w:hAnsi="Times New Roman" w:eastAsia="仿宋_GB2312" w:cs="仿宋_GB2312"/>
          <w:color w:val="auto"/>
          <w:kern w:val="2"/>
          <w:sz w:val="32"/>
          <w:szCs w:val="32"/>
          <w:highlight w:val="none"/>
          <w:lang w:val="en-US" w:eastAsia="zh-CN" w:bidi="ar-SA"/>
        </w:rPr>
        <w:t>%。具体情况如下：</w:t>
      </w:r>
    </w:p>
    <w:p w14:paraId="2BED6A7A">
      <w:pPr>
        <w:ind w:firstLine="630" w:firstLineChars="300"/>
        <w:rPr>
          <w:rFonts w:hint="eastAsia" w:ascii="Times New Roman" w:hAnsi="Times New Roman" w:eastAsia="仿宋_GB2312" w:cs="仿宋_GB2312"/>
          <w:color w:val="auto"/>
          <w:kern w:val="2"/>
          <w:sz w:val="32"/>
          <w:szCs w:val="32"/>
          <w:highlight w:val="none"/>
          <w:lang w:val="en-US" w:eastAsia="zh-CN" w:bidi="ar-SA"/>
        </w:rPr>
      </w:pPr>
      <w:r>
        <w:rPr>
          <w:rFonts w:hint="default"/>
          <w:lang w:val="en-US" w:eastAsia="zh-CN"/>
        </w:rPr>
        <w:object>
          <v:shape id="_x0000_i1031" o:spt="75" type="#_x0000_t75" style="height:222.75pt;width:366.75pt;" o:ole="t" filled="f" o:preferrelative="t" stroked="f" coordsize="21600,21600">
            <v:path/>
            <v:fill on="f" focussize="0,0"/>
            <v:stroke on="f"/>
            <v:imagedata r:id="rId23" o:title=""/>
            <o:lock v:ext="edit" aspectratio="t"/>
            <w10:wrap type="none"/>
            <w10:anchorlock/>
          </v:shape>
          <o:OLEObject Type="Embed" ProgID="Excel.Chart.8" ShapeID="_x0000_i1031" DrawAspect="Content" ObjectID="_1468075731" r:id="rId22">
            <o:LockedField>false</o:LockedField>
          </o:OLEObject>
        </w:object>
      </w:r>
    </w:p>
    <w:p w14:paraId="7C542A9D">
      <w:pPr>
        <w:pStyle w:val="14"/>
        <w:rPr>
          <w:rFonts w:hint="eastAsia"/>
          <w:lang w:val="en-US" w:eastAsia="zh-CN"/>
        </w:rPr>
      </w:pPr>
    </w:p>
    <w:p w14:paraId="17DE5B9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w:t>
      </w:r>
    </w:p>
    <w:p w14:paraId="07BE32A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1.15</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0.16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16.16</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val="en-US" w:eastAsia="zh-CN"/>
        </w:rPr>
        <w:t>2025年公车使用率增加，费用相对有所增加。</w:t>
      </w:r>
    </w:p>
    <w:p w14:paraId="22609A3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w:t>
      </w:r>
      <w:r>
        <w:rPr>
          <w:rFonts w:hint="eastAsia" w:ascii="仿宋_GB2312" w:eastAsia="仿宋_GB2312"/>
          <w:b w:val="0"/>
          <w:bCs w:val="0"/>
          <w:color w:val="auto"/>
          <w:sz w:val="32"/>
          <w:szCs w:val="32"/>
          <w:highlight w:val="none"/>
        </w:rPr>
        <w:t>公务用车购置支出</w:t>
      </w:r>
      <w:r>
        <w:rPr>
          <w:rFonts w:hint="eastAsia" w:ascii="仿宋_GB2312" w:eastAsia="仿宋_GB2312"/>
          <w:b w:val="0"/>
          <w:bCs w:val="0"/>
          <w:color w:val="auto"/>
          <w:sz w:val="32"/>
          <w:szCs w:val="32"/>
          <w:highlight w:val="none"/>
          <w:lang w:val="en-US" w:eastAsia="zh-CN"/>
        </w:rPr>
        <w:t>0</w:t>
      </w:r>
      <w:r>
        <w:rPr>
          <w:rFonts w:hint="eastAsia" w:ascii="仿宋_GB2312" w:eastAsia="仿宋_GB2312"/>
          <w:b w:val="0"/>
          <w:bCs w:val="0"/>
          <w:color w:val="auto"/>
          <w:sz w:val="32"/>
          <w:szCs w:val="32"/>
          <w:highlight w:val="none"/>
        </w:rPr>
        <w:t>万元。全年按规定更新购置公务用车</w:t>
      </w:r>
      <w:r>
        <w:rPr>
          <w:rFonts w:hint="eastAsia" w:ascii="仿宋_GB2312" w:eastAsia="仿宋_GB2312"/>
          <w:b w:val="0"/>
          <w:bCs w:val="0"/>
          <w:color w:val="auto"/>
          <w:sz w:val="32"/>
          <w:szCs w:val="32"/>
          <w:highlight w:val="none"/>
          <w:lang w:val="en-US" w:eastAsia="zh-CN"/>
        </w:rPr>
        <w:t>0</w:t>
      </w:r>
      <w:r>
        <w:rPr>
          <w:rFonts w:hint="eastAsia" w:ascii="仿宋_GB2312" w:eastAsia="仿宋_GB2312"/>
          <w:b w:val="0"/>
          <w:bCs w:val="0"/>
          <w:color w:val="auto"/>
          <w:sz w:val="32"/>
          <w:szCs w:val="32"/>
          <w:highlight w:val="none"/>
        </w:rPr>
        <w:t>辆，截至</w:t>
      </w:r>
      <w:r>
        <w:rPr>
          <w:rFonts w:hint="eastAsia" w:ascii="仿宋_GB2312" w:eastAsia="仿宋_GB2312"/>
          <w:b w:val="0"/>
          <w:bCs w:val="0"/>
          <w:color w:val="auto"/>
          <w:sz w:val="32"/>
          <w:szCs w:val="32"/>
          <w:highlight w:val="none"/>
          <w:lang w:eastAsia="zh-CN"/>
        </w:rPr>
        <w:t>202</w:t>
      </w:r>
      <w:r>
        <w:rPr>
          <w:rFonts w:hint="eastAsia" w:ascii="仿宋_GB2312" w:eastAsia="仿宋_GB2312"/>
          <w:b w:val="0"/>
          <w:bCs w:val="0"/>
          <w:color w:val="auto"/>
          <w:sz w:val="32"/>
          <w:szCs w:val="32"/>
          <w:highlight w:val="none"/>
          <w:lang w:val="en-US" w:eastAsia="zh-CN"/>
        </w:rPr>
        <w:t>5</w:t>
      </w:r>
      <w:r>
        <w:rPr>
          <w:rFonts w:hint="eastAsia" w:ascii="仿宋_GB2312" w:eastAsia="仿宋_GB2312"/>
          <w:b w:val="0"/>
          <w:bCs w:val="0"/>
          <w:color w:val="auto"/>
          <w:sz w:val="32"/>
          <w:szCs w:val="32"/>
          <w:highlight w:val="none"/>
        </w:rPr>
        <w:t>年</w:t>
      </w:r>
      <w:r>
        <w:rPr>
          <w:rFonts w:ascii="仿宋_GB2312" w:eastAsia="仿宋_GB2312"/>
          <w:b w:val="0"/>
          <w:bCs w:val="0"/>
          <w:color w:val="auto"/>
          <w:sz w:val="32"/>
          <w:szCs w:val="32"/>
          <w:highlight w:val="none"/>
        </w:rPr>
        <w:t>12</w:t>
      </w:r>
      <w:r>
        <w:rPr>
          <w:rFonts w:hint="eastAsia" w:ascii="仿宋_GB2312" w:eastAsia="仿宋_GB2312"/>
          <w:b w:val="0"/>
          <w:bCs w:val="0"/>
          <w:color w:val="auto"/>
          <w:sz w:val="32"/>
          <w:szCs w:val="32"/>
          <w:highlight w:val="none"/>
        </w:rPr>
        <w:t>月</w:t>
      </w:r>
      <w:r>
        <w:rPr>
          <w:rFonts w:hint="eastAsia" w:ascii="仿宋_GB2312" w:eastAsia="仿宋_GB2312"/>
          <w:b w:val="0"/>
          <w:bCs w:val="0"/>
          <w:color w:val="auto"/>
          <w:sz w:val="32"/>
          <w:szCs w:val="32"/>
          <w:highlight w:val="none"/>
          <w:lang w:val="en-US" w:eastAsia="zh-CN"/>
        </w:rPr>
        <w:t>31日</w:t>
      </w:r>
      <w:r>
        <w:rPr>
          <w:rFonts w:hint="eastAsia" w:ascii="仿宋_GB2312" w:eastAsia="仿宋_GB2312"/>
          <w:b w:val="0"/>
          <w:bCs w:val="0"/>
          <w:color w:val="auto"/>
          <w:sz w:val="32"/>
          <w:szCs w:val="32"/>
          <w:highlight w:val="none"/>
        </w:rPr>
        <w:t>，单位共有公务用车</w:t>
      </w:r>
      <w:r>
        <w:rPr>
          <w:rFonts w:hint="eastAsia" w:ascii="仿宋_GB2312" w:eastAsia="仿宋_GB2312"/>
          <w:b w:val="0"/>
          <w:bCs w:val="0"/>
          <w:color w:val="auto"/>
          <w:sz w:val="32"/>
          <w:szCs w:val="32"/>
          <w:highlight w:val="none"/>
          <w:lang w:val="en-US" w:eastAsia="zh-CN"/>
        </w:rPr>
        <w:t>1</w:t>
      </w:r>
      <w:r>
        <w:rPr>
          <w:rFonts w:hint="eastAsia" w:ascii="仿宋_GB2312" w:eastAsia="仿宋_GB2312"/>
          <w:b w:val="0"/>
          <w:bCs w:val="0"/>
          <w:color w:val="auto"/>
          <w:sz w:val="32"/>
          <w:szCs w:val="32"/>
          <w:highlight w:val="none"/>
        </w:rPr>
        <w:t>辆，其中：轿车</w:t>
      </w:r>
      <w:r>
        <w:rPr>
          <w:rFonts w:hint="eastAsia" w:ascii="仿宋_GB2312" w:eastAsia="仿宋_GB2312"/>
          <w:b w:val="0"/>
          <w:bCs w:val="0"/>
          <w:color w:val="auto"/>
          <w:sz w:val="32"/>
          <w:szCs w:val="32"/>
          <w:highlight w:val="none"/>
          <w:lang w:val="en-US" w:eastAsia="zh-CN"/>
        </w:rPr>
        <w:t>1</w:t>
      </w:r>
      <w:r>
        <w:rPr>
          <w:rFonts w:hint="eastAsia" w:ascii="仿宋_GB2312" w:eastAsia="仿宋_GB2312"/>
          <w:b w:val="0"/>
          <w:bCs w:val="0"/>
          <w:color w:val="auto"/>
          <w:sz w:val="32"/>
          <w:szCs w:val="32"/>
          <w:highlight w:val="none"/>
        </w:rPr>
        <w:t>辆、越野车</w:t>
      </w:r>
      <w:r>
        <w:rPr>
          <w:rFonts w:hint="eastAsia" w:ascii="仿宋_GB2312" w:eastAsia="仿宋_GB2312"/>
          <w:b w:val="0"/>
          <w:bCs w:val="0"/>
          <w:color w:val="auto"/>
          <w:sz w:val="32"/>
          <w:szCs w:val="32"/>
          <w:highlight w:val="none"/>
          <w:lang w:val="en-US" w:eastAsia="zh-CN"/>
        </w:rPr>
        <w:t>0</w:t>
      </w:r>
      <w:r>
        <w:rPr>
          <w:rFonts w:hint="eastAsia" w:ascii="仿宋_GB2312" w:eastAsia="仿宋_GB2312"/>
          <w:b w:val="0"/>
          <w:bCs w:val="0"/>
          <w:color w:val="auto"/>
          <w:sz w:val="32"/>
          <w:szCs w:val="32"/>
          <w:highlight w:val="none"/>
        </w:rPr>
        <w:t>辆、载客汽车</w:t>
      </w:r>
      <w:r>
        <w:rPr>
          <w:rFonts w:hint="eastAsia" w:ascii="仿宋_GB2312" w:eastAsia="仿宋_GB2312"/>
          <w:b w:val="0"/>
          <w:bCs w:val="0"/>
          <w:color w:val="auto"/>
          <w:sz w:val="32"/>
          <w:szCs w:val="32"/>
          <w:highlight w:val="none"/>
          <w:lang w:val="en-US" w:eastAsia="zh-CN"/>
        </w:rPr>
        <w:t>0</w:t>
      </w:r>
      <w:r>
        <w:rPr>
          <w:rFonts w:hint="eastAsia" w:ascii="仿宋_GB2312" w:eastAsia="仿宋_GB2312"/>
          <w:b w:val="0"/>
          <w:bCs w:val="0"/>
          <w:color w:val="auto"/>
          <w:sz w:val="32"/>
          <w:szCs w:val="32"/>
          <w:highlight w:val="none"/>
        </w:rPr>
        <w:t>辆。</w:t>
      </w:r>
    </w:p>
    <w:p w14:paraId="07EBF11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1.15</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 w:hAnsi="仿宋" w:eastAsia="仿宋"/>
          <w:color w:val="000000"/>
          <w:sz w:val="32"/>
          <w:szCs w:val="32"/>
        </w:rPr>
        <w:t>规划中心日常</w:t>
      </w:r>
      <w:r>
        <w:rPr>
          <w:rFonts w:hint="eastAsia" w:ascii="仿宋" w:hAnsi="仿宋" w:eastAsia="仿宋"/>
          <w:color w:val="000000"/>
          <w:sz w:val="32"/>
          <w:szCs w:val="32"/>
          <w:lang w:eastAsia="zh-CN"/>
        </w:rPr>
        <w:t>办公</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所需的公务用车燃料费、维修费、过路过桥费等支出。</w:t>
      </w:r>
    </w:p>
    <w:p w14:paraId="44F6A39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0.3</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0.08</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21.05</w:t>
      </w:r>
      <w:r>
        <w:rPr>
          <w:rFonts w:hint="eastAsia" w:ascii="Times New Roman" w:hAnsi="Times New Roman" w:eastAsia="仿宋_GB2312" w:cs="仿宋_GB2312"/>
          <w:color w:val="auto"/>
          <w:kern w:val="2"/>
          <w:sz w:val="32"/>
          <w:szCs w:val="32"/>
          <w:highlight w:val="none"/>
          <w:lang w:val="en-US" w:eastAsia="zh-CN" w:bidi="ar-SA"/>
        </w:rPr>
        <w:t>%。主要原因是单位内部管理，坚持“三单”制，厉行节约原则，公务接待规范合理。其中：</w:t>
      </w:r>
    </w:p>
    <w:p w14:paraId="0E59486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0.3</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 w:hAnsi="仿宋" w:eastAsia="仿宋"/>
          <w:color w:val="000000"/>
          <w:sz w:val="32"/>
          <w:szCs w:val="32"/>
        </w:rPr>
        <w:t>省、市对地质灾害，</w:t>
      </w:r>
      <w:r>
        <w:rPr>
          <w:rFonts w:hint="eastAsia" w:ascii="仿宋" w:hAnsi="仿宋" w:eastAsia="仿宋"/>
          <w:color w:val="000000"/>
          <w:sz w:val="32"/>
          <w:szCs w:val="32"/>
          <w:lang w:eastAsia="zh-CN"/>
        </w:rPr>
        <w:t>土地整理</w:t>
      </w:r>
      <w:r>
        <w:rPr>
          <w:rFonts w:hint="eastAsia" w:ascii="仿宋" w:hAnsi="仿宋" w:eastAsia="仿宋"/>
          <w:color w:val="000000"/>
          <w:sz w:val="32"/>
          <w:szCs w:val="32"/>
        </w:rPr>
        <w:t>等项目检查接待费用。</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ascii="仿宋_GB2312" w:hAnsi="仿宋_GB2312" w:eastAsia="仿宋_GB2312" w:cs="仿宋_GB2312"/>
          <w:sz w:val="32"/>
          <w:szCs w:val="32"/>
        </w:rPr>
        <w:t>5</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lang w:val="en-US" w:eastAsia="zh-CN"/>
        </w:rPr>
        <w:t>21</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47D235F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34" w:name="_Toc15396610"/>
      <w:bookmarkStart w:id="35" w:name="_Toc15377218"/>
    </w:p>
    <w:p w14:paraId="06C7CB36">
      <w:pPr>
        <w:spacing w:line="600" w:lineRule="exact"/>
        <w:ind w:firstLine="640"/>
        <w:outlineLvl w:val="1"/>
        <w:rPr>
          <w:rStyle w:val="31"/>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34"/>
      <w:bookmarkEnd w:id="35"/>
    </w:p>
    <w:p w14:paraId="05CBB21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12491.41</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81.46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其中：一般</w:t>
      </w:r>
      <w:r>
        <w:rPr>
          <w:rFonts w:hint="eastAsia" w:ascii="Times New Roman" w:hAnsi="Times New Roman" w:eastAsia="仿宋_GB2312" w:cs="仿宋_GB2312"/>
          <w:color w:val="auto"/>
          <w:kern w:val="2"/>
          <w:sz w:val="32"/>
          <w:szCs w:val="32"/>
          <w:highlight w:val="none"/>
          <w:lang w:val="en-US" w:eastAsia="zh-CN" w:bidi="ar-SA"/>
        </w:rPr>
        <w:t>政府性基金预算</w:t>
      </w:r>
      <w:r>
        <w:rPr>
          <w:rFonts w:hint="eastAsia" w:eastAsia="仿宋_GB2312" w:cs="仿宋_GB2312"/>
          <w:color w:val="auto"/>
          <w:kern w:val="2"/>
          <w:sz w:val="32"/>
          <w:szCs w:val="32"/>
          <w:highlight w:val="none"/>
          <w:lang w:val="en-US" w:eastAsia="zh-CN" w:bidi="ar-SA"/>
        </w:rPr>
        <w:t>支出5941.49万元，专项债券支出6549.92万元。</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8494.97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212.56</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一般政府性基金预算财政拨款支出用于新增耕地和双挂钩项目费用增加；新增专项债券支出，其中：2025年清欠专项债券支出4351.92万元，用于新增耕地和双挂钩项目支出；2023年地方政府专项债券支出2198万元，用于收回收购沐溪镇城北路和交通街路政大队存量闲置土地项目。</w:t>
      </w:r>
    </w:p>
    <w:p w14:paraId="09E62EEC">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36" w:name="_Toc15377219"/>
      <w:bookmarkStart w:id="37" w:name="_Toc15396611"/>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36"/>
      <w:bookmarkEnd w:id="37"/>
    </w:p>
    <w:p w14:paraId="7670C56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olor w:val="auto"/>
          <w:sz w:val="32"/>
          <w:szCs w:val="32"/>
          <w:highlight w:val="none"/>
          <w:lang w:eastAsia="zh-CN"/>
        </w:rPr>
        <w:t>20</w:t>
      </w:r>
      <w:r>
        <w:rPr>
          <w:rFonts w:hint="eastAsia" w:ascii="仿宋_GB2312" w:eastAsia="仿宋_GB2312"/>
          <w:color w:val="auto"/>
          <w:sz w:val="32"/>
          <w:szCs w:val="32"/>
          <w:highlight w:val="none"/>
          <w:lang w:val="en-US" w:eastAsia="zh-CN"/>
        </w:rPr>
        <w:t>25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075F2AFF">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38" w:name="_Toc15377221"/>
      <w:bookmarkStart w:id="39" w:name="_Toc15396612"/>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38"/>
      <w:bookmarkEnd w:id="39"/>
    </w:p>
    <w:p w14:paraId="68963B0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14:paraId="3F55A66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沐川县自然资源局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88.43</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12.61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16.63</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增加了办公费、</w:t>
      </w:r>
      <w:r>
        <w:rPr>
          <w:rFonts w:hint="eastAsia" w:ascii="Times New Roman" w:hAnsi="Times New Roman" w:eastAsia="仿宋_GB2312" w:cs="仿宋_GB2312"/>
          <w:color w:val="auto"/>
          <w:kern w:val="2"/>
          <w:sz w:val="32"/>
          <w:szCs w:val="32"/>
          <w:highlight w:val="none"/>
          <w:lang w:val="en-US" w:eastAsia="zh-CN" w:bidi="ar-SA"/>
        </w:rPr>
        <w:t>残疾人就业保障金</w:t>
      </w:r>
      <w:r>
        <w:rPr>
          <w:rFonts w:hint="eastAsia" w:eastAsia="仿宋_GB2312" w:cs="仿宋_GB2312"/>
          <w:color w:val="auto"/>
          <w:kern w:val="2"/>
          <w:sz w:val="32"/>
          <w:szCs w:val="32"/>
          <w:highlight w:val="none"/>
          <w:lang w:val="en-US" w:eastAsia="zh-CN" w:bidi="ar-SA"/>
        </w:rPr>
        <w:t>及退休人员活动费。</w:t>
      </w:r>
    </w:p>
    <w:p w14:paraId="6EF3950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14:paraId="6633B85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沐川县自然资源局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3F88F23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14:paraId="1D2539C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沐川县自然资源局</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ascii="仿宋_GB2312" w:eastAsia="仿宋_GB2312"/>
          <w:color w:val="auto"/>
          <w:sz w:val="32"/>
          <w:szCs w:val="32"/>
          <w:highlight w:val="none"/>
          <w:lang w:eastAsia="zh-CN"/>
        </w:rPr>
        <w:t>规划服务中心日常公务用车</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3D36768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6A700AE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本部门</w:t>
      </w:r>
      <w:r>
        <w:rPr>
          <w:rFonts w:hint="eastAsia" w:ascii="Times New Roman" w:hAnsi="Times New Roman" w:eastAsia="仿宋_GB2312" w:cs="仿宋_GB2312"/>
          <w:color w:val="auto"/>
          <w:kern w:val="2"/>
          <w:sz w:val="32"/>
          <w:szCs w:val="32"/>
          <w:highlight w:val="none"/>
          <w:lang w:val="en-US" w:eastAsia="zh-CN" w:bidi="ar-SA"/>
        </w:rPr>
        <w:t>在2025年度，组织对规划编制服务费</w:t>
      </w:r>
      <w:r>
        <w:rPr>
          <w:rFonts w:hint="eastAsia" w:eastAsia="仿宋_GB2312" w:cs="仿宋_GB2312"/>
          <w:color w:val="auto"/>
          <w:kern w:val="2"/>
          <w:sz w:val="32"/>
          <w:szCs w:val="32"/>
          <w:highlight w:val="none"/>
          <w:lang w:val="en-US" w:eastAsia="zh-CN" w:bidi="ar-SA"/>
        </w:rPr>
        <w:t>、偿还被征地农民养老保险贷款、新增耕地和双挂钩项目指标款、不动产中心房租费、田长制工作经费、征地拆迁等费用</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8220.03</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58B5D3C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组织对2025年度一般公共预算资金、政府性基金、其他资金开展</w:t>
      </w:r>
      <w:r>
        <w:rPr>
          <w:rFonts w:hint="eastAsia" w:eastAsia="仿宋_GB2312" w:cs="仿宋_GB2312"/>
          <w:color w:val="auto"/>
          <w:kern w:val="2"/>
          <w:sz w:val="32"/>
          <w:szCs w:val="32"/>
          <w:highlight w:val="none"/>
          <w:lang w:val="en-US" w:eastAsia="zh-CN" w:bidi="ar-SA"/>
        </w:rPr>
        <w:t>了</w:t>
      </w:r>
      <w:r>
        <w:rPr>
          <w:rFonts w:hint="eastAsia" w:ascii="Times New Roman" w:hAnsi="Times New Roman" w:eastAsia="仿宋_GB2312" w:cs="仿宋_GB2312"/>
          <w:color w:val="auto"/>
          <w:kern w:val="2"/>
          <w:sz w:val="32"/>
          <w:szCs w:val="32"/>
          <w:highlight w:val="none"/>
          <w:lang w:val="en-US" w:eastAsia="zh-CN" w:bidi="ar-SA"/>
        </w:rPr>
        <w:t>绩效自评，形成</w:t>
      </w:r>
      <w:r>
        <w:rPr>
          <w:rFonts w:hint="eastAsia" w:ascii="仿宋" w:hAnsi="仿宋" w:eastAsia="仿宋" w:cs="FangSong_GB2312"/>
          <w:sz w:val="32"/>
          <w:szCs w:val="32"/>
          <w:lang w:eastAsia="zh-CN"/>
        </w:rPr>
        <w:t>自然资源局</w:t>
      </w:r>
      <w:r>
        <w:rPr>
          <w:rFonts w:hint="eastAsia" w:ascii="仿宋" w:hAnsi="仿宋" w:eastAsia="仿宋" w:cs="FangSong_GB2312"/>
          <w:sz w:val="32"/>
          <w:szCs w:val="32"/>
        </w:rPr>
        <w:t>部门</w:t>
      </w:r>
      <w:r>
        <w:rPr>
          <w:rFonts w:hint="eastAsia" w:ascii="Times New Roman" w:hAnsi="Times New Roman" w:eastAsia="仿宋_GB2312" w:cs="仿宋_GB2312"/>
          <w:color w:val="auto"/>
          <w:kern w:val="2"/>
          <w:sz w:val="32"/>
          <w:szCs w:val="32"/>
          <w:highlight w:val="none"/>
          <w:lang w:val="en-US" w:eastAsia="zh-CN" w:bidi="ar-SA"/>
        </w:rPr>
        <w:t>预算绩效自评报告、沐川县 2025 年地质灾害防治专项预算绩效自评报告，其中，自然资源局部门整体绩效自评得分为</w:t>
      </w:r>
      <w:r>
        <w:rPr>
          <w:rFonts w:hint="eastAsia" w:eastAsia="仿宋_GB2312" w:cs="仿宋_GB2312"/>
          <w:color w:val="auto"/>
          <w:kern w:val="2"/>
          <w:sz w:val="32"/>
          <w:szCs w:val="32"/>
          <w:highlight w:val="none"/>
          <w:lang w:val="en-US" w:eastAsia="zh-CN" w:bidi="ar-SA"/>
        </w:rPr>
        <w:t>92</w:t>
      </w:r>
      <w:r>
        <w:rPr>
          <w:rFonts w:hint="eastAsia" w:ascii="Times New Roman" w:hAnsi="Times New Roman" w:eastAsia="仿宋_GB2312" w:cs="仿宋_GB2312"/>
          <w:color w:val="auto"/>
          <w:kern w:val="2"/>
          <w:sz w:val="32"/>
          <w:szCs w:val="32"/>
          <w:highlight w:val="none"/>
          <w:lang w:val="en-US" w:eastAsia="zh-CN" w:bidi="ar-SA"/>
        </w:rPr>
        <w:t>分，绩效自评综述情况好；专项预算项目绩效自评得分为9</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分，绩效自评综述情况好。绩效自评综述</w:t>
      </w:r>
      <w:r>
        <w:rPr>
          <w:rFonts w:hint="eastAsia" w:eastAsia="仿宋_GB2312" w:cs="仿宋_GB2312"/>
          <w:color w:val="auto"/>
          <w:kern w:val="2"/>
          <w:sz w:val="32"/>
          <w:szCs w:val="32"/>
          <w:highlight w:val="none"/>
          <w:lang w:val="en-US" w:eastAsia="zh-CN" w:bidi="ar-SA"/>
        </w:rPr>
        <w:t>情况好</w:t>
      </w:r>
      <w:r>
        <w:rPr>
          <w:rFonts w:hint="eastAsia" w:ascii="Times New Roman" w:hAnsi="Times New Roman" w:eastAsia="仿宋_GB2312" w:cs="仿宋_GB2312"/>
          <w:color w:val="auto"/>
          <w:kern w:val="2"/>
          <w:sz w:val="32"/>
          <w:szCs w:val="32"/>
          <w:highlight w:val="none"/>
          <w:lang w:val="en-US" w:eastAsia="zh-CN" w:bidi="ar-SA"/>
        </w:rPr>
        <w:t>。绩效自评报告详见附件。</w:t>
      </w:r>
    </w:p>
    <w:p w14:paraId="6A85600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D96106A">
      <w:pPr>
        <w:pStyle w:val="2"/>
        <w:rPr>
          <w:rFonts w:hint="eastAsia" w:ascii="Times New Roman" w:hAnsi="Times New Roman" w:eastAsia="仿宋_GB2312" w:cs="仿宋_GB2312"/>
          <w:color w:val="auto"/>
          <w:kern w:val="2"/>
          <w:sz w:val="32"/>
          <w:szCs w:val="32"/>
          <w:highlight w:val="none"/>
          <w:lang w:val="en-US" w:eastAsia="zh-CN" w:bidi="ar-SA"/>
        </w:rPr>
      </w:pPr>
    </w:p>
    <w:p w14:paraId="15C16151">
      <w:pPr>
        <w:rPr>
          <w:rFonts w:hint="eastAsia" w:ascii="Times New Roman" w:hAnsi="Times New Roman" w:eastAsia="仿宋_GB2312" w:cs="仿宋_GB2312"/>
          <w:color w:val="auto"/>
          <w:kern w:val="2"/>
          <w:sz w:val="32"/>
          <w:szCs w:val="32"/>
          <w:highlight w:val="none"/>
          <w:lang w:val="en-US" w:eastAsia="zh-CN" w:bidi="ar-SA"/>
        </w:rPr>
      </w:pPr>
    </w:p>
    <w:p w14:paraId="0226047D">
      <w:pPr>
        <w:pStyle w:val="2"/>
        <w:rPr>
          <w:rFonts w:hint="eastAsia" w:ascii="Times New Roman" w:hAnsi="Times New Roman" w:eastAsia="仿宋_GB2312" w:cs="仿宋_GB2312"/>
          <w:color w:val="auto"/>
          <w:kern w:val="2"/>
          <w:sz w:val="32"/>
          <w:szCs w:val="32"/>
          <w:highlight w:val="none"/>
          <w:lang w:val="en-US" w:eastAsia="zh-CN" w:bidi="ar-SA"/>
        </w:rPr>
      </w:pPr>
    </w:p>
    <w:p w14:paraId="5EBCDE6B">
      <w:pPr>
        <w:rPr>
          <w:rFonts w:hint="eastAsia" w:ascii="Times New Roman" w:hAnsi="Times New Roman" w:eastAsia="仿宋_GB2312" w:cs="仿宋_GB2312"/>
          <w:color w:val="auto"/>
          <w:kern w:val="2"/>
          <w:sz w:val="32"/>
          <w:szCs w:val="32"/>
          <w:highlight w:val="none"/>
          <w:lang w:val="en-US" w:eastAsia="zh-CN" w:bidi="ar-SA"/>
        </w:rPr>
      </w:pPr>
    </w:p>
    <w:p w14:paraId="1FE529AF">
      <w:pPr>
        <w:pStyle w:val="2"/>
        <w:rPr>
          <w:rFonts w:hint="eastAsia" w:ascii="Times New Roman" w:hAnsi="Times New Roman" w:eastAsia="仿宋_GB2312" w:cs="仿宋_GB2312"/>
          <w:color w:val="auto"/>
          <w:kern w:val="2"/>
          <w:sz w:val="32"/>
          <w:szCs w:val="32"/>
          <w:highlight w:val="none"/>
          <w:lang w:val="en-US" w:eastAsia="zh-CN" w:bidi="ar-SA"/>
        </w:rPr>
      </w:pPr>
    </w:p>
    <w:p w14:paraId="63CB3B61">
      <w:pPr>
        <w:rPr>
          <w:rFonts w:hint="eastAsia" w:ascii="Times New Roman" w:hAnsi="Times New Roman" w:eastAsia="仿宋_GB2312" w:cs="仿宋_GB2312"/>
          <w:color w:val="auto"/>
          <w:kern w:val="2"/>
          <w:sz w:val="32"/>
          <w:szCs w:val="32"/>
          <w:highlight w:val="none"/>
          <w:lang w:val="en-US" w:eastAsia="zh-CN" w:bidi="ar-SA"/>
        </w:rPr>
      </w:pPr>
    </w:p>
    <w:p w14:paraId="08A250E0">
      <w:pPr>
        <w:pStyle w:val="2"/>
        <w:rPr>
          <w:rFonts w:hint="eastAsia" w:ascii="Times New Roman" w:hAnsi="Times New Roman" w:eastAsia="仿宋_GB2312" w:cs="仿宋_GB2312"/>
          <w:color w:val="auto"/>
          <w:kern w:val="2"/>
          <w:sz w:val="32"/>
          <w:szCs w:val="32"/>
          <w:highlight w:val="none"/>
          <w:lang w:val="en-US" w:eastAsia="zh-CN" w:bidi="ar-SA"/>
        </w:rPr>
      </w:pPr>
    </w:p>
    <w:p w14:paraId="733E6B23">
      <w:pPr>
        <w:rPr>
          <w:rFonts w:hint="eastAsia" w:ascii="Times New Roman" w:hAnsi="Times New Roman" w:eastAsia="仿宋_GB2312" w:cs="仿宋_GB2312"/>
          <w:color w:val="auto"/>
          <w:kern w:val="2"/>
          <w:sz w:val="32"/>
          <w:szCs w:val="32"/>
          <w:highlight w:val="none"/>
          <w:lang w:val="en-US" w:eastAsia="zh-CN" w:bidi="ar-SA"/>
        </w:rPr>
      </w:pPr>
    </w:p>
    <w:p w14:paraId="4073B5AE">
      <w:pPr>
        <w:pStyle w:val="2"/>
        <w:rPr>
          <w:rFonts w:hint="eastAsia" w:ascii="Times New Roman" w:hAnsi="Times New Roman" w:eastAsia="仿宋_GB2312" w:cs="仿宋_GB2312"/>
          <w:color w:val="auto"/>
          <w:kern w:val="2"/>
          <w:sz w:val="32"/>
          <w:szCs w:val="32"/>
          <w:highlight w:val="none"/>
          <w:lang w:val="en-US" w:eastAsia="zh-CN" w:bidi="ar-SA"/>
        </w:rPr>
      </w:pPr>
    </w:p>
    <w:p w14:paraId="412754A8">
      <w:pPr>
        <w:rPr>
          <w:rFonts w:hint="eastAsia" w:ascii="Times New Roman" w:hAnsi="Times New Roman" w:eastAsia="仿宋_GB2312" w:cs="仿宋_GB2312"/>
          <w:color w:val="auto"/>
          <w:kern w:val="2"/>
          <w:sz w:val="32"/>
          <w:szCs w:val="32"/>
          <w:highlight w:val="none"/>
          <w:lang w:val="en-US" w:eastAsia="zh-CN" w:bidi="ar-SA"/>
        </w:rPr>
      </w:pPr>
    </w:p>
    <w:p w14:paraId="64049948">
      <w:pPr>
        <w:pStyle w:val="2"/>
        <w:rPr>
          <w:rFonts w:hint="eastAsia" w:ascii="Times New Roman" w:hAnsi="Times New Roman" w:eastAsia="仿宋_GB2312" w:cs="仿宋_GB2312"/>
          <w:color w:val="auto"/>
          <w:kern w:val="2"/>
          <w:sz w:val="32"/>
          <w:szCs w:val="32"/>
          <w:highlight w:val="none"/>
          <w:lang w:val="en-US" w:eastAsia="zh-CN" w:bidi="ar-SA"/>
        </w:rPr>
      </w:pPr>
    </w:p>
    <w:p w14:paraId="39313569">
      <w:pPr>
        <w:rPr>
          <w:rFonts w:hint="eastAsia" w:ascii="Times New Roman" w:hAnsi="Times New Roman" w:eastAsia="仿宋_GB2312" w:cs="仿宋_GB2312"/>
          <w:color w:val="auto"/>
          <w:kern w:val="2"/>
          <w:sz w:val="32"/>
          <w:szCs w:val="32"/>
          <w:highlight w:val="none"/>
          <w:lang w:val="en-US" w:eastAsia="zh-CN" w:bidi="ar-SA"/>
        </w:rPr>
      </w:pPr>
    </w:p>
    <w:p w14:paraId="4D78B9DA">
      <w:pPr>
        <w:pStyle w:val="2"/>
        <w:rPr>
          <w:rFonts w:hint="eastAsia" w:ascii="Times New Roman" w:hAnsi="Times New Roman" w:eastAsia="仿宋_GB2312" w:cs="仿宋_GB2312"/>
          <w:color w:val="auto"/>
          <w:kern w:val="2"/>
          <w:sz w:val="32"/>
          <w:szCs w:val="32"/>
          <w:highlight w:val="none"/>
          <w:lang w:val="en-US" w:eastAsia="zh-CN" w:bidi="ar-SA"/>
        </w:rPr>
      </w:pPr>
    </w:p>
    <w:p w14:paraId="05AEFED4">
      <w:pPr>
        <w:rPr>
          <w:rFonts w:hint="eastAsia" w:ascii="Times New Roman" w:hAnsi="Times New Roman" w:eastAsia="仿宋_GB2312" w:cs="仿宋_GB2312"/>
          <w:color w:val="auto"/>
          <w:kern w:val="2"/>
          <w:sz w:val="32"/>
          <w:szCs w:val="32"/>
          <w:highlight w:val="none"/>
          <w:lang w:val="en-US" w:eastAsia="zh-CN" w:bidi="ar-SA"/>
        </w:rPr>
      </w:pPr>
    </w:p>
    <w:p w14:paraId="71D86410">
      <w:pPr>
        <w:pStyle w:val="2"/>
        <w:rPr>
          <w:rFonts w:hint="eastAsia" w:ascii="Times New Roman" w:hAnsi="Times New Roman" w:eastAsia="仿宋_GB2312" w:cs="仿宋_GB2312"/>
          <w:color w:val="auto"/>
          <w:kern w:val="2"/>
          <w:sz w:val="32"/>
          <w:szCs w:val="32"/>
          <w:highlight w:val="none"/>
          <w:lang w:val="en-US" w:eastAsia="zh-CN" w:bidi="ar-SA"/>
        </w:rPr>
      </w:pPr>
    </w:p>
    <w:p w14:paraId="2AA2E946">
      <w:pPr>
        <w:rPr>
          <w:rFonts w:hint="eastAsia" w:ascii="Times New Roman" w:hAnsi="Times New Roman" w:eastAsia="仿宋_GB2312" w:cs="仿宋_GB2312"/>
          <w:color w:val="auto"/>
          <w:kern w:val="2"/>
          <w:sz w:val="32"/>
          <w:szCs w:val="32"/>
          <w:highlight w:val="none"/>
          <w:lang w:val="en-US" w:eastAsia="zh-CN" w:bidi="ar-SA"/>
        </w:rPr>
      </w:pPr>
    </w:p>
    <w:p w14:paraId="2F0EDB2C">
      <w:pPr>
        <w:pStyle w:val="2"/>
        <w:rPr>
          <w:rFonts w:hint="eastAsia" w:ascii="Times New Roman" w:hAnsi="Times New Roman" w:eastAsia="仿宋_GB2312" w:cs="仿宋_GB2312"/>
          <w:color w:val="auto"/>
          <w:kern w:val="2"/>
          <w:sz w:val="32"/>
          <w:szCs w:val="32"/>
          <w:highlight w:val="none"/>
          <w:lang w:val="en-US" w:eastAsia="zh-CN" w:bidi="ar-SA"/>
        </w:rPr>
      </w:pPr>
    </w:p>
    <w:p w14:paraId="44B2AA90">
      <w:pPr>
        <w:rPr>
          <w:rFonts w:hint="eastAsia" w:ascii="Times New Roman" w:hAnsi="Times New Roman" w:eastAsia="仿宋_GB2312" w:cs="仿宋_GB2312"/>
          <w:color w:val="auto"/>
          <w:kern w:val="2"/>
          <w:sz w:val="32"/>
          <w:szCs w:val="32"/>
          <w:highlight w:val="none"/>
          <w:lang w:val="en-US" w:eastAsia="zh-CN" w:bidi="ar-SA"/>
        </w:rPr>
      </w:pPr>
    </w:p>
    <w:p w14:paraId="54654D5B">
      <w:pPr>
        <w:pStyle w:val="2"/>
        <w:rPr>
          <w:rFonts w:hint="eastAsia" w:ascii="Times New Roman" w:hAnsi="Times New Roman" w:eastAsia="仿宋_GB2312" w:cs="仿宋_GB2312"/>
          <w:color w:val="auto"/>
          <w:kern w:val="2"/>
          <w:sz w:val="32"/>
          <w:szCs w:val="32"/>
          <w:highlight w:val="none"/>
          <w:lang w:val="en-US" w:eastAsia="zh-CN" w:bidi="ar-SA"/>
        </w:rPr>
      </w:pPr>
    </w:p>
    <w:p w14:paraId="69469BEA">
      <w:pPr>
        <w:rPr>
          <w:rFonts w:hint="eastAsia"/>
          <w:lang w:val="en-US" w:eastAsia="zh-CN"/>
        </w:rPr>
      </w:pPr>
    </w:p>
    <w:p w14:paraId="03CCE653">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3" w:name="_Toc15377225"/>
      <w:bookmarkStart w:id="44"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14:paraId="28659CEC">
      <w:pPr>
        <w:spacing w:line="600" w:lineRule="exact"/>
        <w:jc w:val="left"/>
        <w:rPr>
          <w:rFonts w:ascii="Times New Roman" w:hAnsi="Times New Roman"/>
          <w:b/>
          <w:color w:val="auto"/>
          <w:sz w:val="44"/>
          <w:szCs w:val="44"/>
          <w:highlight w:val="none"/>
        </w:rPr>
      </w:pPr>
    </w:p>
    <w:p w14:paraId="0CAFCCE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527D81C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.其他收入：指单位取得的除上述收入以外的各项收入。</w:t>
      </w:r>
    </w:p>
    <w:p w14:paraId="7696D59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 xml:space="preserve">.使用非财政拨款结余（含专用结余）：指事业单位使用以前年度积累的非财政拨款结余弥补当年收支差额的金额。 </w:t>
      </w:r>
    </w:p>
    <w:p w14:paraId="2A12B33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 xml:space="preserve">.年初结转和结余：指以前年度尚未完成、结转到本年按有关规定继续使用的资金。 </w:t>
      </w:r>
    </w:p>
    <w:p w14:paraId="29D83B75">
      <w:pPr>
        <w:spacing w:line="600" w:lineRule="exact"/>
        <w:ind w:firstLine="640"/>
        <w:rPr>
          <w:rFonts w:hint="eastAsia"/>
          <w:lang w:val="en-US" w:eastAsia="zh-CN"/>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.教育</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普通教育</w:t>
      </w:r>
      <w:r>
        <w:rPr>
          <w:rFonts w:hint="eastAsia" w:ascii="Times New Roman" w:hAnsi="Times New Roman" w:eastAsia="仿宋_GB2312" w:cs="仿宋_GB2312"/>
          <w:color w:val="auto"/>
          <w:kern w:val="2"/>
          <w:sz w:val="32"/>
          <w:szCs w:val="32"/>
          <w:highlight w:val="none"/>
          <w:lang w:val="en-US" w:eastAsia="zh-CN" w:bidi="ar-SA"/>
        </w:rPr>
        <w:t>（款）其他普通教育支出（项）：指</w:t>
      </w:r>
      <w:r>
        <w:rPr>
          <w:rFonts w:hint="eastAsia" w:eastAsia="仿宋_GB2312" w:cs="仿宋_GB2312"/>
          <w:color w:val="auto"/>
          <w:kern w:val="2"/>
          <w:sz w:val="32"/>
          <w:szCs w:val="32"/>
          <w:highlight w:val="none"/>
          <w:lang w:val="en-US" w:eastAsia="zh-CN" w:bidi="ar-SA"/>
        </w:rPr>
        <w:t>反映其他用于普通教育方面的支出。</w:t>
      </w:r>
    </w:p>
    <w:p w14:paraId="7A31A21A">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.社会保障和就业（类）行政事业单位养老支出（款</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机关事业单位基本养老保险缴费支出（项）：指</w:t>
      </w:r>
      <w:r>
        <w:rPr>
          <w:rFonts w:hint="eastAsia" w:eastAsia="仿宋_GB2312" w:cs="仿宋_GB2312"/>
          <w:color w:val="auto"/>
          <w:kern w:val="2"/>
          <w:sz w:val="32"/>
          <w:szCs w:val="32"/>
          <w:highlight w:val="none"/>
          <w:lang w:val="en-US" w:eastAsia="zh-CN" w:bidi="ar-SA"/>
        </w:rPr>
        <w:t>反映机关事务单位实施养老保险制度由单位缴纳的基本养老保险费支出。</w:t>
      </w:r>
    </w:p>
    <w:p w14:paraId="3DBD084F">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社会保障和就业（类）行政事业单位养老支出（款</w:t>
      </w:r>
      <w:r>
        <w:rPr>
          <w:rFonts w:hint="eastAsia" w:eastAsia="仿宋_GB2312" w:cs="仿宋_GB2312"/>
          <w:color w:val="auto"/>
          <w:kern w:val="2"/>
          <w:sz w:val="32"/>
          <w:szCs w:val="32"/>
          <w:highlight w:val="none"/>
          <w:lang w:val="en-US" w:eastAsia="zh-CN" w:bidi="ar-SA"/>
        </w:rPr>
        <w:t>）机关事业单位职业年金缴费</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color w:val="auto"/>
          <w:kern w:val="2"/>
          <w:sz w:val="32"/>
          <w:szCs w:val="32"/>
          <w:highlight w:val="none"/>
          <w:lang w:val="en-US" w:eastAsia="zh-CN" w:bidi="ar-SA"/>
        </w:rPr>
        <w:t>（项）：指机关事业单位实施养老保险制度由单位缴纳的养老保险费支出。</w:t>
      </w:r>
    </w:p>
    <w:p w14:paraId="47737C8E">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社会保障和就业（类）行政事业单位养老（款</w:t>
      </w:r>
      <w:r>
        <w:rPr>
          <w:rFonts w:hint="eastAsia" w:eastAsia="仿宋_GB2312" w:cs="仿宋_GB2312"/>
          <w:color w:val="auto"/>
          <w:kern w:val="2"/>
          <w:sz w:val="32"/>
          <w:szCs w:val="32"/>
          <w:highlight w:val="none"/>
          <w:lang w:val="en-US" w:eastAsia="zh-CN" w:bidi="ar-SA"/>
        </w:rPr>
        <w:t>）其他行政事业单位养老支出（项）：指反映其他用于行政事业单位养老方面的支出。</w:t>
      </w:r>
    </w:p>
    <w:p w14:paraId="299EAF1B">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社会保障和就业（类）</w:t>
      </w:r>
      <w:r>
        <w:rPr>
          <w:rFonts w:hint="eastAsia" w:eastAsia="仿宋_GB2312" w:cs="仿宋_GB2312"/>
          <w:color w:val="auto"/>
          <w:kern w:val="2"/>
          <w:sz w:val="32"/>
          <w:szCs w:val="32"/>
          <w:highlight w:val="none"/>
          <w:lang w:val="en-US" w:eastAsia="zh-CN" w:bidi="ar-SA"/>
        </w:rPr>
        <w:t>抚恤（款）死亡抚恤（项）：指用于病故人员家属的一次性和定期抚恤金、丧葬补助费支出。</w:t>
      </w:r>
    </w:p>
    <w:p w14:paraId="73A132D3">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社会保障和就业（类）</w:t>
      </w:r>
      <w:r>
        <w:rPr>
          <w:rFonts w:hint="eastAsia" w:eastAsia="仿宋_GB2312" w:cs="仿宋_GB2312"/>
          <w:color w:val="auto"/>
          <w:kern w:val="2"/>
          <w:sz w:val="32"/>
          <w:szCs w:val="32"/>
          <w:highlight w:val="none"/>
          <w:lang w:val="en-US" w:eastAsia="zh-CN" w:bidi="ar-SA"/>
        </w:rPr>
        <w:t>其他社会保障和就业支出（款）其他社会保障和就业支出（项）：指反映其他用于社会保障和就业方面的支出。</w:t>
      </w:r>
    </w:p>
    <w:p w14:paraId="42BEAECD">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.卫生健康支出（类</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行政事业单位医疗（款</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行政单位医疗（项）：</w:t>
      </w:r>
      <w:r>
        <w:rPr>
          <w:rFonts w:hint="eastAsia" w:ascii="仿宋" w:hAnsi="仿宋" w:eastAsia="仿宋" w:cs="仿宋"/>
          <w:color w:val="000000"/>
          <w:kern w:val="0"/>
          <w:sz w:val="32"/>
          <w:szCs w:val="32"/>
        </w:rPr>
        <w:t>指行政单位基本医疗保险缴纳资金。</w:t>
      </w:r>
    </w:p>
    <w:p w14:paraId="3CF2FC94">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卫生健康</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color w:val="auto"/>
          <w:kern w:val="2"/>
          <w:sz w:val="32"/>
          <w:szCs w:val="32"/>
          <w:highlight w:val="none"/>
          <w:lang w:val="en-US" w:eastAsia="zh-CN" w:bidi="ar-SA"/>
        </w:rPr>
        <w:t>（类）行政事业单位医疗（款）事业单位医疗（项）：指事业</w:t>
      </w:r>
      <w:r>
        <w:rPr>
          <w:rFonts w:hint="eastAsia" w:ascii="Times New Roman" w:hAnsi="Times New Roman" w:eastAsia="仿宋_GB2312" w:cs="仿宋_GB2312"/>
          <w:color w:val="auto"/>
          <w:kern w:val="2"/>
          <w:sz w:val="32"/>
          <w:szCs w:val="32"/>
          <w:highlight w:val="none"/>
          <w:lang w:val="en-US" w:eastAsia="zh-CN" w:bidi="ar-SA"/>
        </w:rPr>
        <w:t>单位</w:t>
      </w:r>
      <w:r>
        <w:rPr>
          <w:rFonts w:hint="eastAsia" w:eastAsia="仿宋_GB2312" w:cs="仿宋_GB2312"/>
          <w:color w:val="auto"/>
          <w:kern w:val="2"/>
          <w:sz w:val="32"/>
          <w:szCs w:val="32"/>
          <w:highlight w:val="none"/>
          <w:lang w:val="en-US" w:eastAsia="zh-CN" w:bidi="ar-SA"/>
        </w:rPr>
        <w:t>基本医疗保险缴纳资金。</w:t>
      </w:r>
    </w:p>
    <w:p w14:paraId="6525E1B3">
      <w:pPr>
        <w:spacing w:line="600" w:lineRule="exact"/>
        <w:ind w:firstLine="640"/>
        <w:rPr>
          <w:rFonts w:hint="eastAsia"/>
          <w:lang w:val="en-US" w:eastAsia="zh-CN"/>
        </w:rPr>
      </w:pPr>
      <w:r>
        <w:rPr>
          <w:rFonts w:hint="eastAsia" w:eastAsia="仿宋_GB2312" w:cs="仿宋_GB2312"/>
          <w:color w:val="auto"/>
          <w:kern w:val="2"/>
          <w:sz w:val="32"/>
          <w:szCs w:val="32"/>
          <w:highlight w:val="none"/>
          <w:lang w:val="en-US" w:eastAsia="zh-CN" w:bidi="ar-SA"/>
        </w:rPr>
        <w:t>卫生健康</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color w:val="auto"/>
          <w:kern w:val="2"/>
          <w:sz w:val="32"/>
          <w:szCs w:val="32"/>
          <w:highlight w:val="none"/>
          <w:lang w:val="en-US" w:eastAsia="zh-CN" w:bidi="ar-SA"/>
        </w:rPr>
        <w:t>（类）行政事业单位医疗（款）公务员医疗补助（项）：指反映财政部门安排的公务员医疗补助经费。</w:t>
      </w:r>
    </w:p>
    <w:p w14:paraId="3563066A">
      <w:pPr>
        <w:spacing w:line="600" w:lineRule="exact"/>
        <w:ind w:firstLine="640"/>
        <w:rPr>
          <w:rFonts w:hint="default"/>
          <w:lang w:val="en-US" w:eastAsia="zh-CN"/>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农林水支出（类</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巩固脱贫攻坚成果衔接乡村振兴（款）农村基础设施建设（项）：</w:t>
      </w:r>
      <w:r>
        <w:rPr>
          <w:rFonts w:hint="eastAsia" w:eastAsia="仿宋_GB2312" w:cs="仿宋_GB2312"/>
          <w:color w:val="auto"/>
          <w:kern w:val="2"/>
          <w:sz w:val="32"/>
          <w:szCs w:val="32"/>
          <w:highlight w:val="none"/>
          <w:lang w:val="en-US" w:eastAsia="zh-CN" w:bidi="ar-SA"/>
        </w:rPr>
        <w:t>指用农村欠发达地区乡村道路、住房、基本农田、水利设施、人畜饮水、生态环境保护等生产生活条件改善方面的支出。</w:t>
      </w:r>
    </w:p>
    <w:p w14:paraId="0EEECCF3">
      <w:pPr>
        <w:numPr>
          <w:ilvl w:val="0"/>
          <w:numId w:val="0"/>
        </w:num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自然资源海洋气象等支出（类）自然资源事务（款</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行政运行（项）：指</w:t>
      </w:r>
      <w:r>
        <w:rPr>
          <w:rFonts w:hint="eastAsia" w:eastAsia="仿宋_GB2312" w:cs="仿宋_GB2312"/>
          <w:color w:val="auto"/>
          <w:kern w:val="2"/>
          <w:sz w:val="32"/>
          <w:szCs w:val="32"/>
          <w:highlight w:val="none"/>
          <w:lang w:val="en-US" w:eastAsia="zh-CN" w:bidi="ar-SA"/>
        </w:rPr>
        <w:t>用于行政单位（包括实行公务员管理的事业单位）的基本支出。</w:t>
      </w:r>
    </w:p>
    <w:p w14:paraId="4E47AD09">
      <w:pPr>
        <w:numPr>
          <w:ilvl w:val="0"/>
          <w:numId w:val="0"/>
        </w:num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自然资源海洋气象</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color w:val="auto"/>
          <w:kern w:val="2"/>
          <w:sz w:val="32"/>
          <w:szCs w:val="32"/>
          <w:highlight w:val="none"/>
          <w:lang w:val="en-US" w:eastAsia="zh-CN" w:bidi="ar-SA"/>
        </w:rPr>
        <w:t>等（类）自然资源事务（款）一般行政管理事务（项）：指反映用于行政单位（包括实行公务员管理的事业单位）未单独设置项级科目的其他项目支出。</w:t>
      </w:r>
    </w:p>
    <w:p w14:paraId="3D2D21D8">
      <w:pPr>
        <w:numPr>
          <w:ilvl w:val="0"/>
          <w:numId w:val="0"/>
        </w:num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自然资源海洋气象支出等（类）自然资源事务（款</w:t>
      </w:r>
      <w:r>
        <w:rPr>
          <w:rFonts w:hint="eastAsia" w:eastAsia="仿宋_GB2312" w:cs="仿宋_GB2312"/>
          <w:color w:val="auto"/>
          <w:kern w:val="2"/>
          <w:sz w:val="32"/>
          <w:szCs w:val="32"/>
          <w:highlight w:val="none"/>
          <w:lang w:val="en-US" w:eastAsia="zh-CN" w:bidi="ar-SA"/>
        </w:rPr>
        <w:t>）自然资源规划及管理（项）：指用于国土空间规划、国土空间开发适宜性评价等方面的支出。</w:t>
      </w:r>
    </w:p>
    <w:p w14:paraId="062A96D0">
      <w:pPr>
        <w:numPr>
          <w:ilvl w:val="0"/>
          <w:numId w:val="0"/>
        </w:num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自然资源海洋气象支出等（类）自然资源事务（款</w:t>
      </w:r>
      <w:r>
        <w:rPr>
          <w:rFonts w:hint="eastAsia" w:eastAsia="仿宋_GB2312" w:cs="仿宋_GB2312"/>
          <w:color w:val="auto"/>
          <w:kern w:val="2"/>
          <w:sz w:val="32"/>
          <w:szCs w:val="32"/>
          <w:highlight w:val="none"/>
          <w:lang w:val="en-US" w:eastAsia="zh-CN" w:bidi="ar-SA"/>
        </w:rPr>
        <w:t>）自然资源利用与保护（项）：指反映用于自然资源有偿使用与合理开发利用，国土空间生态修复，国土整治，耕地保护等方面的支出。</w:t>
      </w:r>
    </w:p>
    <w:p w14:paraId="2E75B8FE">
      <w:pPr>
        <w:numPr>
          <w:ilvl w:val="0"/>
          <w:numId w:val="0"/>
        </w:num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自然资源海洋气象支出等（类）自然资源事务（款</w:t>
      </w:r>
      <w:r>
        <w:rPr>
          <w:rFonts w:hint="eastAsia" w:eastAsia="仿宋_GB2312" w:cs="仿宋_GB2312"/>
          <w:color w:val="auto"/>
          <w:kern w:val="2"/>
          <w:sz w:val="32"/>
          <w:szCs w:val="32"/>
          <w:highlight w:val="none"/>
          <w:lang w:val="en-US" w:eastAsia="zh-CN" w:bidi="ar-SA"/>
        </w:rPr>
        <w:t>）事业运行（项）：</w:t>
      </w:r>
      <w:r>
        <w:rPr>
          <w:rFonts w:hint="eastAsia" w:ascii="仿宋" w:hAnsi="仿宋" w:eastAsia="仿宋"/>
          <w:color w:val="000000"/>
          <w:sz w:val="32"/>
          <w:szCs w:val="32"/>
        </w:rPr>
        <w:t>指用于事业单位基本支出。</w:t>
      </w:r>
    </w:p>
    <w:p w14:paraId="27D654D4">
      <w:pPr>
        <w:numPr>
          <w:ilvl w:val="0"/>
          <w:numId w:val="0"/>
        </w:numPr>
        <w:spacing w:line="600" w:lineRule="exact"/>
        <w:ind w:firstLine="640" w:firstLineChars="200"/>
        <w:rPr>
          <w:rFonts w:hint="default"/>
          <w:lang w:val="en-US" w:eastAsia="zh-CN"/>
        </w:rPr>
      </w:pPr>
      <w:r>
        <w:rPr>
          <w:rFonts w:hint="eastAsia" w:ascii="Times New Roman" w:hAnsi="Times New Roman" w:eastAsia="仿宋_GB2312" w:cs="仿宋_GB2312"/>
          <w:color w:val="auto"/>
          <w:kern w:val="2"/>
          <w:sz w:val="32"/>
          <w:szCs w:val="32"/>
          <w:highlight w:val="none"/>
          <w:lang w:val="en-US" w:eastAsia="zh-CN" w:bidi="ar-SA"/>
        </w:rPr>
        <w:t>自然资源海洋气象等支出（类）自然资源事务（款</w:t>
      </w:r>
      <w:r>
        <w:rPr>
          <w:rFonts w:hint="eastAsia" w:eastAsia="仿宋_GB2312" w:cs="仿宋_GB2312"/>
          <w:color w:val="auto"/>
          <w:kern w:val="2"/>
          <w:sz w:val="32"/>
          <w:szCs w:val="32"/>
          <w:highlight w:val="none"/>
          <w:lang w:val="en-US" w:eastAsia="zh-CN" w:bidi="ar-SA"/>
        </w:rPr>
        <w:t>）其他自然资源事务支出（项）：指反映其他用于自然资源事务方面的支出。</w:t>
      </w:r>
    </w:p>
    <w:p w14:paraId="5C794330">
      <w:pPr>
        <w:numPr>
          <w:ilvl w:val="0"/>
          <w:numId w:val="0"/>
        </w:num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住房保障支出（类</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住房改革支出（款</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住房公积金（项）：指</w:t>
      </w:r>
      <w:r>
        <w:rPr>
          <w:rFonts w:hint="eastAsia" w:eastAsia="仿宋_GB2312" w:cs="仿宋_GB2312"/>
          <w:color w:val="auto"/>
          <w:kern w:val="2"/>
          <w:sz w:val="32"/>
          <w:szCs w:val="32"/>
          <w:highlight w:val="none"/>
          <w:lang w:val="en-US" w:eastAsia="zh-CN" w:bidi="ar-SA"/>
        </w:rPr>
        <w:t>反映行政事业单位按人力资源和社会保障部、财政部规定的基本工资和津贴补贴以及规定比例为职工缴纳的住房公积金。</w:t>
      </w:r>
    </w:p>
    <w:p w14:paraId="4CBE6F14">
      <w:pPr>
        <w:pStyle w:val="2"/>
        <w:numPr>
          <w:ilvl w:val="0"/>
          <w:numId w:val="0"/>
        </w:numPr>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.灾害防治及应急管理</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（类）自然灾害防治（款）地质灾害防治（项）：指用于地质灾害方面支出。</w:t>
      </w:r>
    </w:p>
    <w:p w14:paraId="4C7AFDD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538377C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72C4385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3333DA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机关运行经费：为保障行政单位运行用于购买货物和服务的各项资金，包括办公费及印刷费、邮电费、差旅费、会议费、福利费、日常维修费、一般设备购置费、办公用房水电费、公务用车运行维护费以及其他费用。</w:t>
      </w:r>
    </w:p>
    <w:p w14:paraId="7E856370">
      <w:pPr>
        <w:spacing w:line="600" w:lineRule="exact"/>
        <w:jc w:val="center"/>
        <w:rPr>
          <w:rStyle w:val="30"/>
          <w:rFonts w:hint="eastAsia" w:ascii="Times New Roman" w:hAnsi="Times New Roman" w:eastAsia="黑体"/>
          <w:b w:val="0"/>
          <w:color w:val="auto"/>
          <w:highlight w:val="none"/>
          <w:lang w:eastAsia="zh-CN"/>
        </w:rPr>
      </w:pPr>
      <w:bookmarkStart w:id="45"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6"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6"/>
    </w:p>
    <w:p w14:paraId="670639CB">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4FB1C672">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542DEA9E">
      <w:pPr>
        <w:widowControl/>
        <w:spacing w:line="580" w:lineRule="exact"/>
        <w:contextualSpacing/>
        <w:jc w:val="center"/>
        <w:rPr>
          <w:rFonts w:ascii="黑体" w:hAnsi="黑体" w:eastAsia="黑体"/>
          <w:sz w:val="44"/>
          <w:szCs w:val="44"/>
          <w:shd w:val="clear" w:color="auto" w:fill="FFFFFF"/>
        </w:rPr>
      </w:pPr>
      <w:r>
        <w:rPr>
          <w:rFonts w:hint="eastAsia" w:ascii="黑体" w:hAnsi="黑体" w:eastAsia="黑体"/>
          <w:sz w:val="44"/>
          <w:szCs w:val="44"/>
          <w:shd w:val="clear" w:color="auto" w:fill="FFFFFF"/>
        </w:rPr>
        <w:t>沐川县自然资源局</w:t>
      </w:r>
    </w:p>
    <w:p w14:paraId="415B0D15">
      <w:pPr>
        <w:widowControl/>
        <w:spacing w:line="580" w:lineRule="exact"/>
        <w:contextualSpacing/>
        <w:jc w:val="center"/>
        <w:rPr>
          <w:rFonts w:ascii="黑体" w:hAnsi="黑体" w:eastAsia="黑体"/>
          <w:sz w:val="44"/>
          <w:szCs w:val="44"/>
          <w:shd w:val="clear" w:color="auto" w:fill="FFFFFF"/>
        </w:rPr>
      </w:pPr>
      <w:r>
        <w:rPr>
          <w:rFonts w:hint="eastAsia" w:ascii="黑体" w:hAnsi="黑体" w:eastAsia="黑体"/>
          <w:sz w:val="44"/>
          <w:szCs w:val="44"/>
          <w:shd w:val="clear" w:color="auto" w:fill="FFFFFF"/>
        </w:rPr>
        <w:t>202</w:t>
      </w:r>
      <w:r>
        <w:rPr>
          <w:rFonts w:hint="eastAsia" w:ascii="黑体" w:hAnsi="黑体" w:eastAsia="黑体"/>
          <w:sz w:val="44"/>
          <w:szCs w:val="44"/>
          <w:shd w:val="clear" w:color="auto" w:fill="FFFFFF"/>
          <w:lang w:val="en-US" w:eastAsia="zh-CN"/>
        </w:rPr>
        <w:t>5</w:t>
      </w:r>
      <w:r>
        <w:rPr>
          <w:rFonts w:hint="eastAsia" w:ascii="黑体" w:hAnsi="黑体" w:eastAsia="黑体"/>
          <w:sz w:val="44"/>
          <w:szCs w:val="44"/>
          <w:shd w:val="clear" w:color="auto" w:fill="FFFFFF"/>
        </w:rPr>
        <w:t>年度部门整体支出绩效自评报告</w:t>
      </w:r>
    </w:p>
    <w:p w14:paraId="412F2EC0">
      <w:pPr>
        <w:widowControl/>
        <w:spacing w:line="590" w:lineRule="exact"/>
        <w:ind w:firstLine="660" w:firstLineChars="200"/>
        <w:contextualSpacing/>
        <w:rPr>
          <w:rFonts w:eastAsia="黑体"/>
          <w:color w:val="000000"/>
          <w:kern w:val="0"/>
          <w:sz w:val="33"/>
          <w:szCs w:val="33"/>
          <w:shd w:val="clear" w:color="auto" w:fill="FFFFFF"/>
        </w:rPr>
      </w:pPr>
    </w:p>
    <w:p w14:paraId="6873EC13">
      <w:pPr>
        <w:widowControl/>
        <w:spacing w:line="590" w:lineRule="exact"/>
        <w:ind w:firstLine="660" w:firstLineChars="200"/>
        <w:contextualSpacing/>
        <w:rPr>
          <w:rFonts w:eastAsia="仿宋_GB2312"/>
          <w:sz w:val="33"/>
          <w:szCs w:val="33"/>
        </w:rPr>
      </w:pPr>
      <w:r>
        <w:rPr>
          <w:rFonts w:hint="eastAsia" w:eastAsia="黑体"/>
          <w:color w:val="000000"/>
          <w:kern w:val="0"/>
          <w:sz w:val="33"/>
          <w:szCs w:val="33"/>
          <w:shd w:val="clear" w:color="auto" w:fill="FFFFFF"/>
          <w:lang w:val="zh-CN"/>
        </w:rPr>
        <w:t>一、</w:t>
      </w:r>
      <w:r>
        <w:rPr>
          <w:rFonts w:eastAsia="黑体"/>
          <w:color w:val="000000"/>
          <w:kern w:val="0"/>
          <w:sz w:val="33"/>
          <w:szCs w:val="33"/>
          <w:shd w:val="clear" w:color="auto" w:fill="FFFFFF"/>
          <w:lang w:val="zh-CN"/>
        </w:rPr>
        <w:t>部门（单位）基本情况</w:t>
      </w:r>
    </w:p>
    <w:p w14:paraId="589D6BC6">
      <w:pPr>
        <w:widowControl/>
        <w:spacing w:line="560" w:lineRule="exact"/>
        <w:ind w:firstLine="643" w:firstLineChars="200"/>
        <w:rPr>
          <w:rFonts w:hint="eastAsia" w:ascii="楷体" w:hAnsi="楷体" w:eastAsia="楷体" w:cs="楷体"/>
          <w:b/>
          <w:bCs/>
          <w:sz w:val="32"/>
          <w:szCs w:val="32"/>
        </w:rPr>
      </w:pPr>
      <w:r>
        <w:rPr>
          <w:rFonts w:hint="eastAsia" w:ascii="楷体" w:hAnsi="楷体" w:eastAsia="楷体" w:cs="楷体"/>
          <w:b/>
          <w:bCs/>
          <w:sz w:val="32"/>
          <w:szCs w:val="32"/>
          <w:lang w:eastAsia="zh-CN"/>
        </w:rPr>
        <w:t>（一）</w:t>
      </w:r>
      <w:r>
        <w:rPr>
          <w:rFonts w:hint="eastAsia" w:ascii="楷体" w:hAnsi="楷体" w:eastAsia="楷体" w:cs="楷体"/>
          <w:b/>
          <w:bCs/>
          <w:sz w:val="32"/>
          <w:szCs w:val="32"/>
        </w:rPr>
        <w:t>机构组成</w:t>
      </w:r>
    </w:p>
    <w:p w14:paraId="0B47A294">
      <w:pPr>
        <w:widowControl/>
        <w:spacing w:line="560" w:lineRule="exact"/>
        <w:ind w:firstLine="640" w:firstLineChars="200"/>
        <w:rPr>
          <w:rFonts w:hint="eastAsia" w:ascii="仿宋" w:hAnsi="仿宋" w:eastAsia="仿宋"/>
          <w:kern w:val="0"/>
          <w:sz w:val="32"/>
          <w:szCs w:val="32"/>
          <w:lang w:val="en-US" w:eastAsia="zh-CN"/>
        </w:rPr>
      </w:pPr>
      <w:r>
        <w:rPr>
          <w:rFonts w:hint="eastAsia" w:ascii="仿宋" w:hAnsi="仿宋" w:eastAsia="仿宋" w:cs="仿宋"/>
          <w:bCs/>
          <w:sz w:val="32"/>
          <w:szCs w:val="32"/>
        </w:rPr>
        <w:t>202</w:t>
      </w:r>
      <w:r>
        <w:rPr>
          <w:rFonts w:hint="eastAsia" w:ascii="仿宋" w:hAnsi="仿宋" w:eastAsia="仿宋" w:cs="仿宋"/>
          <w:bCs/>
          <w:sz w:val="32"/>
          <w:szCs w:val="32"/>
          <w:lang w:val="en-US" w:eastAsia="zh-CN"/>
        </w:rPr>
        <w:t>5</w:t>
      </w:r>
      <w:r>
        <w:rPr>
          <w:rFonts w:hint="eastAsia" w:ascii="仿宋" w:hAnsi="仿宋" w:eastAsia="仿宋" w:cs="仿宋"/>
          <w:bCs/>
          <w:sz w:val="32"/>
          <w:szCs w:val="32"/>
        </w:rPr>
        <w:t>年自然资源局决算编制范围的独立核算单位共</w:t>
      </w:r>
      <w:r>
        <w:rPr>
          <w:rFonts w:hint="eastAsia" w:ascii="仿宋" w:hAnsi="仿宋" w:eastAsia="仿宋" w:cs="仿宋"/>
          <w:bCs/>
          <w:sz w:val="32"/>
          <w:szCs w:val="32"/>
          <w:lang w:val="en-US" w:eastAsia="zh-CN"/>
        </w:rPr>
        <w:t>9</w:t>
      </w:r>
      <w:r>
        <w:rPr>
          <w:rFonts w:hint="eastAsia" w:ascii="仿宋" w:hAnsi="仿宋" w:eastAsia="仿宋" w:cs="仿宋"/>
          <w:bCs/>
          <w:sz w:val="32"/>
          <w:szCs w:val="32"/>
        </w:rPr>
        <w:t>个，包括</w:t>
      </w:r>
      <w:r>
        <w:rPr>
          <w:rFonts w:hint="eastAsia" w:ascii="仿宋" w:hAnsi="仿宋" w:eastAsia="仿宋"/>
          <w:kern w:val="0"/>
          <w:sz w:val="32"/>
          <w:szCs w:val="32"/>
        </w:rPr>
        <w:t>自然资源局机关；其他事业单位</w:t>
      </w:r>
      <w:r>
        <w:rPr>
          <w:rFonts w:hint="eastAsia" w:ascii="仿宋" w:hAnsi="仿宋" w:eastAsia="仿宋"/>
          <w:kern w:val="0"/>
          <w:sz w:val="32"/>
          <w:szCs w:val="32"/>
          <w:lang w:eastAsia="zh-CN"/>
        </w:rPr>
        <w:t>8</w:t>
      </w:r>
      <w:r>
        <w:rPr>
          <w:rFonts w:hint="eastAsia" w:ascii="仿宋" w:hAnsi="仿宋" w:eastAsia="仿宋"/>
          <w:kern w:val="0"/>
          <w:sz w:val="32"/>
          <w:szCs w:val="32"/>
        </w:rPr>
        <w:t>个：沐川县土地事务服务中心、沐川县不动产登记中心、沐川县规划设计中心、沐川县地质环境监测站，沐溪片区自然资源所、舟坝片区自然资源所、大楠片区自然资源所、利店片区自然资源所</w:t>
      </w:r>
      <w:r>
        <w:rPr>
          <w:rFonts w:hint="eastAsia" w:ascii="仿宋" w:hAnsi="仿宋" w:eastAsia="仿宋"/>
          <w:kern w:val="0"/>
          <w:sz w:val="32"/>
          <w:szCs w:val="32"/>
          <w:lang w:eastAsia="zh-CN"/>
        </w:rPr>
        <w:t>。</w:t>
      </w:r>
    </w:p>
    <w:p w14:paraId="0E239304">
      <w:pPr>
        <w:widowControl/>
        <w:spacing w:line="600" w:lineRule="exact"/>
        <w:ind w:firstLine="663" w:firstLineChars="200"/>
        <w:jc w:val="left"/>
        <w:rPr>
          <w:rFonts w:eastAsia="楷体_GB2312"/>
          <w:b/>
          <w:bCs/>
          <w:color w:val="000000"/>
          <w:kern w:val="0"/>
          <w:sz w:val="33"/>
          <w:szCs w:val="33"/>
          <w:shd w:val="clear" w:color="auto" w:fill="FFFFFF"/>
          <w:lang w:val="zh-CN"/>
        </w:rPr>
      </w:pPr>
      <w:r>
        <w:rPr>
          <w:rFonts w:eastAsia="楷体_GB2312"/>
          <w:b/>
          <w:bCs/>
          <w:color w:val="000000"/>
          <w:kern w:val="0"/>
          <w:sz w:val="33"/>
          <w:szCs w:val="33"/>
          <w:shd w:val="clear" w:color="auto" w:fill="FFFFFF"/>
          <w:lang w:val="zh-CN"/>
        </w:rPr>
        <w:t>（二）机构职能</w:t>
      </w:r>
      <w:r>
        <w:rPr>
          <w:rFonts w:hint="eastAsia" w:eastAsia="楷体_GB2312"/>
          <w:b/>
          <w:bCs/>
          <w:color w:val="000000"/>
          <w:kern w:val="0"/>
          <w:sz w:val="33"/>
          <w:szCs w:val="33"/>
          <w:shd w:val="clear" w:color="auto" w:fill="FFFFFF"/>
          <w:lang w:val="zh-CN"/>
        </w:rPr>
        <w:t>。</w:t>
      </w:r>
      <w:r>
        <w:rPr>
          <w:rFonts w:hint="eastAsia" w:ascii="仿宋" w:hAnsi="仿宋" w:eastAsia="仿宋" w:cs="FangSong_GB2312"/>
          <w:sz w:val="32"/>
          <w:szCs w:val="32"/>
        </w:rPr>
        <w:t>贯彻落实党中央、省委、市委关于自然资源局工作的方针政策和县委决策部署。</w:t>
      </w:r>
      <w:r>
        <w:rPr>
          <w:rFonts w:ascii="仿宋" w:hAnsi="仿宋" w:eastAsia="仿宋"/>
          <w:bCs/>
          <w:kern w:val="0"/>
          <w:sz w:val="32"/>
          <w:szCs w:val="32"/>
        </w:rPr>
        <w:t>按照规定权限，履行全民所有土地、矿产、森林、湿地、水等自然资源资产所有者职责和所有国土空间用途管制职责。负责全</w:t>
      </w:r>
      <w:r>
        <w:rPr>
          <w:rFonts w:hint="eastAsia" w:ascii="仿宋" w:hAnsi="仿宋" w:eastAsia="仿宋"/>
          <w:bCs/>
          <w:kern w:val="0"/>
          <w:sz w:val="32"/>
          <w:szCs w:val="32"/>
        </w:rPr>
        <w:t>县</w:t>
      </w:r>
      <w:r>
        <w:rPr>
          <w:rFonts w:ascii="仿宋" w:hAnsi="仿宋" w:eastAsia="仿宋"/>
          <w:bCs/>
          <w:kern w:val="0"/>
          <w:sz w:val="32"/>
          <w:szCs w:val="32"/>
        </w:rPr>
        <w:t>自然资源调查监测评价。负责全</w:t>
      </w:r>
      <w:r>
        <w:rPr>
          <w:rFonts w:hint="eastAsia" w:ascii="仿宋" w:hAnsi="仿宋" w:eastAsia="仿宋"/>
          <w:bCs/>
          <w:kern w:val="0"/>
          <w:sz w:val="32"/>
          <w:szCs w:val="32"/>
        </w:rPr>
        <w:t>县</w:t>
      </w:r>
      <w:r>
        <w:rPr>
          <w:rFonts w:ascii="仿宋" w:hAnsi="仿宋" w:eastAsia="仿宋"/>
          <w:bCs/>
          <w:kern w:val="0"/>
          <w:sz w:val="32"/>
          <w:szCs w:val="32"/>
        </w:rPr>
        <w:t>自然资源统一确权登记工作。负责全</w:t>
      </w:r>
      <w:r>
        <w:rPr>
          <w:rFonts w:hint="eastAsia" w:ascii="仿宋" w:hAnsi="仿宋" w:eastAsia="仿宋"/>
          <w:bCs/>
          <w:kern w:val="0"/>
          <w:sz w:val="32"/>
          <w:szCs w:val="32"/>
        </w:rPr>
        <w:t>县</w:t>
      </w:r>
      <w:r>
        <w:rPr>
          <w:rFonts w:ascii="仿宋" w:hAnsi="仿宋" w:eastAsia="仿宋"/>
          <w:bCs/>
          <w:kern w:val="0"/>
          <w:sz w:val="32"/>
          <w:szCs w:val="32"/>
        </w:rPr>
        <w:t>自然资源资产有偿使用工作。负责全</w:t>
      </w:r>
      <w:r>
        <w:rPr>
          <w:rFonts w:hint="eastAsia" w:ascii="仿宋" w:hAnsi="仿宋" w:eastAsia="仿宋"/>
          <w:bCs/>
          <w:kern w:val="0"/>
          <w:sz w:val="32"/>
          <w:szCs w:val="32"/>
        </w:rPr>
        <w:t>县</w:t>
      </w:r>
      <w:r>
        <w:rPr>
          <w:rFonts w:ascii="仿宋" w:hAnsi="仿宋" w:eastAsia="仿宋"/>
          <w:bCs/>
          <w:kern w:val="0"/>
          <w:sz w:val="32"/>
          <w:szCs w:val="32"/>
        </w:rPr>
        <w:t>自然资源的合理开发利用。负责建立全</w:t>
      </w:r>
      <w:r>
        <w:rPr>
          <w:rFonts w:hint="eastAsia" w:ascii="仿宋" w:hAnsi="仿宋" w:eastAsia="仿宋"/>
          <w:bCs/>
          <w:kern w:val="0"/>
          <w:sz w:val="32"/>
          <w:szCs w:val="32"/>
        </w:rPr>
        <w:t>县</w:t>
      </w:r>
      <w:r>
        <w:rPr>
          <w:rFonts w:ascii="仿宋" w:hAnsi="仿宋" w:eastAsia="仿宋"/>
          <w:bCs/>
          <w:kern w:val="0"/>
          <w:sz w:val="32"/>
          <w:szCs w:val="32"/>
        </w:rPr>
        <w:t>空间规划体系并监督实施。推进主体功能区战略和制度，组织编制并监督实施国土空间规划和相关专项规划。负责统筹全</w:t>
      </w:r>
      <w:r>
        <w:rPr>
          <w:rFonts w:hint="eastAsia" w:ascii="仿宋" w:hAnsi="仿宋" w:eastAsia="仿宋"/>
          <w:bCs/>
          <w:kern w:val="0"/>
          <w:sz w:val="32"/>
          <w:szCs w:val="32"/>
        </w:rPr>
        <w:t>县国土</w:t>
      </w:r>
      <w:r>
        <w:rPr>
          <w:rFonts w:ascii="仿宋" w:hAnsi="仿宋" w:eastAsia="仿宋"/>
          <w:bCs/>
          <w:kern w:val="0"/>
          <w:sz w:val="32"/>
          <w:szCs w:val="32"/>
        </w:rPr>
        <w:t>空间生态修复。负责组织实施最严格的耕地保护制度。负责管理全</w:t>
      </w:r>
      <w:r>
        <w:rPr>
          <w:rFonts w:hint="eastAsia" w:ascii="仿宋" w:hAnsi="仿宋" w:eastAsia="仿宋"/>
          <w:bCs/>
          <w:kern w:val="0"/>
          <w:sz w:val="32"/>
          <w:szCs w:val="32"/>
        </w:rPr>
        <w:t>县</w:t>
      </w:r>
      <w:r>
        <w:rPr>
          <w:rFonts w:ascii="仿宋" w:hAnsi="仿宋" w:eastAsia="仿宋"/>
          <w:bCs/>
          <w:kern w:val="0"/>
          <w:sz w:val="32"/>
          <w:szCs w:val="32"/>
        </w:rPr>
        <w:t>地质勘查行业和地质工作。负责落实综合防灾减灾规划相关要求，组织编制全</w:t>
      </w:r>
      <w:r>
        <w:rPr>
          <w:rFonts w:hint="eastAsia" w:ascii="仿宋" w:hAnsi="仿宋" w:eastAsia="仿宋"/>
          <w:bCs/>
          <w:kern w:val="0"/>
          <w:sz w:val="32"/>
          <w:szCs w:val="32"/>
        </w:rPr>
        <w:t>县</w:t>
      </w:r>
      <w:r>
        <w:rPr>
          <w:rFonts w:ascii="仿宋" w:hAnsi="仿宋" w:eastAsia="仿宋"/>
          <w:bCs/>
          <w:kern w:val="0"/>
          <w:sz w:val="32"/>
          <w:szCs w:val="32"/>
        </w:rPr>
        <w:t>地质灾害防治规划和防护标准并指导实施。负责全</w:t>
      </w:r>
      <w:r>
        <w:rPr>
          <w:rFonts w:hint="eastAsia" w:ascii="仿宋" w:hAnsi="仿宋" w:eastAsia="仿宋"/>
          <w:bCs/>
          <w:kern w:val="0"/>
          <w:sz w:val="32"/>
          <w:szCs w:val="32"/>
        </w:rPr>
        <w:t>县</w:t>
      </w:r>
      <w:r>
        <w:rPr>
          <w:rFonts w:ascii="仿宋" w:hAnsi="仿宋" w:eastAsia="仿宋"/>
          <w:bCs/>
          <w:kern w:val="0"/>
          <w:sz w:val="32"/>
          <w:szCs w:val="32"/>
        </w:rPr>
        <w:t>矿产资源管理工作。</w:t>
      </w:r>
      <w:r>
        <w:rPr>
          <w:rFonts w:hint="eastAsia" w:ascii="仿宋" w:hAnsi="仿宋" w:eastAsia="仿宋"/>
          <w:bCs/>
          <w:kern w:val="0"/>
          <w:sz w:val="32"/>
          <w:szCs w:val="32"/>
        </w:rPr>
        <w:t>负责测绘地理信息管理工作，负责基础测绘和测绘行业管理。</w:t>
      </w:r>
      <w:r>
        <w:rPr>
          <w:rFonts w:ascii="仿宋" w:hAnsi="仿宋" w:eastAsia="仿宋"/>
          <w:bCs/>
          <w:kern w:val="0"/>
          <w:sz w:val="32"/>
          <w:szCs w:val="32"/>
        </w:rPr>
        <w:t>推动全</w:t>
      </w:r>
      <w:r>
        <w:rPr>
          <w:rFonts w:hint="eastAsia" w:ascii="仿宋" w:hAnsi="仿宋" w:eastAsia="仿宋"/>
          <w:bCs/>
          <w:kern w:val="0"/>
          <w:sz w:val="32"/>
          <w:szCs w:val="32"/>
        </w:rPr>
        <w:t>县</w:t>
      </w:r>
      <w:r>
        <w:rPr>
          <w:rFonts w:ascii="仿宋" w:hAnsi="仿宋" w:eastAsia="仿宋"/>
          <w:bCs/>
          <w:kern w:val="0"/>
          <w:sz w:val="32"/>
          <w:szCs w:val="32"/>
        </w:rPr>
        <w:t>自然资源领域科技发展和对外合作。组织实施自然资源督察相关工作。负责职责范围内的安全生产和职业健康、生态环境保护</w:t>
      </w:r>
      <w:r>
        <w:rPr>
          <w:rFonts w:hint="eastAsia" w:ascii="仿宋" w:hAnsi="仿宋" w:eastAsia="仿宋"/>
          <w:bCs/>
          <w:kern w:val="0"/>
          <w:sz w:val="32"/>
          <w:szCs w:val="32"/>
        </w:rPr>
        <w:t>和职业健康</w:t>
      </w:r>
      <w:r>
        <w:rPr>
          <w:rFonts w:ascii="仿宋" w:hAnsi="仿宋" w:eastAsia="仿宋"/>
          <w:bCs/>
          <w:kern w:val="0"/>
          <w:sz w:val="32"/>
          <w:szCs w:val="32"/>
        </w:rPr>
        <w:t>等工作。完成</w:t>
      </w:r>
      <w:r>
        <w:rPr>
          <w:rFonts w:hint="eastAsia" w:ascii="仿宋" w:hAnsi="仿宋" w:eastAsia="仿宋"/>
          <w:bCs/>
          <w:kern w:val="0"/>
          <w:sz w:val="32"/>
          <w:szCs w:val="32"/>
        </w:rPr>
        <w:t>县</w:t>
      </w:r>
      <w:r>
        <w:rPr>
          <w:rFonts w:ascii="仿宋" w:hAnsi="仿宋" w:eastAsia="仿宋"/>
          <w:bCs/>
          <w:kern w:val="0"/>
          <w:sz w:val="32"/>
          <w:szCs w:val="32"/>
        </w:rPr>
        <w:t>委、</w:t>
      </w:r>
      <w:r>
        <w:rPr>
          <w:rFonts w:hint="eastAsia" w:ascii="仿宋" w:hAnsi="仿宋" w:eastAsia="仿宋"/>
          <w:bCs/>
          <w:kern w:val="0"/>
          <w:sz w:val="32"/>
          <w:szCs w:val="32"/>
        </w:rPr>
        <w:t>县</w:t>
      </w:r>
      <w:r>
        <w:rPr>
          <w:rFonts w:ascii="仿宋" w:hAnsi="仿宋" w:eastAsia="仿宋"/>
          <w:bCs/>
          <w:kern w:val="0"/>
          <w:sz w:val="32"/>
          <w:szCs w:val="32"/>
        </w:rPr>
        <w:t>政府交办的其他工作。</w:t>
      </w:r>
    </w:p>
    <w:p w14:paraId="13316D7F">
      <w:pPr>
        <w:ind w:firstLine="663" w:firstLineChars="200"/>
        <w:rPr>
          <w:rFonts w:hint="eastAsia" w:eastAsia="楷体_GB2312"/>
          <w:b/>
          <w:bCs/>
          <w:color w:val="000000"/>
          <w:kern w:val="0"/>
          <w:sz w:val="33"/>
          <w:szCs w:val="33"/>
          <w:shd w:val="clear" w:color="auto" w:fill="FFFFFF"/>
          <w:lang w:val="zh-CN"/>
        </w:rPr>
      </w:pPr>
      <w:r>
        <w:rPr>
          <w:rFonts w:eastAsia="楷体_GB2312"/>
          <w:b/>
          <w:bCs/>
          <w:color w:val="000000"/>
          <w:kern w:val="0"/>
          <w:sz w:val="33"/>
          <w:szCs w:val="33"/>
          <w:shd w:val="clear" w:color="auto" w:fill="FFFFFF"/>
          <w:lang w:val="zh-CN"/>
        </w:rPr>
        <w:t>（</w:t>
      </w:r>
      <w:r>
        <w:rPr>
          <w:rFonts w:hint="eastAsia" w:eastAsia="楷体_GB2312"/>
          <w:b/>
          <w:bCs/>
          <w:color w:val="000000"/>
          <w:kern w:val="0"/>
          <w:sz w:val="33"/>
          <w:szCs w:val="33"/>
          <w:shd w:val="clear" w:color="auto" w:fill="FFFFFF"/>
          <w:lang w:val="zh-CN"/>
        </w:rPr>
        <w:t>三</w:t>
      </w:r>
      <w:r>
        <w:rPr>
          <w:rFonts w:eastAsia="楷体_GB2312"/>
          <w:b/>
          <w:bCs/>
          <w:color w:val="000000"/>
          <w:kern w:val="0"/>
          <w:sz w:val="33"/>
          <w:szCs w:val="33"/>
          <w:shd w:val="clear" w:color="auto" w:fill="FFFFFF"/>
          <w:lang w:val="zh-CN"/>
        </w:rPr>
        <w:t>）人员概况</w:t>
      </w:r>
      <w:r>
        <w:rPr>
          <w:rFonts w:hint="eastAsia" w:eastAsia="楷体_GB2312"/>
          <w:b/>
          <w:bCs/>
          <w:color w:val="000000"/>
          <w:kern w:val="0"/>
          <w:sz w:val="33"/>
          <w:szCs w:val="33"/>
          <w:shd w:val="clear" w:color="auto" w:fill="FFFFFF"/>
          <w:lang w:val="zh-CN"/>
        </w:rPr>
        <w:t>。</w:t>
      </w:r>
    </w:p>
    <w:p w14:paraId="5A6A622D">
      <w:pPr>
        <w:ind w:firstLine="640" w:firstLineChars="200"/>
        <w:rPr>
          <w:rFonts w:hint="eastAsia" w:ascii="仿宋" w:hAnsi="仿宋" w:eastAsia="仿宋" w:cs="仿宋"/>
          <w:color w:val="000000"/>
          <w:sz w:val="32"/>
          <w:szCs w:val="32"/>
          <w:lang w:val="en-US" w:eastAsia="zh-CN"/>
        </w:rPr>
      </w:pPr>
      <w:r>
        <w:rPr>
          <w:rFonts w:hint="eastAsia" w:ascii="仿宋" w:hAnsi="仿宋" w:eastAsia="仿宋" w:cs="Times New Roman"/>
          <w:kern w:val="0"/>
          <w:sz w:val="32"/>
          <w:szCs w:val="32"/>
        </w:rPr>
        <w:t>202</w:t>
      </w:r>
      <w:r>
        <w:rPr>
          <w:rFonts w:hint="eastAsia" w:ascii="仿宋" w:hAnsi="仿宋" w:eastAsia="仿宋" w:cs="Times New Roman"/>
          <w:kern w:val="0"/>
          <w:sz w:val="32"/>
          <w:szCs w:val="32"/>
          <w:lang w:val="en-US" w:eastAsia="zh-CN"/>
        </w:rPr>
        <w:t>5</w:t>
      </w:r>
      <w:r>
        <w:rPr>
          <w:rFonts w:hint="eastAsia" w:ascii="仿宋" w:hAnsi="仿宋" w:eastAsia="仿宋" w:cs="Times New Roman"/>
          <w:kern w:val="0"/>
          <w:sz w:val="32"/>
          <w:szCs w:val="32"/>
        </w:rPr>
        <w:t>年自然资源局总编制</w:t>
      </w:r>
      <w:r>
        <w:rPr>
          <w:rFonts w:hint="eastAsia" w:ascii="仿宋" w:hAnsi="仿宋" w:eastAsia="仿宋" w:cs="Times New Roman"/>
          <w:kern w:val="0"/>
          <w:sz w:val="32"/>
          <w:szCs w:val="32"/>
          <w:lang w:val="en-US" w:eastAsia="zh-CN"/>
        </w:rPr>
        <w:t>68</w:t>
      </w:r>
      <w:r>
        <w:rPr>
          <w:rFonts w:hint="eastAsia" w:ascii="仿宋" w:hAnsi="仿宋" w:eastAsia="仿宋" w:cs="Times New Roman"/>
          <w:kern w:val="0"/>
          <w:sz w:val="32"/>
          <w:szCs w:val="32"/>
        </w:rPr>
        <w:t>个，其中：行政编制1</w:t>
      </w:r>
      <w:r>
        <w:rPr>
          <w:rFonts w:hint="eastAsia" w:ascii="仿宋" w:hAnsi="仿宋" w:eastAsia="仿宋" w:cs="Times New Roman"/>
          <w:kern w:val="0"/>
          <w:sz w:val="32"/>
          <w:szCs w:val="32"/>
          <w:lang w:val="en-US" w:eastAsia="zh-CN"/>
        </w:rPr>
        <w:t>1</w:t>
      </w:r>
      <w:r>
        <w:rPr>
          <w:rFonts w:hint="eastAsia" w:ascii="仿宋" w:hAnsi="仿宋" w:eastAsia="仿宋" w:cs="Times New Roman"/>
          <w:kern w:val="0"/>
          <w:sz w:val="32"/>
          <w:szCs w:val="32"/>
        </w:rPr>
        <w:t>个、工勤编制1个、事业编制</w:t>
      </w:r>
      <w:r>
        <w:rPr>
          <w:rFonts w:hint="eastAsia" w:ascii="仿宋" w:hAnsi="仿宋" w:eastAsia="仿宋" w:cs="Times New Roman"/>
          <w:kern w:val="0"/>
          <w:sz w:val="32"/>
          <w:szCs w:val="32"/>
          <w:lang w:val="en-US" w:eastAsia="zh-CN"/>
        </w:rPr>
        <w:t>56</w:t>
      </w:r>
      <w:r>
        <w:rPr>
          <w:rFonts w:hint="eastAsia" w:ascii="仿宋" w:hAnsi="仿宋" w:eastAsia="仿宋" w:cs="Times New Roman"/>
          <w:kern w:val="0"/>
          <w:sz w:val="32"/>
          <w:szCs w:val="32"/>
        </w:rPr>
        <w:t>个。</w:t>
      </w:r>
    </w:p>
    <w:p w14:paraId="5CCF7EB5">
      <w:pPr>
        <w:ind w:firstLine="640" w:firstLineChars="200"/>
        <w:rPr>
          <w:rFonts w:hint="eastAsia" w:ascii="仿宋" w:hAnsi="仿宋" w:eastAsia="仿宋"/>
          <w:kern w:val="0"/>
          <w:sz w:val="32"/>
          <w:szCs w:val="32"/>
          <w:lang w:eastAsia="zh-CN"/>
        </w:rPr>
      </w:pPr>
      <w:r>
        <w:rPr>
          <w:rFonts w:hint="eastAsia" w:ascii="仿宋" w:hAnsi="仿宋" w:eastAsia="仿宋"/>
          <w:kern w:val="0"/>
          <w:sz w:val="32"/>
          <w:szCs w:val="32"/>
        </w:rPr>
        <w:t>202</w:t>
      </w:r>
      <w:r>
        <w:rPr>
          <w:rFonts w:hint="eastAsia" w:ascii="仿宋" w:hAnsi="仿宋" w:eastAsia="仿宋"/>
          <w:kern w:val="0"/>
          <w:sz w:val="32"/>
          <w:szCs w:val="32"/>
          <w:lang w:val="en-US" w:eastAsia="zh-CN"/>
        </w:rPr>
        <w:t>5年</w:t>
      </w:r>
      <w:r>
        <w:rPr>
          <w:rFonts w:hint="eastAsia" w:ascii="仿宋" w:hAnsi="仿宋" w:eastAsia="仿宋"/>
          <w:kern w:val="0"/>
          <w:sz w:val="32"/>
          <w:szCs w:val="32"/>
        </w:rPr>
        <w:t>在职人员总数</w:t>
      </w:r>
      <w:r>
        <w:rPr>
          <w:rFonts w:hint="eastAsia" w:ascii="仿宋" w:hAnsi="仿宋" w:eastAsia="仿宋"/>
          <w:kern w:val="0"/>
          <w:sz w:val="32"/>
          <w:szCs w:val="32"/>
          <w:lang w:val="en-US" w:eastAsia="zh-CN"/>
        </w:rPr>
        <w:t>74</w:t>
      </w:r>
      <w:r>
        <w:rPr>
          <w:rFonts w:hint="eastAsia" w:ascii="仿宋" w:hAnsi="仿宋" w:eastAsia="仿宋"/>
          <w:kern w:val="0"/>
          <w:sz w:val="32"/>
          <w:szCs w:val="32"/>
        </w:rPr>
        <w:t>人</w:t>
      </w:r>
      <w:r>
        <w:rPr>
          <w:rFonts w:hint="eastAsia" w:ascii="仿宋" w:hAnsi="仿宋" w:eastAsia="仿宋"/>
          <w:kern w:val="0"/>
          <w:sz w:val="32"/>
          <w:szCs w:val="32"/>
          <w:lang w:val="en-US" w:eastAsia="zh-CN"/>
        </w:rPr>
        <w:t>。</w:t>
      </w:r>
      <w:r>
        <w:rPr>
          <w:rFonts w:hint="eastAsia" w:ascii="仿宋" w:hAnsi="仿宋" w:eastAsia="仿宋"/>
          <w:kern w:val="0"/>
          <w:sz w:val="32"/>
          <w:szCs w:val="32"/>
        </w:rPr>
        <w:t>其中：行政</w:t>
      </w:r>
      <w:r>
        <w:rPr>
          <w:rFonts w:hint="eastAsia" w:ascii="仿宋" w:hAnsi="仿宋" w:eastAsia="仿宋"/>
          <w:kern w:val="0"/>
          <w:sz w:val="32"/>
          <w:szCs w:val="32"/>
          <w:lang w:val="en-US" w:eastAsia="zh-CN"/>
        </w:rPr>
        <w:t>11</w:t>
      </w:r>
      <w:r>
        <w:rPr>
          <w:rFonts w:hint="eastAsia" w:ascii="仿宋" w:hAnsi="仿宋" w:eastAsia="仿宋"/>
          <w:kern w:val="0"/>
          <w:sz w:val="32"/>
          <w:szCs w:val="32"/>
        </w:rPr>
        <w:t>人、工勤1人、事业</w:t>
      </w:r>
      <w:r>
        <w:rPr>
          <w:rFonts w:hint="eastAsia" w:ascii="仿宋" w:hAnsi="仿宋" w:eastAsia="仿宋"/>
          <w:kern w:val="0"/>
          <w:sz w:val="32"/>
          <w:szCs w:val="32"/>
          <w:lang w:val="en-US" w:eastAsia="zh-CN"/>
        </w:rPr>
        <w:t>49</w:t>
      </w:r>
      <w:r>
        <w:rPr>
          <w:rFonts w:hint="eastAsia" w:ascii="仿宋" w:hAnsi="仿宋" w:eastAsia="仿宋"/>
          <w:kern w:val="0"/>
          <w:sz w:val="32"/>
          <w:szCs w:val="32"/>
        </w:rPr>
        <w:t>人</w:t>
      </w:r>
      <w:r>
        <w:rPr>
          <w:rFonts w:hint="eastAsia" w:ascii="仿宋" w:hAnsi="仿宋" w:eastAsia="仿宋"/>
          <w:kern w:val="0"/>
          <w:sz w:val="32"/>
          <w:szCs w:val="32"/>
          <w:lang w:eastAsia="zh-CN"/>
        </w:rPr>
        <w:t>，其他人员</w:t>
      </w:r>
      <w:r>
        <w:rPr>
          <w:rFonts w:hint="eastAsia" w:ascii="仿宋" w:hAnsi="仿宋" w:eastAsia="仿宋"/>
          <w:kern w:val="0"/>
          <w:sz w:val="32"/>
          <w:szCs w:val="32"/>
          <w:lang w:val="en-US" w:eastAsia="zh-CN"/>
        </w:rPr>
        <w:t>13人。</w:t>
      </w:r>
    </w:p>
    <w:p w14:paraId="74FECCE0">
      <w:pPr>
        <w:widowControl/>
        <w:spacing w:line="590" w:lineRule="exact"/>
        <w:ind w:firstLine="660" w:firstLineChars="200"/>
        <w:contextualSpacing/>
        <w:rPr>
          <w:rFonts w:eastAsia="黑体"/>
          <w:color w:val="000000"/>
          <w:kern w:val="0"/>
          <w:sz w:val="33"/>
          <w:szCs w:val="33"/>
          <w:shd w:val="clear" w:color="auto" w:fill="FFFFFF"/>
        </w:rPr>
      </w:pPr>
      <w:r>
        <w:rPr>
          <w:rFonts w:eastAsia="黑体"/>
          <w:color w:val="000000"/>
          <w:kern w:val="0"/>
          <w:sz w:val="33"/>
          <w:szCs w:val="33"/>
          <w:shd w:val="clear" w:color="auto" w:fill="FFFFFF"/>
        </w:rPr>
        <w:t>二、部门资金收支情况</w:t>
      </w:r>
    </w:p>
    <w:p w14:paraId="4A7D3948">
      <w:pPr>
        <w:widowControl/>
        <w:adjustRightInd w:val="0"/>
        <w:snapToGrid w:val="0"/>
        <w:spacing w:line="540" w:lineRule="exact"/>
        <w:ind w:firstLine="720"/>
        <w:jc w:val="left"/>
        <w:rPr>
          <w:rFonts w:eastAsia="楷体_GB2312"/>
          <w:b/>
          <w:bCs/>
          <w:color w:val="000000"/>
          <w:kern w:val="0"/>
          <w:sz w:val="33"/>
          <w:szCs w:val="33"/>
          <w:shd w:val="clear" w:color="auto" w:fill="FFFFFF"/>
          <w:lang w:val="zh-CN"/>
        </w:rPr>
      </w:pPr>
      <w:r>
        <w:rPr>
          <w:rFonts w:eastAsia="楷体_GB2312"/>
          <w:b/>
          <w:bCs/>
          <w:color w:val="000000"/>
          <w:kern w:val="0"/>
          <w:sz w:val="33"/>
          <w:szCs w:val="33"/>
          <w:shd w:val="clear" w:color="auto" w:fill="FFFFFF"/>
          <w:lang w:val="zh-CN"/>
        </w:rPr>
        <w:t>（一）</w:t>
      </w:r>
      <w:r>
        <w:rPr>
          <w:rFonts w:hint="eastAsia" w:eastAsia="楷体_GB2312"/>
          <w:b/>
          <w:bCs/>
          <w:color w:val="000000"/>
          <w:kern w:val="0"/>
          <w:sz w:val="33"/>
          <w:szCs w:val="33"/>
          <w:shd w:val="clear" w:color="auto" w:fill="FFFFFF"/>
          <w:lang w:val="zh-CN"/>
        </w:rPr>
        <w:t>收入情况</w:t>
      </w:r>
      <w:r>
        <w:rPr>
          <w:rFonts w:eastAsia="楷体_GB2312"/>
          <w:b/>
          <w:bCs/>
          <w:color w:val="000000"/>
          <w:kern w:val="0"/>
          <w:sz w:val="33"/>
          <w:szCs w:val="33"/>
          <w:shd w:val="clear" w:color="auto" w:fill="FFFFFF"/>
          <w:lang w:val="zh-CN"/>
        </w:rPr>
        <w:t>。</w:t>
      </w:r>
    </w:p>
    <w:p w14:paraId="4EEFDA43">
      <w:pPr>
        <w:widowControl/>
        <w:adjustRightInd w:val="0"/>
        <w:snapToGrid w:val="0"/>
        <w:spacing w:line="540" w:lineRule="exact"/>
        <w:ind w:firstLine="720"/>
        <w:jc w:val="left"/>
        <w:rPr>
          <w:rFonts w:hint="eastAsia" w:ascii="仿宋" w:hAnsi="仿宋" w:eastAsia="仿宋" w:cs="仿宋"/>
          <w:color w:val="auto"/>
          <w:kern w:val="0"/>
          <w:sz w:val="32"/>
          <w:szCs w:val="32"/>
          <w:lang w:val="en-US"/>
        </w:rPr>
      </w:pPr>
      <w:r>
        <w:rPr>
          <w:rFonts w:hint="eastAsia" w:eastAsia="仿宋_GB2312"/>
          <w:sz w:val="33"/>
          <w:szCs w:val="33"/>
        </w:rPr>
        <w:t>202</w:t>
      </w:r>
      <w:r>
        <w:rPr>
          <w:rFonts w:hint="eastAsia" w:eastAsia="仿宋_GB2312"/>
          <w:sz w:val="33"/>
          <w:szCs w:val="33"/>
          <w:lang w:val="en-US" w:eastAsia="zh-CN"/>
        </w:rPr>
        <w:t>5</w:t>
      </w:r>
      <w:r>
        <w:rPr>
          <w:rFonts w:hint="eastAsia" w:eastAsia="仿宋_GB2312"/>
          <w:sz w:val="33"/>
          <w:szCs w:val="33"/>
        </w:rPr>
        <w:t>年年初预算收入</w:t>
      </w:r>
      <w:r>
        <w:rPr>
          <w:rFonts w:hint="eastAsia" w:eastAsia="仿宋_GB2312"/>
          <w:sz w:val="33"/>
          <w:szCs w:val="33"/>
          <w:lang w:eastAsia="zh-CN"/>
        </w:rPr>
        <w:t>合计</w:t>
      </w:r>
      <w:r>
        <w:rPr>
          <w:rFonts w:hint="eastAsia" w:ascii="仿宋" w:hAnsi="仿宋" w:eastAsia="仿宋" w:cs="Times New Roman"/>
          <w:kern w:val="0"/>
          <w:sz w:val="32"/>
          <w:szCs w:val="32"/>
          <w:lang w:val="en-US" w:eastAsia="zh-CN"/>
        </w:rPr>
        <w:t>10258.71</w:t>
      </w:r>
      <w:r>
        <w:rPr>
          <w:rFonts w:hint="eastAsia" w:eastAsia="仿宋_GB2312"/>
          <w:sz w:val="33"/>
          <w:szCs w:val="33"/>
          <w:lang w:eastAsia="zh-CN"/>
        </w:rPr>
        <w:t>万元，</w:t>
      </w:r>
      <w:r>
        <w:rPr>
          <w:rFonts w:hint="eastAsia" w:ascii="仿宋" w:hAnsi="仿宋" w:eastAsia="仿宋" w:cs="仿宋"/>
          <w:color w:val="auto"/>
          <w:sz w:val="32"/>
          <w:szCs w:val="32"/>
        </w:rPr>
        <w:t>其中：一般公共预算财政拨款收入</w:t>
      </w:r>
      <w:r>
        <w:rPr>
          <w:rFonts w:hint="eastAsia" w:ascii="仿宋" w:hAnsi="仿宋" w:eastAsia="仿宋" w:cs="仿宋"/>
          <w:color w:val="auto"/>
          <w:sz w:val="32"/>
          <w:szCs w:val="32"/>
          <w:lang w:val="en-US" w:eastAsia="zh-CN"/>
        </w:rPr>
        <w:t>1652.</w:t>
      </w:r>
      <w:r>
        <w:rPr>
          <w:rFonts w:hint="eastAsia" w:ascii="仿宋" w:hAnsi="仿宋" w:eastAsia="仿宋" w:cs="仿宋"/>
          <w:color w:val="auto"/>
          <w:sz w:val="32"/>
          <w:szCs w:val="32"/>
        </w:rPr>
        <w:t>1</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16.11</w:t>
      </w:r>
      <w:r>
        <w:rPr>
          <w:rFonts w:hint="eastAsia" w:ascii="仿宋" w:hAnsi="仿宋" w:eastAsia="仿宋" w:cs="仿宋"/>
          <w:color w:val="auto"/>
          <w:sz w:val="32"/>
          <w:szCs w:val="32"/>
        </w:rPr>
        <w:t>%；政府性基金预算财政拨款收入</w:t>
      </w:r>
      <w:r>
        <w:rPr>
          <w:rFonts w:hint="eastAsia" w:ascii="仿宋" w:hAnsi="仿宋" w:eastAsia="仿宋" w:cs="仿宋"/>
          <w:color w:val="auto"/>
          <w:sz w:val="32"/>
          <w:szCs w:val="32"/>
          <w:lang w:val="en-US" w:eastAsia="zh-CN"/>
        </w:rPr>
        <w:t>8199</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79.92</w:t>
      </w:r>
      <w:r>
        <w:rPr>
          <w:rFonts w:hint="eastAsia" w:ascii="仿宋" w:hAnsi="仿宋" w:eastAsia="仿宋" w:cs="仿宋"/>
          <w:color w:val="auto"/>
          <w:sz w:val="32"/>
          <w:szCs w:val="32"/>
        </w:rPr>
        <w:t>%；国有资本经营预算财政拨款收入0万元，占0%；事业收入0万元，占0%；经营收入0万元，占0%；附属单位上缴收入0万元，占0%；其他收入</w:t>
      </w:r>
      <w:r>
        <w:rPr>
          <w:rFonts w:hint="eastAsia" w:ascii="仿宋" w:hAnsi="仿宋" w:eastAsia="仿宋" w:cs="仿宋"/>
          <w:color w:val="auto"/>
          <w:sz w:val="32"/>
          <w:szCs w:val="32"/>
          <w:lang w:val="en-US" w:eastAsia="zh-CN"/>
        </w:rPr>
        <w:t>407.56</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3.97</w:t>
      </w:r>
      <w:r>
        <w:rPr>
          <w:rFonts w:hint="eastAsia" w:ascii="仿宋" w:hAnsi="仿宋" w:eastAsia="仿宋" w:cs="仿宋"/>
          <w:color w:val="auto"/>
          <w:sz w:val="32"/>
          <w:szCs w:val="32"/>
        </w:rPr>
        <w:t>%。</w:t>
      </w:r>
    </w:p>
    <w:p w14:paraId="1408F1D3">
      <w:pPr>
        <w:widowControl/>
        <w:adjustRightInd w:val="0"/>
        <w:snapToGrid w:val="0"/>
        <w:spacing w:line="540" w:lineRule="exact"/>
        <w:ind w:firstLine="720"/>
        <w:jc w:val="left"/>
        <w:rPr>
          <w:rFonts w:hint="default" w:ascii="仿宋" w:hAnsi="仿宋" w:eastAsia="仿宋" w:cs="仿宋"/>
          <w:color w:val="auto"/>
          <w:kern w:val="0"/>
          <w:sz w:val="32"/>
          <w:szCs w:val="32"/>
          <w:lang w:val="en-US" w:eastAsia="zh-CN"/>
        </w:rPr>
      </w:pPr>
      <w:r>
        <w:rPr>
          <w:rFonts w:hint="eastAsia" w:ascii="Times New Roman" w:hAnsi="Times New Roman" w:eastAsia="仿宋_GB2312" w:cs="Times New Roman"/>
          <w:sz w:val="33"/>
          <w:szCs w:val="33"/>
        </w:rPr>
        <w:t>202</w:t>
      </w:r>
      <w:r>
        <w:rPr>
          <w:rFonts w:hint="eastAsia" w:eastAsia="仿宋_GB2312" w:cs="Times New Roman"/>
          <w:sz w:val="33"/>
          <w:szCs w:val="33"/>
          <w:lang w:val="en-US" w:eastAsia="zh-CN"/>
        </w:rPr>
        <w:t>5</w:t>
      </w:r>
      <w:r>
        <w:rPr>
          <w:rFonts w:hint="eastAsia" w:ascii="Times New Roman" w:hAnsi="Times New Roman" w:eastAsia="仿宋_GB2312" w:cs="Times New Roman"/>
          <w:sz w:val="33"/>
          <w:szCs w:val="33"/>
        </w:rPr>
        <w:t>年</w:t>
      </w:r>
      <w:r>
        <w:rPr>
          <w:rFonts w:hint="eastAsia" w:ascii="Times New Roman" w:hAnsi="Times New Roman" w:eastAsia="仿宋_GB2312" w:cs="Times New Roman"/>
          <w:sz w:val="33"/>
          <w:szCs w:val="33"/>
          <w:lang w:eastAsia="zh-CN"/>
        </w:rPr>
        <w:t>决算报表</w:t>
      </w:r>
      <w:r>
        <w:rPr>
          <w:rFonts w:hint="eastAsia" w:ascii="Times New Roman" w:hAnsi="Times New Roman" w:eastAsia="仿宋_GB2312" w:cs="Times New Roman"/>
          <w:sz w:val="33"/>
          <w:szCs w:val="33"/>
        </w:rPr>
        <w:t>收入</w:t>
      </w:r>
      <w:r>
        <w:rPr>
          <w:rFonts w:hint="eastAsia" w:ascii="Times New Roman" w:hAnsi="Times New Roman" w:eastAsia="仿宋_GB2312" w:cs="Times New Roman"/>
          <w:sz w:val="33"/>
          <w:szCs w:val="33"/>
          <w:lang w:eastAsia="zh-CN"/>
        </w:rPr>
        <w:t>合计</w:t>
      </w:r>
      <w:r>
        <w:rPr>
          <w:rFonts w:hint="eastAsia" w:eastAsia="仿宋_GB2312" w:cs="Times New Roman"/>
          <w:sz w:val="33"/>
          <w:szCs w:val="33"/>
          <w:lang w:val="en-US" w:eastAsia="zh-CN"/>
        </w:rPr>
        <w:t>15333.54</w:t>
      </w:r>
      <w:r>
        <w:rPr>
          <w:rFonts w:hint="eastAsia" w:ascii="Times New Roman" w:hAnsi="Times New Roman" w:eastAsia="仿宋_GB2312" w:cs="Times New Roman"/>
          <w:sz w:val="33"/>
          <w:szCs w:val="33"/>
          <w:lang w:eastAsia="zh-CN"/>
        </w:rPr>
        <w:t>万元，</w:t>
      </w:r>
      <w:r>
        <w:rPr>
          <w:rFonts w:hint="eastAsia" w:ascii="仿宋" w:hAnsi="仿宋" w:eastAsia="仿宋" w:cs="仿宋"/>
          <w:color w:val="auto"/>
          <w:sz w:val="32"/>
          <w:szCs w:val="32"/>
        </w:rPr>
        <w:t>其中：一般公共预算财政拨款收入</w:t>
      </w:r>
      <w:r>
        <w:rPr>
          <w:rFonts w:hint="eastAsia" w:ascii="仿宋" w:hAnsi="仿宋" w:eastAsia="仿宋" w:cs="仿宋"/>
          <w:color w:val="auto"/>
          <w:sz w:val="32"/>
          <w:szCs w:val="32"/>
          <w:lang w:val="en-US" w:eastAsia="zh-CN"/>
        </w:rPr>
        <w:t>2351.36</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15.72</w:t>
      </w:r>
      <w:r>
        <w:rPr>
          <w:rFonts w:hint="eastAsia" w:ascii="仿宋" w:hAnsi="仿宋" w:eastAsia="仿宋" w:cs="仿宋"/>
          <w:color w:val="auto"/>
          <w:sz w:val="32"/>
          <w:szCs w:val="32"/>
        </w:rPr>
        <w:t>%；政府性基金预算财政拨款收入</w:t>
      </w:r>
      <w:r>
        <w:rPr>
          <w:rFonts w:hint="eastAsia" w:ascii="仿宋" w:hAnsi="仿宋" w:eastAsia="仿宋" w:cs="仿宋"/>
          <w:color w:val="auto"/>
          <w:sz w:val="32"/>
          <w:szCs w:val="32"/>
          <w:lang w:val="en-US" w:eastAsia="zh-CN"/>
        </w:rPr>
        <w:t>12491.41万</w:t>
      </w:r>
      <w:r>
        <w:rPr>
          <w:rFonts w:hint="eastAsia" w:ascii="仿宋" w:hAnsi="仿宋" w:eastAsia="仿宋" w:cs="仿宋"/>
          <w:color w:val="auto"/>
          <w:sz w:val="32"/>
          <w:szCs w:val="32"/>
        </w:rPr>
        <w:t>元，占</w:t>
      </w:r>
      <w:r>
        <w:rPr>
          <w:rFonts w:hint="eastAsia" w:ascii="仿宋" w:hAnsi="仿宋" w:eastAsia="仿宋" w:cs="仿宋"/>
          <w:color w:val="auto"/>
          <w:sz w:val="32"/>
          <w:szCs w:val="32"/>
          <w:lang w:val="en-US" w:eastAsia="zh-CN"/>
        </w:rPr>
        <w:t>83.52</w:t>
      </w:r>
      <w:r>
        <w:rPr>
          <w:rFonts w:hint="eastAsia" w:ascii="仿宋" w:hAnsi="仿宋" w:eastAsia="仿宋" w:cs="仿宋"/>
          <w:color w:val="auto"/>
          <w:sz w:val="32"/>
          <w:szCs w:val="32"/>
        </w:rPr>
        <w:t>%；国有资本经营预算财政拨款收入0万元，占0%；事业收入0万元，占0%；经营收入0万元，占0%；附属单位上缴收入0万元，占0%；其他收入</w:t>
      </w:r>
      <w:r>
        <w:rPr>
          <w:rFonts w:hint="eastAsia" w:ascii="仿宋" w:hAnsi="仿宋" w:eastAsia="仿宋" w:cs="仿宋"/>
          <w:color w:val="auto"/>
          <w:sz w:val="32"/>
          <w:szCs w:val="32"/>
          <w:lang w:val="en-US" w:eastAsia="zh-CN"/>
        </w:rPr>
        <w:t>112.98</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0.76</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年初结转结余377.79万元。</w:t>
      </w:r>
    </w:p>
    <w:p w14:paraId="4A806870">
      <w:pPr>
        <w:widowControl/>
        <w:numPr>
          <w:ilvl w:val="0"/>
          <w:numId w:val="2"/>
        </w:numPr>
        <w:spacing w:line="590" w:lineRule="exact"/>
        <w:ind w:firstLine="663" w:firstLineChars="200"/>
        <w:contextualSpacing/>
        <w:rPr>
          <w:rFonts w:eastAsia="楷体_GB2312"/>
          <w:b/>
          <w:bCs/>
          <w:color w:val="000000"/>
          <w:kern w:val="0"/>
          <w:sz w:val="33"/>
          <w:szCs w:val="33"/>
          <w:shd w:val="clear" w:color="auto" w:fill="FFFFFF"/>
          <w:lang w:val="zh-CN"/>
        </w:rPr>
      </w:pPr>
      <w:r>
        <w:rPr>
          <w:rFonts w:hint="eastAsia" w:eastAsia="楷体_GB2312"/>
          <w:b/>
          <w:bCs/>
          <w:color w:val="000000"/>
          <w:kern w:val="0"/>
          <w:sz w:val="33"/>
          <w:szCs w:val="33"/>
          <w:shd w:val="clear" w:color="auto" w:fill="FFFFFF"/>
          <w:lang w:val="zh-CN"/>
        </w:rPr>
        <w:t>支出情况</w:t>
      </w:r>
      <w:r>
        <w:rPr>
          <w:rFonts w:eastAsia="楷体_GB2312"/>
          <w:b/>
          <w:bCs/>
          <w:color w:val="000000"/>
          <w:kern w:val="0"/>
          <w:sz w:val="33"/>
          <w:szCs w:val="33"/>
          <w:shd w:val="clear" w:color="auto" w:fill="FFFFFF"/>
          <w:lang w:val="zh-CN"/>
        </w:rPr>
        <w:t>。</w:t>
      </w:r>
    </w:p>
    <w:p w14:paraId="4B3960E0">
      <w:pPr>
        <w:widowControl/>
        <w:numPr>
          <w:ilvl w:val="0"/>
          <w:numId w:val="0"/>
        </w:numPr>
        <w:spacing w:line="590" w:lineRule="exact"/>
        <w:ind w:firstLine="640" w:firstLineChars="200"/>
        <w:contextualSpacing/>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202</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lang w:val="zh-CN"/>
        </w:rPr>
        <w:t>年年初预算支出合计</w:t>
      </w:r>
      <w:r>
        <w:rPr>
          <w:rFonts w:hint="eastAsia" w:ascii="仿宋" w:hAnsi="仿宋" w:eastAsia="仿宋" w:cs="仿宋"/>
          <w:color w:val="auto"/>
          <w:sz w:val="32"/>
          <w:szCs w:val="32"/>
          <w:lang w:val="en-US" w:eastAsia="zh-CN"/>
        </w:rPr>
        <w:t>10258.71</w:t>
      </w:r>
      <w:r>
        <w:rPr>
          <w:rFonts w:hint="eastAsia" w:ascii="仿宋" w:hAnsi="仿宋" w:eastAsia="仿宋" w:cs="仿宋"/>
          <w:color w:val="auto"/>
          <w:sz w:val="32"/>
          <w:szCs w:val="32"/>
          <w:lang w:val="zh-CN"/>
        </w:rPr>
        <w:t>万元，其中：社会保障和就业支出</w:t>
      </w:r>
      <w:r>
        <w:rPr>
          <w:rFonts w:hint="eastAsia" w:ascii="仿宋" w:hAnsi="仿宋" w:eastAsia="仿宋" w:cs="仿宋"/>
          <w:color w:val="auto"/>
          <w:sz w:val="32"/>
          <w:szCs w:val="32"/>
          <w:lang w:val="en-US" w:eastAsia="zh-CN"/>
        </w:rPr>
        <w:t>86.39</w:t>
      </w:r>
      <w:r>
        <w:rPr>
          <w:rFonts w:hint="eastAsia" w:ascii="仿宋" w:hAnsi="仿宋" w:eastAsia="仿宋" w:cs="仿宋"/>
          <w:color w:val="auto"/>
          <w:sz w:val="32"/>
          <w:szCs w:val="32"/>
          <w:lang w:val="zh-CN"/>
        </w:rPr>
        <w:t>万元；卫生健康支出</w:t>
      </w:r>
      <w:r>
        <w:rPr>
          <w:rFonts w:hint="eastAsia" w:ascii="仿宋" w:hAnsi="仿宋" w:eastAsia="仿宋" w:cs="仿宋"/>
          <w:color w:val="auto"/>
          <w:sz w:val="32"/>
          <w:szCs w:val="32"/>
          <w:lang w:val="en-US" w:eastAsia="zh-CN"/>
        </w:rPr>
        <w:t>36.04</w:t>
      </w:r>
      <w:r>
        <w:rPr>
          <w:rFonts w:hint="eastAsia" w:ascii="仿宋" w:hAnsi="仿宋" w:eastAsia="仿宋" w:cs="仿宋"/>
          <w:color w:val="auto"/>
          <w:sz w:val="32"/>
          <w:szCs w:val="32"/>
          <w:lang w:val="zh-CN"/>
        </w:rPr>
        <w:t>万元；城乡社区支出</w:t>
      </w:r>
      <w:r>
        <w:rPr>
          <w:rFonts w:hint="eastAsia" w:ascii="仿宋" w:hAnsi="仿宋" w:eastAsia="仿宋" w:cs="仿宋"/>
          <w:color w:val="auto"/>
          <w:sz w:val="32"/>
          <w:szCs w:val="32"/>
          <w:lang w:val="en-US" w:eastAsia="zh-CN"/>
        </w:rPr>
        <w:t>8199</w:t>
      </w:r>
      <w:r>
        <w:rPr>
          <w:rFonts w:hint="eastAsia" w:ascii="仿宋" w:hAnsi="仿宋" w:eastAsia="仿宋" w:cs="仿宋"/>
          <w:color w:val="auto"/>
          <w:sz w:val="32"/>
          <w:szCs w:val="32"/>
          <w:lang w:val="zh-CN"/>
        </w:rPr>
        <w:t>万元；农林水支出</w:t>
      </w:r>
      <w:r>
        <w:rPr>
          <w:rFonts w:hint="eastAsia" w:ascii="仿宋" w:hAnsi="仿宋" w:eastAsia="仿宋" w:cs="仿宋"/>
          <w:color w:val="auto"/>
          <w:sz w:val="32"/>
          <w:szCs w:val="32"/>
          <w:lang w:val="en-US" w:eastAsia="zh-CN"/>
        </w:rPr>
        <w:t>0.9</w:t>
      </w:r>
      <w:r>
        <w:rPr>
          <w:rFonts w:hint="eastAsia" w:ascii="仿宋" w:hAnsi="仿宋" w:eastAsia="仿宋" w:cs="仿宋"/>
          <w:color w:val="auto"/>
          <w:sz w:val="32"/>
          <w:szCs w:val="32"/>
          <w:lang w:val="zh-CN"/>
        </w:rPr>
        <w:t>万元；自然资源海洋气象支出</w:t>
      </w:r>
      <w:r>
        <w:rPr>
          <w:rFonts w:hint="eastAsia" w:ascii="仿宋" w:hAnsi="仿宋" w:eastAsia="仿宋" w:cs="仿宋"/>
          <w:color w:val="auto"/>
          <w:sz w:val="32"/>
          <w:szCs w:val="32"/>
          <w:lang w:val="en-US" w:eastAsia="zh-CN"/>
        </w:rPr>
        <w:t>1154.17</w:t>
      </w:r>
      <w:r>
        <w:rPr>
          <w:rFonts w:hint="eastAsia" w:ascii="仿宋" w:hAnsi="仿宋" w:eastAsia="仿宋" w:cs="仿宋"/>
          <w:color w:val="auto"/>
          <w:sz w:val="32"/>
          <w:szCs w:val="32"/>
          <w:lang w:val="zh-CN"/>
        </w:rPr>
        <w:t>万元；住房保障支出</w:t>
      </w:r>
      <w:r>
        <w:rPr>
          <w:rFonts w:hint="eastAsia" w:ascii="仿宋" w:hAnsi="仿宋" w:eastAsia="仿宋" w:cs="仿宋"/>
          <w:color w:val="auto"/>
          <w:sz w:val="32"/>
          <w:szCs w:val="32"/>
          <w:lang w:val="en-US" w:eastAsia="zh-CN"/>
        </w:rPr>
        <w:t>69.46</w:t>
      </w:r>
      <w:r>
        <w:rPr>
          <w:rFonts w:hint="eastAsia" w:ascii="仿宋" w:hAnsi="仿宋" w:eastAsia="仿宋" w:cs="仿宋"/>
          <w:color w:val="auto"/>
          <w:sz w:val="32"/>
          <w:szCs w:val="32"/>
          <w:lang w:val="zh-CN"/>
        </w:rPr>
        <w:t>万元；灾害防治及应急管理支出</w:t>
      </w:r>
      <w:r>
        <w:rPr>
          <w:rFonts w:hint="eastAsia" w:ascii="仿宋" w:hAnsi="仿宋" w:eastAsia="仿宋" w:cs="仿宋"/>
          <w:color w:val="auto"/>
          <w:sz w:val="32"/>
          <w:szCs w:val="32"/>
          <w:lang w:val="en-US" w:eastAsia="zh-CN"/>
        </w:rPr>
        <w:t>712.75万元</w:t>
      </w:r>
      <w:r>
        <w:rPr>
          <w:rFonts w:hint="eastAsia" w:ascii="仿宋" w:hAnsi="仿宋" w:eastAsia="仿宋" w:cs="仿宋"/>
          <w:color w:val="auto"/>
          <w:sz w:val="32"/>
          <w:szCs w:val="32"/>
          <w:lang w:val="zh-CN"/>
        </w:rPr>
        <w:t>。</w:t>
      </w:r>
    </w:p>
    <w:p w14:paraId="5F0C4FA9">
      <w:pPr>
        <w:widowControl/>
        <w:numPr>
          <w:ilvl w:val="0"/>
          <w:numId w:val="0"/>
        </w:numPr>
        <w:spacing w:line="590" w:lineRule="exact"/>
        <w:ind w:firstLine="640" w:firstLineChars="200"/>
        <w:contextualSpacing/>
        <w:rPr>
          <w:rFonts w:eastAsia="仿宋_GB2312"/>
          <w:sz w:val="33"/>
          <w:szCs w:val="33"/>
          <w:lang w:val="zh-CN"/>
        </w:rPr>
      </w:pPr>
      <w:r>
        <w:rPr>
          <w:rFonts w:hint="eastAsia" w:ascii="仿宋" w:hAnsi="仿宋" w:eastAsia="仿宋" w:cs="仿宋"/>
          <w:color w:val="auto"/>
          <w:sz w:val="32"/>
          <w:szCs w:val="32"/>
          <w:lang w:val="zh-CN"/>
        </w:rPr>
        <w:t>202</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lang w:val="zh-CN"/>
        </w:rPr>
        <w:t>年</w:t>
      </w:r>
      <w:r>
        <w:rPr>
          <w:rFonts w:hint="eastAsia" w:ascii="仿宋" w:hAnsi="仿宋" w:eastAsia="仿宋" w:cs="仿宋"/>
          <w:color w:val="auto"/>
          <w:sz w:val="32"/>
          <w:szCs w:val="32"/>
          <w:lang w:val="zh-CN" w:eastAsia="zh-CN"/>
        </w:rPr>
        <w:t>决算报表支出</w:t>
      </w:r>
      <w:r>
        <w:rPr>
          <w:rFonts w:hint="eastAsia" w:ascii="仿宋" w:hAnsi="仿宋" w:eastAsia="仿宋" w:cs="仿宋"/>
          <w:color w:val="auto"/>
          <w:sz w:val="32"/>
          <w:szCs w:val="32"/>
          <w:lang w:val="zh-CN"/>
        </w:rPr>
        <w:t>合计</w:t>
      </w:r>
      <w:r>
        <w:rPr>
          <w:rFonts w:hint="eastAsia" w:ascii="仿宋" w:hAnsi="仿宋" w:eastAsia="仿宋" w:cs="仿宋"/>
          <w:color w:val="auto"/>
          <w:sz w:val="32"/>
          <w:szCs w:val="32"/>
          <w:lang w:val="en-US" w:eastAsia="zh-CN"/>
        </w:rPr>
        <w:t>15333.54</w:t>
      </w:r>
      <w:r>
        <w:rPr>
          <w:rFonts w:hint="eastAsia" w:ascii="仿宋" w:hAnsi="仿宋" w:eastAsia="仿宋" w:cs="仿宋"/>
          <w:color w:val="auto"/>
          <w:sz w:val="32"/>
          <w:szCs w:val="32"/>
          <w:lang w:val="zh-CN"/>
        </w:rPr>
        <w:t>万元，其中：</w:t>
      </w:r>
      <w:r>
        <w:rPr>
          <w:rFonts w:hint="eastAsia" w:ascii="仿宋" w:hAnsi="仿宋" w:eastAsia="仿宋" w:cs="仿宋"/>
          <w:color w:val="auto"/>
          <w:sz w:val="32"/>
          <w:szCs w:val="32"/>
          <w:lang w:val="zh-CN" w:eastAsia="zh-CN"/>
        </w:rPr>
        <w:t>教育支出</w:t>
      </w:r>
      <w:r>
        <w:rPr>
          <w:rFonts w:hint="eastAsia" w:ascii="仿宋" w:hAnsi="仿宋" w:eastAsia="仿宋" w:cs="仿宋"/>
          <w:color w:val="auto"/>
          <w:sz w:val="32"/>
          <w:szCs w:val="32"/>
          <w:lang w:val="en-US" w:eastAsia="zh-CN"/>
        </w:rPr>
        <w:t>112.28万元；</w:t>
      </w:r>
      <w:r>
        <w:rPr>
          <w:rFonts w:hint="eastAsia" w:ascii="仿宋" w:hAnsi="仿宋" w:eastAsia="仿宋" w:cs="仿宋"/>
          <w:color w:val="auto"/>
          <w:sz w:val="32"/>
          <w:szCs w:val="32"/>
          <w:lang w:val="zh-CN"/>
        </w:rPr>
        <w:t>社会保障和就业支出1</w:t>
      </w:r>
      <w:r>
        <w:rPr>
          <w:rFonts w:hint="eastAsia" w:ascii="仿宋" w:hAnsi="仿宋" w:eastAsia="仿宋" w:cs="仿宋"/>
          <w:color w:val="auto"/>
          <w:sz w:val="32"/>
          <w:szCs w:val="32"/>
          <w:lang w:val="en-US" w:eastAsia="zh-CN"/>
        </w:rPr>
        <w:t>14.78</w:t>
      </w:r>
      <w:r>
        <w:rPr>
          <w:rFonts w:hint="eastAsia" w:ascii="仿宋" w:hAnsi="仿宋" w:eastAsia="仿宋" w:cs="仿宋"/>
          <w:color w:val="auto"/>
          <w:sz w:val="32"/>
          <w:szCs w:val="32"/>
          <w:lang w:val="zh-CN"/>
        </w:rPr>
        <w:t>万元；卫生健康支出</w:t>
      </w:r>
      <w:r>
        <w:rPr>
          <w:rFonts w:hint="eastAsia" w:ascii="仿宋" w:hAnsi="仿宋" w:eastAsia="仿宋" w:cs="仿宋"/>
          <w:color w:val="auto"/>
          <w:sz w:val="32"/>
          <w:szCs w:val="32"/>
          <w:lang w:val="en-US" w:eastAsia="zh-CN"/>
        </w:rPr>
        <w:t>40.68</w:t>
      </w:r>
      <w:r>
        <w:rPr>
          <w:rFonts w:hint="eastAsia" w:ascii="仿宋" w:hAnsi="仿宋" w:eastAsia="仿宋" w:cs="仿宋"/>
          <w:color w:val="auto"/>
          <w:sz w:val="32"/>
          <w:szCs w:val="32"/>
          <w:lang w:val="zh-CN"/>
        </w:rPr>
        <w:t>万元；城乡社区支出</w:t>
      </w:r>
      <w:r>
        <w:rPr>
          <w:rFonts w:hint="eastAsia" w:ascii="仿宋" w:hAnsi="仿宋" w:eastAsia="仿宋" w:cs="仿宋"/>
          <w:color w:val="auto"/>
          <w:sz w:val="32"/>
          <w:szCs w:val="32"/>
          <w:lang w:val="en-US" w:eastAsia="zh-CN"/>
        </w:rPr>
        <w:t>5941.49</w:t>
      </w:r>
      <w:r>
        <w:rPr>
          <w:rFonts w:hint="eastAsia" w:ascii="仿宋" w:hAnsi="仿宋" w:eastAsia="仿宋" w:cs="仿宋"/>
          <w:color w:val="auto"/>
          <w:sz w:val="32"/>
          <w:szCs w:val="32"/>
          <w:lang w:val="zh-CN"/>
        </w:rPr>
        <w:t>万元；农林水支出</w:t>
      </w:r>
      <w:r>
        <w:rPr>
          <w:rFonts w:hint="eastAsia" w:ascii="仿宋" w:hAnsi="仿宋" w:eastAsia="仿宋" w:cs="仿宋"/>
          <w:color w:val="auto"/>
          <w:sz w:val="32"/>
          <w:szCs w:val="32"/>
          <w:lang w:val="en-US" w:eastAsia="zh-CN"/>
        </w:rPr>
        <w:t>0.71</w:t>
      </w:r>
      <w:r>
        <w:rPr>
          <w:rFonts w:hint="eastAsia" w:ascii="仿宋" w:hAnsi="仿宋" w:eastAsia="仿宋" w:cs="仿宋"/>
          <w:color w:val="auto"/>
          <w:sz w:val="32"/>
          <w:szCs w:val="32"/>
          <w:lang w:val="zh-CN"/>
        </w:rPr>
        <w:t>万元；自然资源海洋气象支出</w:t>
      </w:r>
      <w:r>
        <w:rPr>
          <w:rFonts w:hint="eastAsia" w:ascii="仿宋" w:hAnsi="仿宋" w:eastAsia="仿宋" w:cs="仿宋"/>
          <w:color w:val="auto"/>
          <w:sz w:val="32"/>
          <w:szCs w:val="32"/>
          <w:lang w:val="en-US" w:eastAsia="zh-CN"/>
        </w:rPr>
        <w:t>1767.16</w:t>
      </w:r>
      <w:r>
        <w:rPr>
          <w:rFonts w:hint="eastAsia" w:ascii="仿宋" w:hAnsi="仿宋" w:eastAsia="仿宋" w:cs="仿宋"/>
          <w:color w:val="auto"/>
          <w:sz w:val="32"/>
          <w:szCs w:val="32"/>
          <w:lang w:val="zh-CN"/>
        </w:rPr>
        <w:t>万元；住房保障支出</w:t>
      </w:r>
      <w:r>
        <w:rPr>
          <w:rFonts w:hint="eastAsia" w:ascii="仿宋" w:hAnsi="仿宋" w:eastAsia="仿宋" w:cs="仿宋"/>
          <w:color w:val="auto"/>
          <w:sz w:val="32"/>
          <w:szCs w:val="32"/>
          <w:lang w:val="en-US" w:eastAsia="zh-CN"/>
        </w:rPr>
        <w:t>77.59</w:t>
      </w:r>
      <w:r>
        <w:rPr>
          <w:rFonts w:hint="eastAsia" w:ascii="仿宋" w:hAnsi="仿宋" w:eastAsia="仿宋" w:cs="仿宋"/>
          <w:color w:val="auto"/>
          <w:sz w:val="32"/>
          <w:szCs w:val="32"/>
          <w:lang w:val="zh-CN"/>
        </w:rPr>
        <w:t>万元；灾害防治及应急管理支出</w:t>
      </w:r>
      <w:r>
        <w:rPr>
          <w:rFonts w:hint="eastAsia" w:ascii="仿宋" w:hAnsi="仿宋" w:eastAsia="仿宋" w:cs="仿宋"/>
          <w:color w:val="auto"/>
          <w:sz w:val="32"/>
          <w:szCs w:val="32"/>
          <w:lang w:val="en-US" w:eastAsia="zh-CN"/>
        </w:rPr>
        <w:t>728.93万元</w:t>
      </w:r>
      <w:r>
        <w:rPr>
          <w:rFonts w:hint="eastAsia" w:ascii="仿宋" w:hAnsi="仿宋" w:eastAsia="仿宋" w:cs="仿宋"/>
          <w:color w:val="auto"/>
          <w:sz w:val="32"/>
          <w:szCs w:val="32"/>
          <w:lang w:val="zh-CN"/>
        </w:rPr>
        <w:t>；其他支出</w:t>
      </w:r>
      <w:r>
        <w:rPr>
          <w:rFonts w:hint="eastAsia" w:ascii="仿宋" w:hAnsi="仿宋" w:eastAsia="仿宋" w:cs="仿宋"/>
          <w:color w:val="auto"/>
          <w:sz w:val="32"/>
          <w:szCs w:val="32"/>
          <w:lang w:val="en-US" w:eastAsia="zh-CN"/>
        </w:rPr>
        <w:t>6549.92万元</w:t>
      </w:r>
      <w:r>
        <w:rPr>
          <w:rFonts w:hint="eastAsia" w:ascii="仿宋" w:hAnsi="仿宋" w:eastAsia="仿宋" w:cs="仿宋"/>
          <w:color w:val="auto"/>
          <w:sz w:val="32"/>
          <w:szCs w:val="32"/>
          <w:lang w:val="zh-CN"/>
        </w:rPr>
        <w:t>。</w:t>
      </w:r>
    </w:p>
    <w:p w14:paraId="4E3D2EA0">
      <w:pPr>
        <w:widowControl/>
        <w:spacing w:line="590" w:lineRule="exact"/>
        <w:ind w:firstLine="663" w:firstLineChars="200"/>
        <w:contextualSpacing/>
        <w:rPr>
          <w:rFonts w:eastAsia="仿宋_GB2312"/>
          <w:color w:val="000000"/>
          <w:kern w:val="0"/>
          <w:sz w:val="33"/>
          <w:szCs w:val="33"/>
          <w:shd w:val="clear" w:color="auto" w:fill="FFFFFF"/>
          <w:lang w:val="zh-CN"/>
        </w:rPr>
      </w:pPr>
      <w:r>
        <w:rPr>
          <w:rFonts w:eastAsia="楷体_GB2312"/>
          <w:b/>
          <w:bCs/>
          <w:color w:val="000000"/>
          <w:kern w:val="0"/>
          <w:sz w:val="33"/>
          <w:szCs w:val="33"/>
          <w:shd w:val="clear" w:color="auto" w:fill="FFFFFF"/>
          <w:lang w:val="zh-CN"/>
        </w:rPr>
        <w:t>（</w:t>
      </w:r>
      <w:r>
        <w:rPr>
          <w:rFonts w:hint="eastAsia" w:eastAsia="楷体_GB2312"/>
          <w:b/>
          <w:bCs/>
          <w:color w:val="000000"/>
          <w:kern w:val="0"/>
          <w:sz w:val="33"/>
          <w:szCs w:val="33"/>
          <w:shd w:val="clear" w:color="auto" w:fill="FFFFFF"/>
          <w:lang w:val="zh-CN"/>
        </w:rPr>
        <w:t>三</w:t>
      </w:r>
      <w:r>
        <w:rPr>
          <w:rFonts w:eastAsia="楷体_GB2312"/>
          <w:b/>
          <w:bCs/>
          <w:color w:val="000000"/>
          <w:kern w:val="0"/>
          <w:sz w:val="33"/>
          <w:szCs w:val="33"/>
          <w:shd w:val="clear" w:color="auto" w:fill="FFFFFF"/>
          <w:lang w:val="zh-CN"/>
        </w:rPr>
        <w:t>）</w:t>
      </w:r>
      <w:r>
        <w:rPr>
          <w:rFonts w:eastAsia="楷体_GB2312"/>
          <w:b/>
          <w:sz w:val="33"/>
          <w:szCs w:val="33"/>
        </w:rPr>
        <w:t>结余分配和结转结余情况</w:t>
      </w:r>
      <w:r>
        <w:rPr>
          <w:rFonts w:hint="eastAsia" w:eastAsia="楷体_GB2312"/>
          <w:b/>
          <w:sz w:val="33"/>
          <w:szCs w:val="33"/>
        </w:rPr>
        <w:t>。</w:t>
      </w:r>
      <w:r>
        <w:rPr>
          <w:rFonts w:hint="eastAsia" w:eastAsia="仿宋_GB2312"/>
          <w:color w:val="000000"/>
          <w:kern w:val="0"/>
          <w:sz w:val="33"/>
          <w:szCs w:val="33"/>
          <w:shd w:val="clear" w:color="auto" w:fill="FFFFFF"/>
        </w:rPr>
        <w:t>202</w:t>
      </w:r>
      <w:r>
        <w:rPr>
          <w:rFonts w:hint="eastAsia" w:eastAsia="仿宋_GB2312"/>
          <w:color w:val="000000"/>
          <w:kern w:val="0"/>
          <w:sz w:val="33"/>
          <w:szCs w:val="33"/>
          <w:shd w:val="clear" w:color="auto" w:fill="FFFFFF"/>
          <w:lang w:val="en-US" w:eastAsia="zh-CN"/>
        </w:rPr>
        <w:t>5</w:t>
      </w:r>
      <w:r>
        <w:rPr>
          <w:rFonts w:hint="eastAsia" w:eastAsia="仿宋_GB2312"/>
          <w:color w:val="000000"/>
          <w:kern w:val="0"/>
          <w:sz w:val="33"/>
          <w:szCs w:val="33"/>
          <w:shd w:val="clear" w:color="auto" w:fill="FFFFFF"/>
        </w:rPr>
        <w:t>年财政拨款年末结转结余0元。</w:t>
      </w:r>
    </w:p>
    <w:p w14:paraId="6A59DB23">
      <w:pPr>
        <w:widowControl/>
        <w:spacing w:line="590" w:lineRule="exact"/>
        <w:ind w:firstLine="660" w:firstLineChars="200"/>
        <w:contextualSpacing/>
        <w:rPr>
          <w:rFonts w:eastAsia="黑体"/>
          <w:color w:val="000000" w:themeColor="text1"/>
          <w:kern w:val="0"/>
          <w:sz w:val="33"/>
          <w:szCs w:val="33"/>
          <w:shd w:val="clear" w:color="auto" w:fill="FFFFFF"/>
          <w14:textFill>
            <w14:solidFill>
              <w14:schemeClr w14:val="tx1"/>
            </w14:solidFill>
          </w14:textFill>
        </w:rPr>
      </w:pPr>
      <w:r>
        <w:rPr>
          <w:rFonts w:eastAsia="黑体"/>
          <w:color w:val="000000"/>
          <w:kern w:val="0"/>
          <w:sz w:val="33"/>
          <w:szCs w:val="33"/>
          <w:shd w:val="clear" w:color="auto" w:fill="FFFFFF"/>
        </w:rPr>
        <w:t>三、部门预算绩效分析</w:t>
      </w:r>
    </w:p>
    <w:p w14:paraId="348854F4">
      <w:pPr>
        <w:spacing w:line="590" w:lineRule="exact"/>
        <w:ind w:firstLine="663" w:firstLineChars="200"/>
        <w:contextualSpacing/>
        <w:rPr>
          <w:rFonts w:eastAsia="仿宋_GB2312"/>
          <w:color w:val="000000"/>
          <w:kern w:val="0"/>
          <w:sz w:val="33"/>
          <w:szCs w:val="33"/>
          <w:shd w:val="clear" w:color="auto" w:fill="FFFFFF"/>
          <w:lang w:val="zh-CN"/>
        </w:rPr>
      </w:pPr>
      <w:r>
        <w:rPr>
          <w:rFonts w:eastAsia="楷体_GB2312"/>
          <w:b/>
          <w:bCs/>
          <w:color w:val="000000"/>
          <w:kern w:val="0"/>
          <w:sz w:val="33"/>
          <w:szCs w:val="33"/>
          <w:shd w:val="clear" w:color="auto" w:fill="FFFFFF"/>
          <w:lang w:val="zh-CN"/>
        </w:rPr>
        <w:t>（一）</w:t>
      </w:r>
      <w:r>
        <w:rPr>
          <w:rFonts w:hint="eastAsia" w:eastAsia="楷体_GB2312"/>
          <w:b/>
          <w:bCs/>
          <w:color w:val="000000"/>
          <w:kern w:val="0"/>
          <w:sz w:val="33"/>
          <w:szCs w:val="33"/>
          <w:shd w:val="clear" w:color="auto" w:fill="FFFFFF"/>
          <w:lang w:val="zh-CN"/>
        </w:rPr>
        <w:t>部门预算</w:t>
      </w:r>
      <w:r>
        <w:rPr>
          <w:rFonts w:eastAsia="楷体_GB2312"/>
          <w:b/>
          <w:bCs/>
          <w:color w:val="000000"/>
          <w:kern w:val="0"/>
          <w:sz w:val="33"/>
          <w:szCs w:val="33"/>
          <w:shd w:val="clear" w:color="auto" w:fill="FFFFFF"/>
          <w:lang w:val="zh-CN"/>
        </w:rPr>
        <w:t>总体绩效分析。</w:t>
      </w:r>
      <w:r>
        <w:rPr>
          <w:rFonts w:hint="eastAsia" w:eastAsia="仿宋_GB2312"/>
          <w:color w:val="000000"/>
          <w:kern w:val="0"/>
          <w:sz w:val="33"/>
          <w:szCs w:val="33"/>
          <w:shd w:val="clear" w:color="auto" w:fill="FFFFFF"/>
          <w:lang w:val="zh-CN"/>
        </w:rPr>
        <w:t>202</w:t>
      </w:r>
      <w:r>
        <w:rPr>
          <w:rFonts w:hint="eastAsia" w:eastAsia="仿宋_GB2312"/>
          <w:color w:val="000000"/>
          <w:kern w:val="0"/>
          <w:sz w:val="33"/>
          <w:szCs w:val="33"/>
          <w:shd w:val="clear" w:color="auto" w:fill="FFFFFF"/>
          <w:lang w:val="en-US" w:eastAsia="zh-CN"/>
        </w:rPr>
        <w:t>5</w:t>
      </w:r>
      <w:r>
        <w:rPr>
          <w:rFonts w:hint="eastAsia" w:eastAsia="仿宋_GB2312"/>
          <w:color w:val="000000"/>
          <w:kern w:val="0"/>
          <w:sz w:val="33"/>
          <w:szCs w:val="33"/>
          <w:shd w:val="clear" w:color="auto" w:fill="FFFFFF"/>
          <w:lang w:val="zh-CN"/>
        </w:rPr>
        <w:t>年，我局积极响应并深入践行全面实施预算绩效管理的决策部署，紧扣全过程监督管理这一核心主线，精准发力，着重加强对事前评估、事中监控、事后评价这三个关键节点的严格管控。工作中，始终保持对财政法规及制度的高度敬畏，严谨规范地开展资金预算绩效管理工作，保障各项工作有序推进、高效落实，圆满达成</w:t>
      </w:r>
      <w:r>
        <w:rPr>
          <w:rFonts w:hint="eastAsia" w:eastAsia="仿宋_GB2312"/>
          <w:color w:val="000000"/>
          <w:kern w:val="0"/>
          <w:sz w:val="33"/>
          <w:szCs w:val="33"/>
          <w:shd w:val="clear" w:color="auto" w:fill="FFFFFF"/>
          <w:lang w:val="en-US" w:eastAsia="zh-CN"/>
        </w:rPr>
        <w:t>2025年度的各项工作任务。</w:t>
      </w:r>
    </w:p>
    <w:p w14:paraId="47369355">
      <w:pPr>
        <w:spacing w:line="590" w:lineRule="exact"/>
        <w:ind w:firstLine="660" w:firstLineChars="200"/>
        <w:contextualSpacing/>
        <w:rPr>
          <w:rFonts w:hint="eastAsia" w:eastAsia="楷体_GB2312" w:cs="楷体_GB2312"/>
          <w:color w:val="000000"/>
          <w:kern w:val="0"/>
          <w:sz w:val="33"/>
          <w:szCs w:val="33"/>
          <w:shd w:val="clear" w:color="auto" w:fill="FFFFFF"/>
          <w:lang w:val="zh-CN"/>
        </w:rPr>
      </w:pPr>
      <w:r>
        <w:rPr>
          <w:rFonts w:hint="eastAsia" w:eastAsia="楷体_GB2312" w:cs="楷体_GB2312"/>
          <w:color w:val="000000"/>
          <w:kern w:val="0"/>
          <w:sz w:val="33"/>
          <w:szCs w:val="33"/>
          <w:shd w:val="clear" w:color="auto" w:fill="FFFFFF"/>
        </w:rPr>
        <w:t>1.</w:t>
      </w:r>
      <w:r>
        <w:rPr>
          <w:rFonts w:hint="eastAsia" w:eastAsia="楷体_GB2312" w:cs="楷体_GB2312"/>
          <w:color w:val="000000"/>
          <w:kern w:val="0"/>
          <w:sz w:val="33"/>
          <w:szCs w:val="33"/>
          <w:shd w:val="clear" w:color="auto" w:fill="FFFFFF"/>
          <w:lang w:val="zh-CN"/>
        </w:rPr>
        <w:t>履职效能。</w:t>
      </w:r>
    </w:p>
    <w:p w14:paraId="33B950FB">
      <w:pPr>
        <w:spacing w:line="590" w:lineRule="exact"/>
        <w:ind w:firstLine="660" w:firstLineChars="200"/>
        <w:contextualSpacing/>
        <w:rPr>
          <w:rFonts w:hint="eastAsia" w:ascii="Times New Roman" w:hAnsi="Times New Roman" w:eastAsia="仿宋_GB2312" w:cs="Times New Roman"/>
          <w:color w:val="000000"/>
          <w:kern w:val="0"/>
          <w:sz w:val="33"/>
          <w:szCs w:val="33"/>
          <w:shd w:val="clear" w:color="auto" w:fill="FFFFFF"/>
          <w:lang w:val="zh-CN"/>
        </w:rPr>
      </w:pPr>
      <w:r>
        <w:rPr>
          <w:rFonts w:hint="eastAsia" w:ascii="Times New Roman" w:hAnsi="Times New Roman" w:eastAsia="仿宋_GB2312" w:cs="Times New Roman"/>
          <w:color w:val="000000"/>
          <w:kern w:val="0"/>
          <w:sz w:val="33"/>
          <w:szCs w:val="33"/>
          <w:shd w:val="clear" w:color="auto" w:fill="FFFFFF"/>
          <w:lang w:val="zh-CN"/>
        </w:rPr>
        <w:t>自评得分15分。</w:t>
      </w:r>
      <w:r>
        <w:rPr>
          <w:rFonts w:hint="eastAsia" w:ascii="Times New Roman" w:hAnsi="Times New Roman" w:eastAsia="仿宋_GB2312" w:cs="Times New Roman"/>
          <w:color w:val="000000"/>
          <w:kern w:val="0"/>
          <w:sz w:val="33"/>
          <w:szCs w:val="33"/>
          <w:shd w:val="clear" w:color="auto" w:fill="FFFFFF"/>
          <w:lang w:val="zh-CN" w:eastAsia="zh-CN"/>
        </w:rPr>
        <w:t>一是</w:t>
      </w:r>
      <w:r>
        <w:rPr>
          <w:rFonts w:hint="eastAsia" w:ascii="Times New Roman" w:hAnsi="Times New Roman" w:eastAsia="仿宋_GB2312" w:cs="Times New Roman"/>
          <w:color w:val="000000"/>
          <w:kern w:val="0"/>
          <w:sz w:val="33"/>
          <w:szCs w:val="33"/>
          <w:shd w:val="clear" w:color="auto" w:fill="FFFFFF"/>
          <w:lang w:val="zh-CN"/>
        </w:rPr>
        <w:t>耕地保护任务全面压实。田长制运行高效有序</w:t>
      </w:r>
      <w:r>
        <w:rPr>
          <w:rFonts w:hint="eastAsia" w:ascii="Times New Roman" w:hAnsi="Times New Roman" w:eastAsia="仿宋_GB2312" w:cs="Times New Roman"/>
          <w:color w:val="000000"/>
          <w:kern w:val="0"/>
          <w:sz w:val="33"/>
          <w:szCs w:val="33"/>
          <w:shd w:val="clear" w:color="auto" w:fill="FFFFFF"/>
          <w:lang w:val="zh-CN" w:eastAsia="zh-CN"/>
        </w:rPr>
        <w:t>，</w:t>
      </w:r>
      <w:r>
        <w:rPr>
          <w:rFonts w:hint="eastAsia" w:ascii="Times New Roman" w:hAnsi="Times New Roman" w:eastAsia="仿宋_GB2312" w:cs="Times New Roman"/>
          <w:color w:val="000000"/>
          <w:kern w:val="0"/>
          <w:sz w:val="33"/>
          <w:szCs w:val="33"/>
          <w:shd w:val="clear" w:color="auto" w:fill="FFFFFF"/>
          <w:lang w:val="zh-CN"/>
        </w:rPr>
        <w:t>根据人员变动情况，同步完成乡村两级田长、网格员动态调整及巡田平台信息更新</w:t>
      </w:r>
      <w:r>
        <w:rPr>
          <w:rFonts w:hint="eastAsia" w:ascii="Times New Roman" w:hAnsi="Times New Roman" w:eastAsia="仿宋_GB2312" w:cs="Times New Roman"/>
          <w:color w:val="000000"/>
          <w:kern w:val="0"/>
          <w:sz w:val="33"/>
          <w:szCs w:val="33"/>
          <w:shd w:val="clear" w:color="auto" w:fill="FFFFFF"/>
          <w:lang w:val="zh-CN" w:eastAsia="zh-CN"/>
        </w:rPr>
        <w:t>，</w:t>
      </w:r>
      <w:r>
        <w:rPr>
          <w:rFonts w:hint="eastAsia" w:ascii="Times New Roman" w:hAnsi="Times New Roman" w:eastAsia="仿宋_GB2312" w:cs="Times New Roman"/>
          <w:color w:val="000000"/>
          <w:kern w:val="0"/>
          <w:sz w:val="33"/>
          <w:szCs w:val="33"/>
          <w:shd w:val="clear" w:color="auto" w:fill="FFFFFF"/>
          <w:lang w:val="zh-CN"/>
        </w:rPr>
        <w:t>全年督促巡田，配合完成市级田长巡田</w:t>
      </w:r>
      <w:r>
        <w:rPr>
          <w:rFonts w:hint="eastAsia" w:ascii="Times New Roman" w:hAnsi="Times New Roman" w:eastAsia="仿宋_GB2312" w:cs="Times New Roman"/>
          <w:color w:val="000000"/>
          <w:kern w:val="0"/>
          <w:sz w:val="33"/>
          <w:szCs w:val="33"/>
          <w:shd w:val="clear" w:color="auto" w:fill="FFFFFF"/>
          <w:lang w:val="en-US" w:eastAsia="zh-CN"/>
        </w:rPr>
        <w:t>工作</w:t>
      </w:r>
      <w:r>
        <w:rPr>
          <w:rFonts w:hint="eastAsia" w:eastAsia="仿宋_GB2312" w:cs="Times New Roman"/>
          <w:color w:val="000000"/>
          <w:kern w:val="0"/>
          <w:sz w:val="33"/>
          <w:szCs w:val="33"/>
          <w:shd w:val="clear" w:color="auto" w:fill="FFFFFF"/>
          <w:lang w:val="zh-CN" w:eastAsia="zh-CN"/>
        </w:rPr>
        <w:t>。</w:t>
      </w:r>
      <w:r>
        <w:rPr>
          <w:rFonts w:hint="eastAsia" w:ascii="Times New Roman" w:hAnsi="Times New Roman" w:eastAsia="仿宋_GB2312" w:cs="Times New Roman"/>
          <w:color w:val="000000"/>
          <w:kern w:val="0"/>
          <w:sz w:val="33"/>
          <w:szCs w:val="33"/>
          <w:shd w:val="clear" w:color="auto" w:fill="FFFFFF"/>
          <w:lang w:val="zh-CN"/>
        </w:rPr>
        <w:t>持续指导2024年恢复补充地块收尾，并利用2025年日常变更调查举证新增耕地</w:t>
      </w:r>
      <w:r>
        <w:rPr>
          <w:rFonts w:hint="eastAsia" w:eastAsia="仿宋_GB2312" w:cs="Times New Roman"/>
          <w:color w:val="000000"/>
          <w:kern w:val="0"/>
          <w:sz w:val="33"/>
          <w:szCs w:val="33"/>
          <w:shd w:val="clear" w:color="auto" w:fill="FFFFFF"/>
          <w:lang w:val="zh-CN"/>
        </w:rPr>
        <w:t>。</w:t>
      </w:r>
      <w:r>
        <w:rPr>
          <w:rFonts w:hint="eastAsia" w:ascii="Times New Roman" w:hAnsi="Times New Roman" w:eastAsia="仿宋_GB2312" w:cs="Times New Roman"/>
          <w:color w:val="000000"/>
          <w:kern w:val="0"/>
          <w:sz w:val="33"/>
          <w:szCs w:val="33"/>
          <w:shd w:val="clear" w:color="auto" w:fill="FFFFFF"/>
          <w:lang w:val="zh-CN"/>
        </w:rPr>
        <w:t>初步划定2025年度永久基本农田储备区2000余亩并上报待审</w:t>
      </w:r>
      <w:r>
        <w:rPr>
          <w:rFonts w:hint="eastAsia" w:ascii="Times New Roman" w:hAnsi="Times New Roman" w:eastAsia="仿宋_GB2312" w:cs="Times New Roman"/>
          <w:color w:val="000000"/>
          <w:kern w:val="0"/>
          <w:sz w:val="33"/>
          <w:szCs w:val="33"/>
          <w:shd w:val="clear" w:color="auto" w:fill="FFFFFF"/>
          <w:lang w:val="zh-CN" w:eastAsia="zh-CN"/>
        </w:rPr>
        <w:t>；</w:t>
      </w:r>
      <w:r>
        <w:rPr>
          <w:rFonts w:hint="eastAsia" w:ascii="Times New Roman" w:hAnsi="Times New Roman" w:eastAsia="仿宋_GB2312" w:cs="Times New Roman"/>
          <w:color w:val="000000"/>
          <w:kern w:val="0"/>
          <w:sz w:val="33"/>
          <w:szCs w:val="33"/>
          <w:shd w:val="clear" w:color="auto" w:fill="FFFFFF"/>
          <w:lang w:val="zh-CN"/>
        </w:rPr>
        <w:t>编制并备案《2025年建设占用耕地耕作层土壤剥离再利用年度工作计划》。开展全县临时用地巡查和自查清理。设施农业用地监管系统共上图入库304宗。</w:t>
      </w:r>
    </w:p>
    <w:p w14:paraId="6D3398FC">
      <w:pPr>
        <w:spacing w:line="590" w:lineRule="exact"/>
        <w:ind w:firstLine="660" w:firstLineChars="200"/>
        <w:contextualSpacing/>
        <w:rPr>
          <w:rFonts w:hint="eastAsia" w:ascii="Times New Roman" w:hAnsi="Times New Roman" w:eastAsia="仿宋_GB2312" w:cs="Times New Roman"/>
          <w:color w:val="000000"/>
          <w:kern w:val="0"/>
          <w:sz w:val="33"/>
          <w:szCs w:val="33"/>
          <w:shd w:val="clear" w:color="auto" w:fill="FFFFFF"/>
          <w:lang w:val="en-US" w:eastAsia="zh-CN"/>
        </w:rPr>
      </w:pPr>
      <w:r>
        <w:rPr>
          <w:rFonts w:hint="eastAsia" w:ascii="Times New Roman" w:hAnsi="Times New Roman" w:eastAsia="仿宋_GB2312" w:cs="Times New Roman"/>
          <w:color w:val="000000"/>
          <w:kern w:val="0"/>
          <w:sz w:val="33"/>
          <w:szCs w:val="33"/>
          <w:shd w:val="clear" w:color="auto" w:fill="FFFFFF"/>
          <w:lang w:val="zh-CN"/>
        </w:rPr>
        <w:t>二是强化资源要素保障。建设项目用地预审与选址规范从严</w:t>
      </w:r>
      <w:r>
        <w:rPr>
          <w:rFonts w:hint="eastAsia" w:eastAsia="仿宋_GB2312" w:cs="Times New Roman"/>
          <w:color w:val="000000"/>
          <w:kern w:val="0"/>
          <w:sz w:val="33"/>
          <w:szCs w:val="33"/>
          <w:shd w:val="clear" w:color="auto" w:fill="FFFFFF"/>
          <w:lang w:val="zh-CN"/>
        </w:rPr>
        <w:t>，</w:t>
      </w:r>
      <w:r>
        <w:rPr>
          <w:rFonts w:hint="eastAsia" w:ascii="Times New Roman" w:hAnsi="Times New Roman" w:eastAsia="仿宋_GB2312" w:cs="Times New Roman"/>
          <w:color w:val="000000"/>
          <w:kern w:val="0"/>
          <w:sz w:val="33"/>
          <w:szCs w:val="33"/>
          <w:shd w:val="clear" w:color="auto" w:fill="FFFFFF"/>
          <w:lang w:val="zh-CN"/>
        </w:rPr>
        <w:t>全年完成用地预审9宗</w:t>
      </w:r>
      <w:r>
        <w:rPr>
          <w:rFonts w:hint="eastAsia" w:eastAsia="仿宋_GB2312" w:cs="Times New Roman"/>
          <w:color w:val="000000"/>
          <w:kern w:val="0"/>
          <w:sz w:val="33"/>
          <w:szCs w:val="33"/>
          <w:shd w:val="clear" w:color="auto" w:fill="FFFFFF"/>
          <w:lang w:val="zh-CN"/>
        </w:rPr>
        <w:t>，</w:t>
      </w:r>
      <w:r>
        <w:rPr>
          <w:rFonts w:hint="eastAsia" w:ascii="Times New Roman" w:hAnsi="Times New Roman" w:eastAsia="仿宋_GB2312" w:cs="Times New Roman"/>
          <w:color w:val="000000"/>
          <w:kern w:val="0"/>
          <w:sz w:val="33"/>
          <w:szCs w:val="33"/>
          <w:shd w:val="clear" w:color="auto" w:fill="FFFFFF"/>
          <w:lang w:val="zh-CN"/>
        </w:rPr>
        <w:t>取得用地指标约163亩</w:t>
      </w:r>
      <w:r>
        <w:rPr>
          <w:rFonts w:hint="eastAsia" w:eastAsia="仿宋_GB2312" w:cs="Times New Roman"/>
          <w:color w:val="000000"/>
          <w:kern w:val="0"/>
          <w:sz w:val="33"/>
          <w:szCs w:val="33"/>
          <w:shd w:val="clear" w:color="auto" w:fill="FFFFFF"/>
          <w:lang w:val="zh-CN"/>
        </w:rPr>
        <w:t>；</w:t>
      </w:r>
      <w:r>
        <w:rPr>
          <w:rFonts w:hint="eastAsia" w:ascii="Times New Roman" w:hAnsi="Times New Roman" w:eastAsia="仿宋_GB2312" w:cs="Times New Roman"/>
          <w:color w:val="000000"/>
          <w:kern w:val="0"/>
          <w:sz w:val="33"/>
          <w:szCs w:val="33"/>
          <w:shd w:val="clear" w:color="auto" w:fill="FFFFFF"/>
          <w:lang w:val="zh-CN"/>
        </w:rPr>
        <w:t>在农村“一二三”产业融合发展用地保障领域取得突破，获取指标约20亩</w:t>
      </w:r>
      <w:r>
        <w:rPr>
          <w:rFonts w:hint="eastAsia" w:eastAsia="仿宋_GB2312" w:cs="Times New Roman"/>
          <w:color w:val="000000"/>
          <w:kern w:val="0"/>
          <w:sz w:val="33"/>
          <w:szCs w:val="33"/>
          <w:shd w:val="clear" w:color="auto" w:fill="FFFFFF"/>
          <w:lang w:val="zh-CN"/>
        </w:rPr>
        <w:t>；</w:t>
      </w:r>
      <w:r>
        <w:rPr>
          <w:rFonts w:hint="eastAsia" w:ascii="Times New Roman" w:hAnsi="Times New Roman" w:eastAsia="仿宋_GB2312" w:cs="Times New Roman"/>
          <w:color w:val="000000"/>
          <w:kern w:val="0"/>
          <w:sz w:val="33"/>
          <w:szCs w:val="33"/>
          <w:shd w:val="clear" w:color="auto" w:fill="FFFFFF"/>
          <w:lang w:val="zh-CN"/>
        </w:rPr>
        <w:t>完成农村宅基地农用地转用审核，保障用地约112亩</w:t>
      </w:r>
      <w:r>
        <w:rPr>
          <w:rFonts w:hint="eastAsia" w:eastAsia="仿宋_GB2312" w:cs="Times New Roman"/>
          <w:color w:val="000000"/>
          <w:kern w:val="0"/>
          <w:sz w:val="33"/>
          <w:szCs w:val="33"/>
          <w:shd w:val="clear" w:color="auto" w:fill="FFFFFF"/>
          <w:lang w:val="zh-CN"/>
        </w:rPr>
        <w:t>。</w:t>
      </w:r>
    </w:p>
    <w:p w14:paraId="7419978B">
      <w:pPr>
        <w:spacing w:line="590" w:lineRule="exact"/>
        <w:ind w:firstLine="660" w:firstLineChars="200"/>
        <w:contextualSpacing/>
        <w:rPr>
          <w:rFonts w:hint="eastAsia" w:eastAsia="仿宋_GB2312"/>
          <w:color w:val="000000"/>
          <w:kern w:val="0"/>
          <w:sz w:val="33"/>
          <w:szCs w:val="33"/>
          <w:shd w:val="clear" w:color="auto" w:fill="FFFFFF"/>
          <w:lang w:val="zh-CN"/>
        </w:rPr>
      </w:pPr>
      <w:r>
        <w:rPr>
          <w:rFonts w:hint="eastAsia" w:eastAsia="仿宋_GB2312" w:cs="Times New Roman"/>
          <w:color w:val="000000"/>
          <w:kern w:val="0"/>
          <w:sz w:val="33"/>
          <w:szCs w:val="33"/>
          <w:shd w:val="clear" w:color="auto" w:fill="FFFFFF"/>
          <w:lang w:val="zh-CN"/>
        </w:rPr>
        <w:t>三是有序调控</w:t>
      </w:r>
      <w:r>
        <w:rPr>
          <w:rFonts w:hint="eastAsia" w:ascii="Times New Roman" w:hAnsi="Times New Roman" w:eastAsia="仿宋_GB2312" w:cs="Times New Roman"/>
          <w:color w:val="000000"/>
          <w:kern w:val="0"/>
          <w:sz w:val="33"/>
          <w:szCs w:val="33"/>
          <w:shd w:val="clear" w:color="auto" w:fill="FFFFFF"/>
          <w:lang w:val="zh-CN"/>
        </w:rPr>
        <w:t>土地利用与市场。</w:t>
      </w:r>
      <w:r>
        <w:rPr>
          <w:rFonts w:hint="eastAsia" w:eastAsia="仿宋_GB2312"/>
          <w:color w:val="000000"/>
          <w:kern w:val="0"/>
          <w:sz w:val="33"/>
          <w:szCs w:val="33"/>
          <w:shd w:val="clear" w:color="auto" w:fill="FFFFFF"/>
          <w:lang w:val="zh-CN"/>
        </w:rPr>
        <w:t>加大批而未供闲置土地的处置力度，</w:t>
      </w:r>
      <w:r>
        <w:rPr>
          <w:rFonts w:hint="eastAsia" w:ascii="Times New Roman" w:hAnsi="Times New Roman" w:eastAsia="仿宋_GB2312" w:cs="Times New Roman"/>
          <w:color w:val="000000"/>
          <w:kern w:val="0"/>
          <w:sz w:val="33"/>
          <w:szCs w:val="33"/>
          <w:shd w:val="clear" w:color="auto" w:fill="FFFFFF"/>
          <w:lang w:val="zh-CN"/>
        </w:rPr>
        <w:t>目前已处置3.69公顷</w:t>
      </w:r>
      <w:r>
        <w:rPr>
          <w:rFonts w:hint="eastAsia" w:eastAsia="仿宋_GB2312" w:cs="Times New Roman"/>
          <w:color w:val="000000"/>
          <w:kern w:val="0"/>
          <w:sz w:val="33"/>
          <w:szCs w:val="33"/>
          <w:shd w:val="clear" w:color="auto" w:fill="FFFFFF"/>
          <w:lang w:val="zh-CN"/>
        </w:rPr>
        <w:t>。</w:t>
      </w:r>
      <w:r>
        <w:rPr>
          <w:rFonts w:hint="eastAsia" w:eastAsia="仿宋_GB2312"/>
          <w:color w:val="000000"/>
          <w:kern w:val="0"/>
          <w:sz w:val="33"/>
          <w:szCs w:val="33"/>
          <w:shd w:val="clear" w:color="auto" w:fill="FFFFFF"/>
          <w:lang w:val="zh-CN"/>
        </w:rPr>
        <w:t>严格落实土地“增存挂钩”机制，对批而未供和闲置土地逐宗核实梳理，建立处置台账。</w:t>
      </w:r>
    </w:p>
    <w:p w14:paraId="5DA8EFE1">
      <w:pPr>
        <w:spacing w:line="590" w:lineRule="exact"/>
        <w:ind w:firstLine="660" w:firstLineChars="200"/>
        <w:contextualSpacing/>
        <w:rPr>
          <w:rFonts w:hint="eastAsia" w:ascii="Times New Roman" w:hAnsi="Times New Roman" w:eastAsia="仿宋_GB2312" w:cs="Times New Roman"/>
          <w:color w:val="000000"/>
          <w:kern w:val="0"/>
          <w:sz w:val="33"/>
          <w:szCs w:val="33"/>
          <w:shd w:val="clear" w:color="auto" w:fill="FFFFFF"/>
          <w:lang w:val="zh-CN"/>
        </w:rPr>
      </w:pPr>
      <w:r>
        <w:rPr>
          <w:rFonts w:hint="eastAsia" w:eastAsia="仿宋_GB2312" w:cs="Times New Roman"/>
          <w:color w:val="000000"/>
          <w:kern w:val="0"/>
          <w:sz w:val="33"/>
          <w:szCs w:val="33"/>
          <w:shd w:val="clear" w:color="auto" w:fill="FFFFFF"/>
          <w:lang w:val="zh-CN"/>
        </w:rPr>
        <w:t>四是</w:t>
      </w:r>
      <w:r>
        <w:rPr>
          <w:rFonts w:hint="eastAsia" w:ascii="Times New Roman" w:hAnsi="Times New Roman" w:eastAsia="仿宋_GB2312" w:cs="Times New Roman"/>
          <w:color w:val="000000"/>
          <w:kern w:val="0"/>
          <w:sz w:val="33"/>
          <w:szCs w:val="33"/>
          <w:shd w:val="clear" w:color="auto" w:fill="FFFFFF"/>
          <w:lang w:val="zh-CN"/>
        </w:rPr>
        <w:t>做好矿产资源相关工作</w:t>
      </w:r>
      <w:r>
        <w:rPr>
          <w:rFonts w:hint="eastAsia" w:eastAsia="仿宋_GB2312" w:cs="Times New Roman"/>
          <w:color w:val="000000"/>
          <w:kern w:val="0"/>
          <w:sz w:val="33"/>
          <w:szCs w:val="33"/>
          <w:shd w:val="clear" w:color="auto" w:fill="FFFFFF"/>
          <w:lang w:val="zh-CN"/>
        </w:rPr>
        <w:t>。</w:t>
      </w:r>
      <w:r>
        <w:rPr>
          <w:rFonts w:hint="eastAsia" w:ascii="Times New Roman" w:hAnsi="Times New Roman" w:eastAsia="仿宋_GB2312" w:cs="Times New Roman"/>
          <w:color w:val="000000"/>
          <w:kern w:val="0"/>
          <w:sz w:val="33"/>
          <w:szCs w:val="33"/>
          <w:shd w:val="clear" w:color="auto" w:fill="FFFFFF"/>
          <w:lang w:val="zh-CN"/>
        </w:rPr>
        <w:t>矿产资源管理基础不断夯实</w:t>
      </w:r>
      <w:r>
        <w:rPr>
          <w:rFonts w:hint="eastAsia" w:eastAsia="仿宋_GB2312" w:cs="Times New Roman"/>
          <w:color w:val="000000"/>
          <w:kern w:val="0"/>
          <w:sz w:val="33"/>
          <w:szCs w:val="33"/>
          <w:shd w:val="clear" w:color="auto" w:fill="FFFFFF"/>
          <w:lang w:val="zh-CN"/>
        </w:rPr>
        <w:t>，</w:t>
      </w:r>
      <w:r>
        <w:rPr>
          <w:rFonts w:hint="eastAsia" w:ascii="Times New Roman" w:hAnsi="Times New Roman" w:eastAsia="仿宋_GB2312" w:cs="Times New Roman"/>
          <w:color w:val="000000"/>
          <w:kern w:val="0"/>
          <w:sz w:val="33"/>
          <w:szCs w:val="33"/>
          <w:shd w:val="clear" w:color="auto" w:fill="FFFFFF"/>
          <w:lang w:val="zh-CN"/>
        </w:rPr>
        <w:t>严格履行安全生产职责，全年派出检查组83个，检查人员137人次，专家15人，检查企业71家次，查出并整改隐患112条，无重大安全事故。</w:t>
      </w:r>
    </w:p>
    <w:p w14:paraId="0FF8BA34">
      <w:pPr>
        <w:spacing w:line="590" w:lineRule="exact"/>
        <w:ind w:firstLine="660" w:firstLineChars="200"/>
        <w:contextualSpacing/>
        <w:rPr>
          <w:rFonts w:hint="eastAsia" w:eastAsia="仿宋_GB2312" w:cs="Times New Roman"/>
          <w:color w:val="000000"/>
          <w:kern w:val="0"/>
          <w:sz w:val="33"/>
          <w:szCs w:val="33"/>
          <w:shd w:val="clear" w:color="auto" w:fill="FFFFFF"/>
          <w:lang w:val="zh-CN"/>
        </w:rPr>
      </w:pPr>
      <w:r>
        <w:rPr>
          <w:rFonts w:hint="eastAsia" w:eastAsia="仿宋_GB2312" w:cs="Times New Roman"/>
          <w:color w:val="000000"/>
          <w:kern w:val="0"/>
          <w:sz w:val="33"/>
          <w:szCs w:val="33"/>
          <w:shd w:val="clear" w:color="auto" w:fill="FFFFFF"/>
          <w:lang w:val="zh-CN"/>
        </w:rPr>
        <w:t>五是不动产登记</w:t>
      </w:r>
      <w:r>
        <w:rPr>
          <w:rFonts w:hint="eastAsia" w:ascii="Times New Roman" w:hAnsi="Times New Roman" w:eastAsia="仿宋_GB2312" w:cs="Times New Roman"/>
          <w:color w:val="000000"/>
          <w:kern w:val="0"/>
          <w:sz w:val="33"/>
          <w:szCs w:val="33"/>
          <w:shd w:val="clear" w:color="auto" w:fill="FFFFFF"/>
          <w:lang w:val="zh-CN"/>
        </w:rPr>
        <w:t>服务提质增效成果显著。落实“一窗受理、并行办理”，推行系列便民服务，平均办理时间缩短40%。全年颁发《不动产权证书》8237本，《不动产登记证明》1327本。建立机制累计化解林权登记历史遗留问题4816宗，颁发林权类证书1163本、证明12本，推动国家储备林建设林权流转6778.6亩，完成全国林权登记提质增效试点。建立“党委、政府主导、部门协同联动”机制，化解424套房屋不动产“登记难”问题</w:t>
      </w:r>
      <w:r>
        <w:rPr>
          <w:rFonts w:hint="eastAsia" w:eastAsia="仿宋_GB2312" w:cs="Times New Roman"/>
          <w:color w:val="000000"/>
          <w:kern w:val="0"/>
          <w:sz w:val="33"/>
          <w:szCs w:val="33"/>
          <w:shd w:val="clear" w:color="auto" w:fill="FFFFFF"/>
          <w:lang w:val="zh-CN"/>
        </w:rPr>
        <w:t>。</w:t>
      </w:r>
    </w:p>
    <w:p w14:paraId="5D9D66FD">
      <w:pPr>
        <w:spacing w:line="590" w:lineRule="exact"/>
        <w:ind w:firstLine="660" w:firstLineChars="200"/>
        <w:contextualSpacing/>
        <w:rPr>
          <w:rFonts w:hint="eastAsia" w:eastAsia="仿宋_GB2312" w:cs="Times New Roman"/>
          <w:color w:val="000000"/>
          <w:kern w:val="0"/>
          <w:sz w:val="33"/>
          <w:szCs w:val="33"/>
          <w:shd w:val="clear" w:color="auto" w:fill="FFFFFF"/>
          <w:lang w:val="zh-CN"/>
        </w:rPr>
      </w:pPr>
      <w:r>
        <w:rPr>
          <w:rFonts w:hint="eastAsia" w:eastAsia="仿宋_GB2312" w:cs="Times New Roman"/>
          <w:color w:val="000000"/>
          <w:kern w:val="0"/>
          <w:sz w:val="33"/>
          <w:szCs w:val="33"/>
          <w:shd w:val="clear" w:color="auto" w:fill="FFFFFF"/>
          <w:lang w:val="zh-CN"/>
        </w:rPr>
        <w:t>六是地质灾害防治体系不断完善。全县共有在册地质灾害隐患点47处（滑坡37处、泥石流1处、崩塌9处）。本年度通过治理搬迁销号22处，保留在册隐患点25处</w:t>
      </w:r>
      <w:r>
        <w:rPr>
          <w:rFonts w:hint="eastAsia" w:eastAsia="仿宋_GB2312" w:cs="Times New Roman"/>
          <w:color w:val="000000"/>
          <w:kern w:val="0"/>
          <w:sz w:val="33"/>
          <w:szCs w:val="33"/>
          <w:shd w:val="clear" w:color="auto" w:fill="FFFFFF"/>
          <w:lang w:val="zh-CN" w:eastAsia="zh-CN"/>
        </w:rPr>
        <w:t>。</w:t>
      </w:r>
      <w:r>
        <w:rPr>
          <w:rFonts w:hint="eastAsia" w:eastAsia="仿宋_GB2312" w:cs="Times New Roman"/>
          <w:color w:val="000000"/>
          <w:kern w:val="0"/>
          <w:sz w:val="33"/>
          <w:szCs w:val="33"/>
          <w:shd w:val="clear" w:color="auto" w:fill="FFFFFF"/>
          <w:lang w:val="zh-CN"/>
        </w:rPr>
        <w:t>联合县气象部门发布预警信息50期、预警9期，发送短信35400余条；组织技术支撑单位开展地质灾害专项排查、“三查”及更新调查，累计排查点位540处，排查在建工程10处、原治理工程12处；组织县级防治培训1次，指导各乡镇开展隐患点应急演练90余次，参与超2000人次，发放宣传图册2000余份；成立汛期应急值守队伍，安排专人参与联合值班，不定期抽查值守情况；全年完成地质灾害隐患点工程治理7处、避险搬迁14户；完成35处隐患点应急广播安装，实现全覆盖。</w:t>
      </w:r>
    </w:p>
    <w:p w14:paraId="04F2EEE6">
      <w:pPr>
        <w:numPr>
          <w:ilvl w:val="0"/>
          <w:numId w:val="0"/>
        </w:numPr>
        <w:spacing w:line="590" w:lineRule="exact"/>
        <w:ind w:firstLine="660" w:firstLineChars="200"/>
        <w:contextualSpacing/>
        <w:rPr>
          <w:rFonts w:hint="eastAsia" w:eastAsia="仿宋_GB2312" w:cs="Times New Roman"/>
          <w:color w:val="000000"/>
          <w:kern w:val="0"/>
          <w:sz w:val="33"/>
          <w:szCs w:val="33"/>
          <w:shd w:val="clear" w:color="auto" w:fill="FFFFFF"/>
          <w:lang w:val="zh-CN"/>
        </w:rPr>
      </w:pPr>
      <w:r>
        <w:rPr>
          <w:rFonts w:hint="eastAsia" w:eastAsia="仿宋_GB2312" w:cs="Times New Roman"/>
          <w:color w:val="000000"/>
          <w:kern w:val="0"/>
          <w:sz w:val="33"/>
          <w:szCs w:val="33"/>
          <w:shd w:val="clear" w:color="auto" w:fill="FFFFFF"/>
          <w:lang w:val="zh-CN"/>
        </w:rPr>
        <w:t>七是调查监测与空间治理能力增强。全力推进耕林园空间治理“一张图”建设，完成第二轮试划；重点推进2025年度国土变更调查工作。《沐川县新城区国土空间详细规划》成果已获县政府批复。全年筹备召开县国土空间规划委员会2次（审查议题9个），组织召开专家评审委员会4次（审查议题16个）。依法办理建设用地规划许可证7件、建设工程规划许可证10件、乡村建设规划许可证4件。办理工程项目规划核实13件，解决历史遗留问题出具规划认定意见3件。累计开展规划巡查7次，强化过程监管。</w:t>
      </w:r>
    </w:p>
    <w:p w14:paraId="3EC41365">
      <w:pPr>
        <w:numPr>
          <w:ilvl w:val="0"/>
          <w:numId w:val="0"/>
        </w:numPr>
        <w:spacing w:line="590" w:lineRule="exact"/>
        <w:ind w:firstLine="660" w:firstLineChars="200"/>
        <w:contextualSpacing/>
        <w:rPr>
          <w:rFonts w:eastAsia="仿宋_GB2312"/>
          <w:color w:val="000000"/>
          <w:kern w:val="0"/>
          <w:sz w:val="33"/>
          <w:szCs w:val="33"/>
          <w:shd w:val="clear" w:color="auto" w:fill="FFFFFF"/>
          <w:lang w:val="zh-CN"/>
        </w:rPr>
      </w:pPr>
      <w:r>
        <w:rPr>
          <w:rFonts w:hint="eastAsia" w:eastAsia="楷体_GB2312" w:cs="楷体_GB2312"/>
          <w:color w:val="000000"/>
          <w:kern w:val="0"/>
          <w:sz w:val="33"/>
          <w:szCs w:val="33"/>
          <w:shd w:val="clear" w:color="auto" w:fill="FFFFFF"/>
          <w:lang w:val="en-US" w:eastAsia="zh-CN"/>
        </w:rPr>
        <w:t>2</w:t>
      </w:r>
      <w:r>
        <w:rPr>
          <w:rFonts w:hint="eastAsia" w:eastAsia="楷体_GB2312" w:cs="楷体_GB2312"/>
          <w:color w:val="000000"/>
          <w:kern w:val="0"/>
          <w:sz w:val="33"/>
          <w:szCs w:val="33"/>
          <w:shd w:val="clear" w:color="auto" w:fill="FFFFFF"/>
        </w:rPr>
        <w:t>.</w:t>
      </w:r>
      <w:r>
        <w:rPr>
          <w:rFonts w:eastAsia="楷体_GB2312" w:cs="楷体_GB2312"/>
          <w:color w:val="000000"/>
          <w:kern w:val="0"/>
          <w:sz w:val="33"/>
          <w:szCs w:val="33"/>
          <w:shd w:val="clear" w:color="auto" w:fill="FFFFFF"/>
          <w:lang w:val="zh-CN"/>
        </w:rPr>
        <w:t>预算管理</w:t>
      </w:r>
      <w:r>
        <w:rPr>
          <w:rFonts w:hint="eastAsia" w:eastAsia="楷体_GB2312" w:cs="楷体_GB2312"/>
          <w:color w:val="000000"/>
          <w:kern w:val="0"/>
          <w:sz w:val="33"/>
          <w:szCs w:val="33"/>
          <w:shd w:val="clear" w:color="auto" w:fill="FFFFFF"/>
          <w:lang w:val="zh-CN"/>
        </w:rPr>
        <w:t>。</w:t>
      </w:r>
    </w:p>
    <w:p w14:paraId="2A9450A4">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contextualSpacing/>
        <w:textAlignment w:val="auto"/>
        <w:rPr>
          <w:rFonts w:hint="eastAsia" w:ascii="Times New Roman" w:hAnsi="Times New Roman" w:eastAsia="仿宋_GB2312" w:cs="Times New Roman"/>
          <w:color w:val="000000"/>
          <w:kern w:val="0"/>
          <w:sz w:val="33"/>
          <w:szCs w:val="33"/>
          <w:shd w:val="clear" w:color="auto" w:fill="FFFFFF"/>
          <w:lang w:val="zh-CN"/>
        </w:rPr>
      </w:pPr>
      <w:r>
        <w:rPr>
          <w:rFonts w:hint="eastAsia" w:ascii="仿宋_GB2312" w:hAnsi="Times New Roman" w:eastAsia="仿宋_GB2312" w:cs="仿宋_GB2312"/>
          <w:color w:val="auto"/>
          <w:sz w:val="32"/>
          <w:szCs w:val="32"/>
        </w:rPr>
        <w:t>自评得分</w:t>
      </w:r>
      <w:r>
        <w:rPr>
          <w:rFonts w:ascii="Times New Roman" w:hAnsi="Times New Roman" w:eastAsia="仿宋_GB2312" w:cs="Times New Roman"/>
          <w:color w:val="auto"/>
          <w:sz w:val="32"/>
          <w:szCs w:val="32"/>
        </w:rPr>
        <w:t>2</w:t>
      </w:r>
      <w:r>
        <w:rPr>
          <w:rFonts w:hint="eastAsia" w:eastAsia="仿宋_GB2312" w:cs="Times New Roman"/>
          <w:color w:val="auto"/>
          <w:sz w:val="32"/>
          <w:szCs w:val="32"/>
          <w:lang w:val="en-US" w:eastAsia="zh-CN"/>
        </w:rPr>
        <w:t>3</w:t>
      </w:r>
      <w:r>
        <w:rPr>
          <w:rFonts w:hint="eastAsia" w:ascii="仿宋_GB2312" w:hAnsi="Times New Roman" w:eastAsia="仿宋_GB2312" w:cs="仿宋_GB2312"/>
          <w:color w:val="auto"/>
          <w:sz w:val="32"/>
          <w:szCs w:val="32"/>
        </w:rPr>
        <w:t>分。</w:t>
      </w:r>
      <w:r>
        <w:rPr>
          <w:rFonts w:hint="eastAsia" w:ascii="Times New Roman" w:hAnsi="Times New Roman" w:eastAsia="仿宋_GB2312" w:cs="Times New Roman"/>
          <w:color w:val="000000"/>
          <w:kern w:val="0"/>
          <w:sz w:val="33"/>
          <w:szCs w:val="33"/>
          <w:shd w:val="clear" w:color="auto" w:fill="FFFFFF"/>
          <w:lang w:val="zh-CN"/>
        </w:rPr>
        <w:t>202</w:t>
      </w:r>
      <w:r>
        <w:rPr>
          <w:rFonts w:hint="eastAsia" w:eastAsia="仿宋_GB2312" w:cs="Times New Roman"/>
          <w:color w:val="000000"/>
          <w:kern w:val="0"/>
          <w:sz w:val="33"/>
          <w:szCs w:val="33"/>
          <w:shd w:val="clear" w:color="auto" w:fill="FFFFFF"/>
          <w:lang w:val="en-US" w:eastAsia="zh-CN"/>
        </w:rPr>
        <w:t>5</w:t>
      </w:r>
      <w:r>
        <w:rPr>
          <w:rFonts w:hint="eastAsia" w:ascii="Times New Roman" w:hAnsi="Times New Roman" w:eastAsia="仿宋_GB2312" w:cs="Times New Roman"/>
          <w:color w:val="000000"/>
          <w:kern w:val="0"/>
          <w:sz w:val="33"/>
          <w:szCs w:val="33"/>
          <w:shd w:val="clear" w:color="auto" w:fill="FFFFFF"/>
          <w:lang w:val="zh-CN"/>
        </w:rPr>
        <w:t>年度</w:t>
      </w:r>
      <w:r>
        <w:rPr>
          <w:rFonts w:hint="eastAsia" w:eastAsia="仿宋_GB2312" w:cs="Times New Roman"/>
          <w:color w:val="000000"/>
          <w:kern w:val="0"/>
          <w:sz w:val="33"/>
          <w:szCs w:val="33"/>
          <w:shd w:val="clear" w:color="auto" w:fill="FFFFFF"/>
          <w:lang w:val="zh-CN"/>
        </w:rPr>
        <w:t>自然资源局</w:t>
      </w:r>
      <w:r>
        <w:rPr>
          <w:rFonts w:hint="eastAsia" w:ascii="仿宋" w:hAnsi="仿宋" w:eastAsia="仿宋"/>
          <w:color w:val="000000"/>
          <w:sz w:val="32"/>
          <w:szCs w:val="32"/>
        </w:rPr>
        <w:t>加强预算编制管理，严格按照《预算法》的要求，根据县自然资源局工作计划和目标任务的实际，科学合理编制部门年度预算草案，同步设置绩效目标</w:t>
      </w:r>
      <w:r>
        <w:rPr>
          <w:rFonts w:hint="eastAsia" w:ascii="仿宋" w:hAnsi="仿宋" w:eastAsia="仿宋"/>
          <w:color w:val="000000"/>
          <w:sz w:val="32"/>
          <w:szCs w:val="32"/>
          <w:lang w:eastAsia="zh-CN"/>
        </w:rPr>
        <w:t>，</w:t>
      </w:r>
      <w:r>
        <w:rPr>
          <w:rFonts w:hint="eastAsia" w:ascii="仿宋" w:hAnsi="仿宋" w:eastAsia="仿宋"/>
          <w:color w:val="000000"/>
          <w:sz w:val="32"/>
          <w:szCs w:val="32"/>
        </w:rPr>
        <w:t>切实保障基本支出科学合理，项目支出有效规范。</w:t>
      </w:r>
      <w:r>
        <w:rPr>
          <w:rFonts w:hint="eastAsia" w:eastAsia="仿宋" w:cs="Times New Roman"/>
          <w:color w:val="000000"/>
          <w:kern w:val="0"/>
          <w:sz w:val="33"/>
          <w:szCs w:val="33"/>
          <w:shd w:val="clear" w:color="auto" w:fill="FFFFFF"/>
          <w:lang w:val="en-US" w:eastAsia="zh-CN"/>
        </w:rPr>
        <w:t>2025年</w:t>
      </w:r>
      <w:r>
        <w:rPr>
          <w:rFonts w:hint="eastAsia" w:ascii="Times New Roman" w:hAnsi="Times New Roman" w:eastAsia="仿宋_GB2312" w:cs="Times New Roman"/>
          <w:color w:val="000000"/>
          <w:kern w:val="0"/>
          <w:sz w:val="33"/>
          <w:szCs w:val="33"/>
          <w:shd w:val="clear" w:color="auto" w:fill="FFFFFF"/>
          <w:lang w:val="zh-CN"/>
        </w:rPr>
        <w:t>全年预算执行进度较好，未发现违规支出金额</w:t>
      </w:r>
      <w:r>
        <w:rPr>
          <w:rFonts w:hint="eastAsia" w:eastAsia="仿宋_GB2312" w:cs="Times New Roman"/>
          <w:color w:val="000000"/>
          <w:kern w:val="0"/>
          <w:sz w:val="33"/>
          <w:szCs w:val="33"/>
          <w:shd w:val="clear" w:color="auto" w:fill="FFFFFF"/>
          <w:lang w:val="zh-CN"/>
        </w:rPr>
        <w:t>。</w:t>
      </w:r>
      <w:r>
        <w:rPr>
          <w:rFonts w:hint="eastAsia" w:ascii="Times New Roman" w:hAnsi="Times New Roman" w:eastAsia="仿宋_GB2312" w:cs="Times New Roman"/>
          <w:color w:val="000000"/>
          <w:kern w:val="0"/>
          <w:sz w:val="33"/>
          <w:szCs w:val="33"/>
          <w:shd w:val="clear" w:color="auto" w:fill="FFFFFF"/>
          <w:lang w:val="zh-CN"/>
        </w:rPr>
        <w:t>全年部门整体无</w:t>
      </w:r>
      <w:r>
        <w:rPr>
          <w:rFonts w:hint="eastAsia" w:eastAsia="仿宋_GB2312" w:cs="Times New Roman"/>
          <w:color w:val="000000"/>
          <w:kern w:val="0"/>
          <w:sz w:val="33"/>
          <w:szCs w:val="33"/>
          <w:shd w:val="clear" w:color="auto" w:fill="FFFFFF"/>
          <w:lang w:val="zh-CN"/>
        </w:rPr>
        <w:t>结转</w:t>
      </w:r>
      <w:r>
        <w:rPr>
          <w:rFonts w:hint="eastAsia" w:ascii="Times New Roman" w:hAnsi="Times New Roman" w:eastAsia="仿宋_GB2312" w:cs="Times New Roman"/>
          <w:color w:val="000000"/>
          <w:kern w:val="0"/>
          <w:sz w:val="33"/>
          <w:szCs w:val="33"/>
          <w:shd w:val="clear" w:color="auto" w:fill="FFFFFF"/>
          <w:lang w:val="zh-CN"/>
        </w:rPr>
        <w:t>结余</w:t>
      </w:r>
      <w:r>
        <w:rPr>
          <w:rFonts w:hint="eastAsia" w:eastAsia="仿宋_GB2312" w:cs="Times New Roman"/>
          <w:color w:val="000000"/>
          <w:kern w:val="0"/>
          <w:sz w:val="33"/>
          <w:szCs w:val="33"/>
          <w:shd w:val="clear" w:color="auto" w:fill="FFFFFF"/>
          <w:lang w:val="zh-CN"/>
        </w:rPr>
        <w:t>资金</w:t>
      </w:r>
      <w:r>
        <w:rPr>
          <w:rFonts w:hint="eastAsia" w:ascii="Times New Roman" w:hAnsi="Times New Roman" w:eastAsia="仿宋_GB2312" w:cs="Times New Roman"/>
          <w:color w:val="000000"/>
          <w:kern w:val="0"/>
          <w:sz w:val="33"/>
          <w:szCs w:val="33"/>
          <w:shd w:val="clear" w:color="auto" w:fill="FFFFFF"/>
          <w:lang w:val="zh-CN"/>
        </w:rPr>
        <w:t>。</w:t>
      </w:r>
    </w:p>
    <w:p w14:paraId="0845CA99">
      <w:pPr>
        <w:numPr>
          <w:ilvl w:val="0"/>
          <w:numId w:val="0"/>
        </w:numPr>
        <w:spacing w:line="590" w:lineRule="exact"/>
        <w:ind w:firstLine="660" w:firstLineChars="200"/>
        <w:contextualSpacing/>
        <w:rPr>
          <w:rFonts w:hint="eastAsia" w:eastAsia="仿宋_GB2312"/>
          <w:color w:val="000000"/>
          <w:kern w:val="0"/>
          <w:sz w:val="33"/>
          <w:szCs w:val="33"/>
          <w:shd w:val="clear" w:color="auto" w:fill="FFFFFF"/>
          <w:lang w:val="zh-CN"/>
        </w:rPr>
      </w:pPr>
      <w:r>
        <w:rPr>
          <w:rFonts w:hint="eastAsia" w:eastAsia="楷体_GB2312" w:cs="楷体_GB2312"/>
          <w:color w:val="000000"/>
          <w:kern w:val="0"/>
          <w:sz w:val="33"/>
          <w:szCs w:val="33"/>
          <w:shd w:val="clear" w:color="auto" w:fill="FFFFFF"/>
          <w:lang w:val="en-US" w:eastAsia="zh-CN"/>
        </w:rPr>
        <w:t>3.</w:t>
      </w:r>
      <w:r>
        <w:rPr>
          <w:rFonts w:eastAsia="楷体_GB2312" w:cs="楷体_GB2312"/>
          <w:color w:val="000000"/>
          <w:kern w:val="0"/>
          <w:sz w:val="33"/>
          <w:szCs w:val="33"/>
          <w:shd w:val="clear" w:color="auto" w:fill="FFFFFF"/>
          <w:lang w:val="zh-CN"/>
        </w:rPr>
        <w:t>财务管理</w:t>
      </w:r>
      <w:r>
        <w:rPr>
          <w:rFonts w:hint="eastAsia" w:eastAsia="楷体_GB2312" w:cs="楷体_GB2312"/>
          <w:color w:val="000000"/>
          <w:kern w:val="0"/>
          <w:sz w:val="33"/>
          <w:szCs w:val="33"/>
          <w:shd w:val="clear" w:color="auto" w:fill="FFFFFF"/>
          <w:lang w:val="zh-CN"/>
        </w:rPr>
        <w:t>。</w:t>
      </w:r>
    </w:p>
    <w:p w14:paraId="5E7A269A">
      <w:pPr>
        <w:numPr>
          <w:ilvl w:val="0"/>
          <w:numId w:val="0"/>
        </w:numPr>
        <w:spacing w:line="590" w:lineRule="exact"/>
        <w:ind w:firstLine="640" w:firstLineChars="200"/>
        <w:contextualSpacing/>
        <w:rPr>
          <w:rFonts w:hint="eastAsia" w:eastAsia="仿宋_GB2312"/>
          <w:color w:val="000000"/>
          <w:kern w:val="0"/>
          <w:sz w:val="33"/>
          <w:szCs w:val="33"/>
          <w:shd w:val="clear" w:color="auto" w:fill="FFFFFF"/>
          <w:lang w:val="zh-CN" w:eastAsia="zh-CN"/>
        </w:rPr>
      </w:pPr>
      <w:r>
        <w:rPr>
          <w:rFonts w:hint="eastAsia" w:ascii="仿宋_GB2312" w:hAnsi="Times New Roman" w:eastAsia="仿宋_GB2312" w:cs="仿宋_GB2312"/>
          <w:color w:val="auto"/>
          <w:sz w:val="32"/>
          <w:szCs w:val="32"/>
        </w:rPr>
        <w:t>自评得分</w:t>
      </w:r>
      <w:r>
        <w:rPr>
          <w:rFonts w:hint="eastAsia" w:eastAsia="仿宋_GB2312" w:cs="Times New Roman"/>
          <w:color w:val="auto"/>
          <w:sz w:val="32"/>
          <w:szCs w:val="32"/>
          <w:lang w:val="en-US" w:eastAsia="zh-CN"/>
        </w:rPr>
        <w:t>10</w:t>
      </w:r>
      <w:r>
        <w:rPr>
          <w:rFonts w:hint="eastAsia" w:ascii="仿宋_GB2312" w:hAnsi="Times New Roman" w:eastAsia="仿宋_GB2312" w:cs="仿宋_GB2312"/>
          <w:color w:val="auto"/>
          <w:sz w:val="32"/>
          <w:szCs w:val="32"/>
        </w:rPr>
        <w:t>分。</w:t>
      </w:r>
      <w:r>
        <w:rPr>
          <w:rFonts w:hint="eastAsia" w:ascii="仿宋" w:hAnsi="仿宋" w:eastAsia="仿宋"/>
          <w:sz w:val="32"/>
          <w:szCs w:val="32"/>
        </w:rPr>
        <w:t>自然资源局加强预算管理、规范财务行为，制定单位内部控制及财务管理制度，对单位的岗位责任制、财务审核报批、财产物资管理、内部财务管理、会计档案管理、财务审计及相关项目管理审批等方面做出了规定，制度执行有效。</w:t>
      </w:r>
      <w:r>
        <w:rPr>
          <w:rFonts w:hint="eastAsia" w:ascii="仿宋" w:hAnsi="仿宋" w:eastAsia="仿宋"/>
          <w:sz w:val="32"/>
          <w:szCs w:val="32"/>
          <w:lang w:eastAsia="zh-CN"/>
        </w:rPr>
        <w:t>对单位一般性支出，严格执行</w:t>
      </w:r>
      <w:r>
        <w:rPr>
          <w:rFonts w:hint="eastAsia" w:ascii="仿宋_GB2312" w:hAnsi="Times New Roman" w:eastAsia="仿宋_GB2312" w:cs="仿宋_GB2312"/>
          <w:color w:val="auto"/>
          <w:sz w:val="32"/>
          <w:szCs w:val="32"/>
        </w:rPr>
        <w:t>预算刚性约束</w:t>
      </w:r>
      <w:r>
        <w:rPr>
          <w:rFonts w:hint="eastAsia" w:ascii="仿宋_GB2312" w:hAnsi="Times New Roman" w:eastAsia="仿宋_GB2312" w:cs="仿宋_GB2312"/>
          <w:color w:val="auto"/>
          <w:sz w:val="32"/>
          <w:szCs w:val="32"/>
          <w:lang w:eastAsia="zh-CN"/>
        </w:rPr>
        <w:t>，</w:t>
      </w:r>
      <w:r>
        <w:rPr>
          <w:rFonts w:hint="eastAsia" w:ascii="仿宋" w:hAnsi="仿宋" w:eastAsia="仿宋"/>
          <w:sz w:val="32"/>
          <w:szCs w:val="32"/>
        </w:rPr>
        <w:t>按照审批权限</w:t>
      </w:r>
      <w:r>
        <w:rPr>
          <w:rFonts w:hint="eastAsia" w:ascii="仿宋" w:hAnsi="仿宋" w:eastAsia="仿宋"/>
          <w:sz w:val="32"/>
          <w:szCs w:val="32"/>
          <w:lang w:eastAsia="zh-CN"/>
        </w:rPr>
        <w:t>层层</w:t>
      </w:r>
      <w:r>
        <w:rPr>
          <w:rFonts w:hint="eastAsia" w:ascii="仿宋" w:hAnsi="仿宋" w:eastAsia="仿宋"/>
          <w:sz w:val="32"/>
          <w:szCs w:val="32"/>
        </w:rPr>
        <w:t>审核、审批</w:t>
      </w:r>
      <w:r>
        <w:rPr>
          <w:rFonts w:hint="eastAsia" w:ascii="仿宋_GB2312" w:hAnsi="Times New Roman" w:eastAsia="仿宋_GB2312" w:cs="仿宋_GB2312"/>
          <w:color w:val="auto"/>
          <w:sz w:val="32"/>
          <w:szCs w:val="32"/>
        </w:rPr>
        <w:t>，确保</w:t>
      </w:r>
      <w:r>
        <w:rPr>
          <w:rFonts w:hint="eastAsia" w:ascii="仿宋_GB2312" w:hAnsi="Times New Roman" w:eastAsia="仿宋_GB2312" w:cs="仿宋_GB2312"/>
          <w:color w:val="auto"/>
          <w:sz w:val="32"/>
          <w:szCs w:val="32"/>
          <w:lang w:eastAsia="zh-CN"/>
        </w:rPr>
        <w:t>支出合理合规。</w:t>
      </w:r>
      <w:r>
        <w:rPr>
          <w:rFonts w:hint="eastAsia" w:ascii="仿宋" w:hAnsi="仿宋" w:eastAsia="仿宋"/>
          <w:sz w:val="32"/>
          <w:szCs w:val="32"/>
        </w:rPr>
        <w:t>单位会计核算的规范，会计信息资料完整。</w:t>
      </w:r>
      <w:r>
        <w:rPr>
          <w:rFonts w:hint="eastAsia" w:ascii="仿宋_GB2312" w:hAnsi="Times New Roman" w:eastAsia="仿宋_GB2312" w:cs="仿宋_GB2312"/>
          <w:color w:val="auto"/>
          <w:sz w:val="32"/>
          <w:szCs w:val="32"/>
        </w:rPr>
        <w:t>财务岗</w:t>
      </w:r>
      <w:r>
        <w:rPr>
          <w:rFonts w:hint="eastAsia" w:ascii="仿宋_GB2312" w:eastAsia="仿宋_GB2312" w:cs="仿宋_GB2312"/>
          <w:color w:val="auto"/>
          <w:sz w:val="32"/>
          <w:szCs w:val="32"/>
        </w:rPr>
        <w:t>位设置和职责权限</w:t>
      </w:r>
      <w:r>
        <w:rPr>
          <w:rFonts w:hint="eastAsia" w:ascii="仿宋_GB2312" w:eastAsia="仿宋_GB2312" w:cs="仿宋_GB2312"/>
          <w:color w:val="auto"/>
          <w:sz w:val="32"/>
          <w:szCs w:val="32"/>
          <w:lang w:eastAsia="zh-CN"/>
        </w:rPr>
        <w:t>清晰</w:t>
      </w:r>
      <w:r>
        <w:rPr>
          <w:rFonts w:hint="eastAsia" w:ascii="仿宋_GB2312" w:eastAsia="仿宋_GB2312" w:cs="仿宋_GB2312"/>
          <w:color w:val="auto"/>
          <w:sz w:val="32"/>
          <w:szCs w:val="32"/>
        </w:rPr>
        <w:t>，确保不相容岗位分离</w:t>
      </w:r>
      <w:r>
        <w:rPr>
          <w:rFonts w:hint="eastAsia" w:ascii="仿宋_GB2312" w:eastAsia="仿宋_GB2312" w:cs="仿宋_GB2312"/>
          <w:color w:val="auto"/>
          <w:sz w:val="32"/>
          <w:szCs w:val="32"/>
          <w:lang w:eastAsia="zh-CN"/>
        </w:rPr>
        <w:t>，</w:t>
      </w:r>
      <w:r>
        <w:rPr>
          <w:rFonts w:hint="eastAsia" w:ascii="仿宋_GB2312" w:eastAsia="仿宋_GB2312" w:cs="仿宋_GB2312"/>
          <w:color w:val="auto"/>
          <w:sz w:val="32"/>
          <w:szCs w:val="32"/>
        </w:rPr>
        <w:t>防范财务风险</w:t>
      </w:r>
      <w:r>
        <w:rPr>
          <w:rFonts w:hint="eastAsia" w:ascii="仿宋_GB2312" w:eastAsia="仿宋_GB2312" w:cs="仿宋_GB2312"/>
          <w:color w:val="auto"/>
          <w:sz w:val="32"/>
          <w:szCs w:val="32"/>
          <w:lang w:eastAsia="zh-CN"/>
        </w:rPr>
        <w:t>。</w:t>
      </w:r>
    </w:p>
    <w:p w14:paraId="69A5A9E2">
      <w:pPr>
        <w:spacing w:line="590" w:lineRule="exact"/>
        <w:ind w:firstLine="660" w:firstLineChars="200"/>
        <w:contextualSpacing/>
        <w:rPr>
          <w:rFonts w:hint="eastAsia" w:eastAsia="楷体_GB2312" w:cs="楷体_GB2312"/>
          <w:color w:val="000000"/>
          <w:kern w:val="0"/>
          <w:sz w:val="33"/>
          <w:szCs w:val="33"/>
          <w:shd w:val="clear" w:color="auto" w:fill="FFFFFF"/>
          <w:lang w:val="zh-CN"/>
        </w:rPr>
      </w:pPr>
      <w:r>
        <w:rPr>
          <w:rFonts w:hint="eastAsia" w:eastAsia="楷体_GB2312" w:cs="楷体_GB2312"/>
          <w:color w:val="000000"/>
          <w:kern w:val="0"/>
          <w:sz w:val="33"/>
          <w:szCs w:val="33"/>
          <w:shd w:val="clear" w:color="auto" w:fill="FFFFFF"/>
        </w:rPr>
        <w:t>4.</w:t>
      </w:r>
      <w:r>
        <w:rPr>
          <w:rFonts w:eastAsia="楷体_GB2312" w:cs="楷体_GB2312"/>
          <w:color w:val="000000"/>
          <w:kern w:val="0"/>
          <w:sz w:val="33"/>
          <w:szCs w:val="33"/>
          <w:shd w:val="clear" w:color="auto" w:fill="FFFFFF"/>
          <w:lang w:val="zh-CN"/>
        </w:rPr>
        <w:t>资产管理</w:t>
      </w:r>
      <w:r>
        <w:rPr>
          <w:rFonts w:hint="eastAsia" w:eastAsia="楷体_GB2312" w:cs="楷体_GB2312"/>
          <w:color w:val="000000"/>
          <w:kern w:val="0"/>
          <w:sz w:val="33"/>
          <w:szCs w:val="33"/>
          <w:shd w:val="clear" w:color="auto" w:fill="FFFFFF"/>
          <w:lang w:val="zh-CN"/>
        </w:rPr>
        <w:t>。</w:t>
      </w:r>
    </w:p>
    <w:p w14:paraId="4EFD52C3">
      <w:pPr>
        <w:spacing w:line="590" w:lineRule="exact"/>
        <w:ind w:firstLine="640" w:firstLineChars="200"/>
        <w:contextualSpacing/>
        <w:rPr>
          <w:rFonts w:hint="eastAsia" w:ascii="仿宋_GB2312" w:hAnsi="Times New Roman" w:eastAsia="仿宋_GB2312" w:cs="仿宋_GB2312"/>
          <w:color w:val="auto"/>
          <w:sz w:val="32"/>
          <w:szCs w:val="32"/>
        </w:rPr>
      </w:pPr>
      <w:r>
        <w:rPr>
          <w:rFonts w:hint="eastAsia" w:ascii="仿宋_GB2312" w:hAnsi="Times New Roman" w:eastAsia="仿宋_GB2312" w:cs="仿宋_GB2312"/>
          <w:color w:val="auto"/>
          <w:sz w:val="32"/>
          <w:szCs w:val="32"/>
        </w:rPr>
        <w:t>自评得分</w:t>
      </w:r>
      <w:r>
        <w:rPr>
          <w:rFonts w:hint="eastAsia" w:ascii="仿宋_GB2312" w:eastAsia="仿宋_GB2312" w:cs="仿宋_GB2312"/>
          <w:color w:val="auto"/>
          <w:sz w:val="32"/>
          <w:szCs w:val="32"/>
          <w:lang w:val="en-US" w:eastAsia="zh-CN"/>
        </w:rPr>
        <w:t>8</w:t>
      </w:r>
      <w:r>
        <w:rPr>
          <w:rFonts w:hint="eastAsia" w:ascii="仿宋_GB2312" w:hAnsi="Times New Roman" w:eastAsia="仿宋_GB2312" w:cs="仿宋_GB2312"/>
          <w:color w:val="auto"/>
          <w:sz w:val="32"/>
          <w:szCs w:val="32"/>
        </w:rPr>
        <w:t>分。</w:t>
      </w:r>
      <w:r>
        <w:rPr>
          <w:rFonts w:eastAsia="仿宋_GB2312"/>
          <w:color w:val="000000"/>
          <w:sz w:val="32"/>
          <w:szCs w:val="32"/>
        </w:rPr>
        <w:t>资产管理坚持</w:t>
      </w:r>
      <w:r>
        <w:rPr>
          <w:rFonts w:hint="eastAsia" w:eastAsia="仿宋_GB2312"/>
          <w:color w:val="000000"/>
          <w:sz w:val="32"/>
          <w:szCs w:val="32"/>
        </w:rPr>
        <w:t>“</w:t>
      </w:r>
      <w:r>
        <w:rPr>
          <w:rFonts w:eastAsia="仿宋_GB2312"/>
          <w:color w:val="000000"/>
          <w:sz w:val="32"/>
          <w:szCs w:val="32"/>
        </w:rPr>
        <w:t>依法管产</w:t>
      </w:r>
      <w:r>
        <w:rPr>
          <w:rFonts w:hint="eastAsia" w:eastAsia="仿宋_GB2312"/>
          <w:color w:val="000000"/>
          <w:sz w:val="32"/>
          <w:szCs w:val="32"/>
        </w:rPr>
        <w:t>”</w:t>
      </w:r>
      <w:r>
        <w:rPr>
          <w:rFonts w:eastAsia="仿宋_GB2312"/>
          <w:color w:val="000000"/>
          <w:sz w:val="32"/>
          <w:szCs w:val="32"/>
        </w:rPr>
        <w:t>的原则，实行</w:t>
      </w:r>
      <w:r>
        <w:rPr>
          <w:rFonts w:hint="eastAsia" w:eastAsia="仿宋_GB2312"/>
          <w:color w:val="000000"/>
          <w:sz w:val="32"/>
          <w:szCs w:val="32"/>
        </w:rPr>
        <w:t>“</w:t>
      </w:r>
      <w:r>
        <w:rPr>
          <w:rFonts w:eastAsia="仿宋_GB2312"/>
          <w:color w:val="000000"/>
          <w:sz w:val="32"/>
          <w:szCs w:val="32"/>
        </w:rPr>
        <w:t>统一领导，归口管理，分级负责，责任到人，加强监督</w:t>
      </w:r>
      <w:r>
        <w:rPr>
          <w:rFonts w:hint="eastAsia" w:eastAsia="仿宋_GB2312"/>
          <w:color w:val="000000"/>
          <w:sz w:val="32"/>
          <w:szCs w:val="32"/>
        </w:rPr>
        <w:t>”</w:t>
      </w:r>
      <w:r>
        <w:rPr>
          <w:rFonts w:eastAsia="仿宋_GB2312"/>
          <w:color w:val="000000"/>
          <w:sz w:val="32"/>
          <w:szCs w:val="32"/>
        </w:rPr>
        <w:t>的管理办法。各</w:t>
      </w:r>
      <w:r>
        <w:rPr>
          <w:rFonts w:eastAsia="仿宋_GB2312"/>
          <w:sz w:val="32"/>
          <w:szCs w:val="32"/>
        </w:rPr>
        <w:t>股室</w:t>
      </w:r>
      <w:r>
        <w:rPr>
          <w:rFonts w:eastAsia="仿宋_GB2312"/>
          <w:color w:val="000000"/>
          <w:sz w:val="32"/>
          <w:szCs w:val="32"/>
        </w:rPr>
        <w:t>认真做好资产的日常管理工作，对配置到</w:t>
      </w:r>
      <w:r>
        <w:rPr>
          <w:rFonts w:eastAsia="仿宋_GB2312"/>
          <w:sz w:val="32"/>
          <w:szCs w:val="32"/>
        </w:rPr>
        <w:t>股室</w:t>
      </w:r>
      <w:r>
        <w:rPr>
          <w:rFonts w:eastAsia="仿宋_GB2312"/>
          <w:color w:val="000000"/>
          <w:sz w:val="32"/>
          <w:szCs w:val="32"/>
        </w:rPr>
        <w:t>的资产，按照“谁使用、谁保管、谁负责”的原则，建立资产管理责任制，将资产管理的责任落实到人</w:t>
      </w:r>
      <w:r>
        <w:rPr>
          <w:rFonts w:hint="eastAsia" w:eastAsia="仿宋_GB2312"/>
          <w:color w:val="000000"/>
          <w:sz w:val="32"/>
          <w:szCs w:val="32"/>
          <w:lang w:eastAsia="zh-CN"/>
        </w:rPr>
        <w:t>。</w:t>
      </w:r>
      <w:r>
        <w:rPr>
          <w:rFonts w:hint="eastAsia" w:ascii="仿宋_GB2312" w:eastAsia="仿宋_GB2312" w:cs="仿宋_GB2312"/>
          <w:color w:val="auto"/>
          <w:sz w:val="32"/>
          <w:szCs w:val="32"/>
          <w:lang w:val="en-US" w:eastAsia="zh-CN"/>
        </w:rPr>
        <w:t>2025年度对达到报废期限无法正常使用的办公设备进行资产处置，处置费用足额缴纳财政。</w:t>
      </w:r>
    </w:p>
    <w:p w14:paraId="7932DF3B">
      <w:pPr>
        <w:spacing w:line="590" w:lineRule="exact"/>
        <w:ind w:firstLine="660" w:firstLineChars="200"/>
        <w:contextualSpacing/>
        <w:rPr>
          <w:rFonts w:hint="eastAsia" w:eastAsia="楷体_GB2312" w:cs="楷体_GB2312"/>
          <w:color w:val="000000"/>
          <w:kern w:val="0"/>
          <w:sz w:val="33"/>
          <w:szCs w:val="33"/>
          <w:shd w:val="clear" w:color="auto" w:fill="FFFFFF"/>
          <w:lang w:val="zh-CN"/>
        </w:rPr>
      </w:pPr>
      <w:r>
        <w:rPr>
          <w:rFonts w:hint="eastAsia" w:eastAsia="楷体_GB2312" w:cs="楷体_GB2312"/>
          <w:color w:val="000000"/>
          <w:kern w:val="0"/>
          <w:sz w:val="33"/>
          <w:szCs w:val="33"/>
          <w:shd w:val="clear" w:color="auto" w:fill="FFFFFF"/>
        </w:rPr>
        <w:t>5.</w:t>
      </w:r>
      <w:r>
        <w:rPr>
          <w:rFonts w:eastAsia="楷体_GB2312" w:cs="楷体_GB2312"/>
          <w:color w:val="000000"/>
          <w:kern w:val="0"/>
          <w:sz w:val="33"/>
          <w:szCs w:val="33"/>
          <w:shd w:val="clear" w:color="auto" w:fill="FFFFFF"/>
          <w:lang w:val="zh-CN"/>
        </w:rPr>
        <w:t>采购管理</w:t>
      </w:r>
      <w:r>
        <w:rPr>
          <w:rFonts w:hint="eastAsia" w:eastAsia="楷体_GB2312" w:cs="楷体_GB2312"/>
          <w:color w:val="000000"/>
          <w:kern w:val="0"/>
          <w:sz w:val="33"/>
          <w:szCs w:val="33"/>
          <w:shd w:val="clear" w:color="auto" w:fill="FFFFFF"/>
          <w:lang w:val="zh-CN"/>
        </w:rPr>
        <w:t>。</w:t>
      </w:r>
    </w:p>
    <w:p w14:paraId="5FEFEA22">
      <w:pPr>
        <w:spacing w:line="590" w:lineRule="exact"/>
        <w:ind w:firstLine="640" w:firstLineChars="200"/>
        <w:contextualSpacing/>
        <w:rPr>
          <w:rFonts w:hint="default" w:eastAsia="仿宋_GB2312" w:cs="楷体_GB2312"/>
          <w:color w:val="000000"/>
          <w:kern w:val="0"/>
          <w:sz w:val="33"/>
          <w:szCs w:val="33"/>
          <w:shd w:val="clear" w:color="auto" w:fill="FFFFFF"/>
          <w:lang w:val="en-US" w:eastAsia="zh-CN"/>
        </w:rPr>
      </w:pPr>
      <w:r>
        <w:rPr>
          <w:rFonts w:hint="eastAsia" w:ascii="仿宋_GB2312" w:hAnsi="Times New Roman" w:eastAsia="仿宋_GB2312" w:cs="仿宋_GB2312"/>
          <w:color w:val="auto"/>
          <w:sz w:val="32"/>
          <w:szCs w:val="32"/>
        </w:rPr>
        <w:t>自评得分</w:t>
      </w:r>
      <w:r>
        <w:rPr>
          <w:rFonts w:hint="eastAsia" w:eastAsia="仿宋_GB2312" w:cs="Times New Roman"/>
          <w:color w:val="auto"/>
          <w:sz w:val="32"/>
          <w:szCs w:val="32"/>
          <w:lang w:val="en-US" w:eastAsia="zh-CN"/>
        </w:rPr>
        <w:t>3</w:t>
      </w:r>
      <w:r>
        <w:rPr>
          <w:rFonts w:hint="eastAsia" w:ascii="仿宋_GB2312" w:hAnsi="Times New Roman" w:eastAsia="仿宋_GB2312" w:cs="仿宋_GB2312"/>
          <w:color w:val="auto"/>
          <w:sz w:val="32"/>
          <w:szCs w:val="32"/>
        </w:rPr>
        <w:t>分。</w:t>
      </w:r>
      <w:r>
        <w:rPr>
          <w:rFonts w:hint="eastAsia" w:ascii="Times New Roman" w:hAnsi="Times New Roman" w:eastAsia="仿宋_GB2312" w:cs="Times New Roman"/>
          <w:color w:val="auto"/>
          <w:sz w:val="32"/>
          <w:szCs w:val="32"/>
        </w:rPr>
        <w:t>严格按照四川省政府集中采购目录及标准（2024年版）文件要求执行，根据不同的目录及标准选取合法合规的采购流程及采购方式，规范采购行为，提高财政资金效率</w:t>
      </w:r>
      <w:r>
        <w:rPr>
          <w:rFonts w:hint="eastAsia" w:eastAsia="仿宋_GB2312" w:cs="Times New Roman"/>
          <w:color w:val="auto"/>
          <w:sz w:val="32"/>
          <w:szCs w:val="32"/>
          <w:lang w:eastAsia="zh-CN"/>
        </w:rPr>
        <w:t>。</w:t>
      </w:r>
      <w:r>
        <w:rPr>
          <w:rFonts w:hint="eastAsia" w:eastAsia="仿宋_GB2312"/>
          <w:color w:val="000000"/>
          <w:kern w:val="0"/>
          <w:sz w:val="33"/>
          <w:szCs w:val="33"/>
          <w:shd w:val="clear" w:color="auto" w:fill="FFFFFF"/>
          <w:lang w:val="zh-CN"/>
        </w:rPr>
        <w:t>202</w:t>
      </w:r>
      <w:r>
        <w:rPr>
          <w:rFonts w:hint="eastAsia" w:eastAsia="仿宋_GB2312"/>
          <w:color w:val="000000"/>
          <w:kern w:val="0"/>
          <w:sz w:val="33"/>
          <w:szCs w:val="33"/>
          <w:shd w:val="clear" w:color="auto" w:fill="FFFFFF"/>
          <w:lang w:val="en-US" w:eastAsia="zh-CN"/>
        </w:rPr>
        <w:t>5</w:t>
      </w:r>
      <w:r>
        <w:rPr>
          <w:rFonts w:hint="eastAsia" w:eastAsia="仿宋_GB2312"/>
          <w:color w:val="000000"/>
          <w:kern w:val="0"/>
          <w:sz w:val="33"/>
          <w:szCs w:val="33"/>
          <w:shd w:val="clear" w:color="auto" w:fill="FFFFFF"/>
          <w:lang w:val="zh-CN"/>
        </w:rPr>
        <w:t>年，自然资源局</w:t>
      </w:r>
      <w:r>
        <w:rPr>
          <w:rFonts w:hint="eastAsia" w:eastAsia="仿宋_GB2312"/>
          <w:color w:val="000000"/>
          <w:kern w:val="0"/>
          <w:sz w:val="33"/>
          <w:szCs w:val="33"/>
          <w:shd w:val="clear" w:color="auto" w:fill="FFFFFF"/>
          <w:lang w:val="zh-CN" w:eastAsia="zh-CN"/>
        </w:rPr>
        <w:t>无政府采购项目支出</w:t>
      </w:r>
      <w:r>
        <w:rPr>
          <w:rFonts w:hint="eastAsia" w:eastAsia="仿宋_GB2312"/>
          <w:color w:val="000000"/>
          <w:kern w:val="0"/>
          <w:sz w:val="33"/>
          <w:szCs w:val="33"/>
          <w:shd w:val="clear" w:color="auto" w:fill="FFFFFF"/>
          <w:lang w:val="en-US" w:eastAsia="zh-CN"/>
        </w:rPr>
        <w:t>。</w:t>
      </w:r>
    </w:p>
    <w:p w14:paraId="74B8C801">
      <w:pPr>
        <w:widowControl/>
        <w:spacing w:line="590" w:lineRule="exact"/>
        <w:ind w:firstLine="663" w:firstLineChars="200"/>
        <w:contextualSpacing/>
        <w:rPr>
          <w:rFonts w:hint="eastAsia" w:eastAsia="仿宋_GB2312"/>
          <w:color w:val="000000"/>
          <w:kern w:val="0"/>
          <w:sz w:val="33"/>
          <w:szCs w:val="33"/>
          <w:shd w:val="clear" w:color="auto" w:fill="FFFFFF"/>
        </w:rPr>
      </w:pPr>
      <w:r>
        <w:rPr>
          <w:rFonts w:eastAsia="楷体_GB2312"/>
          <w:b/>
          <w:bCs/>
          <w:color w:val="000000"/>
          <w:kern w:val="0"/>
          <w:sz w:val="33"/>
          <w:szCs w:val="33"/>
          <w:shd w:val="clear" w:color="auto" w:fill="FFFFFF"/>
          <w:lang w:val="zh-CN"/>
        </w:rPr>
        <w:t>（二）部门预算项目绩效分析。</w:t>
      </w:r>
    </w:p>
    <w:p w14:paraId="1E534CA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60" w:firstLineChars="200"/>
        <w:contextualSpacing/>
        <w:jc w:val="left"/>
        <w:textAlignment w:val="auto"/>
        <w:outlineLvl w:val="9"/>
        <w:rPr>
          <w:rFonts w:eastAsia="仿宋_GB2312"/>
          <w:color w:val="000000"/>
          <w:kern w:val="0"/>
          <w:sz w:val="33"/>
          <w:szCs w:val="33"/>
          <w:shd w:val="clear" w:color="auto" w:fill="FFFFFF"/>
        </w:rPr>
      </w:pPr>
      <w:r>
        <w:rPr>
          <w:rFonts w:hint="eastAsia" w:eastAsia="仿宋_GB2312"/>
          <w:color w:val="000000"/>
          <w:kern w:val="0"/>
          <w:sz w:val="33"/>
          <w:szCs w:val="33"/>
          <w:shd w:val="clear" w:color="auto" w:fill="FFFFFF"/>
        </w:rPr>
        <w:t>202</w:t>
      </w:r>
      <w:r>
        <w:rPr>
          <w:rFonts w:hint="eastAsia" w:eastAsia="仿宋_GB2312"/>
          <w:color w:val="000000"/>
          <w:kern w:val="0"/>
          <w:sz w:val="33"/>
          <w:szCs w:val="33"/>
          <w:shd w:val="clear" w:color="auto" w:fill="FFFFFF"/>
          <w:lang w:val="en-US" w:eastAsia="zh-CN"/>
        </w:rPr>
        <w:t>5</w:t>
      </w:r>
      <w:r>
        <w:rPr>
          <w:rFonts w:hint="eastAsia" w:eastAsia="仿宋_GB2312"/>
          <w:color w:val="000000"/>
          <w:kern w:val="0"/>
          <w:sz w:val="33"/>
          <w:szCs w:val="33"/>
          <w:shd w:val="clear" w:color="auto" w:fill="FFFFFF"/>
        </w:rPr>
        <w:t>年，全</w:t>
      </w:r>
      <w:r>
        <w:rPr>
          <w:rFonts w:hint="eastAsia" w:eastAsia="仿宋_GB2312"/>
          <w:color w:val="000000"/>
          <w:kern w:val="0"/>
          <w:sz w:val="33"/>
          <w:szCs w:val="33"/>
          <w:shd w:val="clear" w:color="auto" w:fill="FFFFFF"/>
          <w:lang w:eastAsia="zh-CN"/>
        </w:rPr>
        <w:t>局</w:t>
      </w:r>
      <w:r>
        <w:rPr>
          <w:rFonts w:hint="eastAsia" w:eastAsia="仿宋_GB2312"/>
          <w:color w:val="000000"/>
          <w:kern w:val="0"/>
          <w:sz w:val="33"/>
          <w:szCs w:val="33"/>
          <w:shd w:val="clear" w:color="auto" w:fill="FFFFFF"/>
        </w:rPr>
        <w:t>常年项目</w:t>
      </w:r>
      <w:r>
        <w:rPr>
          <w:rFonts w:hint="eastAsia" w:eastAsia="仿宋_GB2312"/>
          <w:color w:val="000000"/>
          <w:kern w:val="0"/>
          <w:sz w:val="33"/>
          <w:szCs w:val="33"/>
          <w:shd w:val="clear" w:color="auto" w:fill="FFFFFF"/>
          <w:lang w:eastAsia="zh-CN"/>
        </w:rPr>
        <w:t>（含一次性项目）</w:t>
      </w:r>
      <w:r>
        <w:rPr>
          <w:rFonts w:hint="eastAsia" w:eastAsia="仿宋_GB2312"/>
          <w:color w:val="000000"/>
          <w:kern w:val="0"/>
          <w:sz w:val="33"/>
          <w:szCs w:val="33"/>
          <w:shd w:val="clear" w:color="auto" w:fill="FFFFFF"/>
        </w:rPr>
        <w:t>总数</w:t>
      </w:r>
      <w:r>
        <w:rPr>
          <w:rFonts w:hint="eastAsia" w:eastAsia="仿宋_GB2312"/>
          <w:color w:val="000000"/>
          <w:kern w:val="0"/>
          <w:sz w:val="33"/>
          <w:szCs w:val="33"/>
          <w:shd w:val="clear" w:color="auto" w:fill="FFFFFF"/>
          <w:lang w:val="en-US" w:eastAsia="zh-CN"/>
        </w:rPr>
        <w:t>17</w:t>
      </w:r>
      <w:r>
        <w:rPr>
          <w:rFonts w:hint="eastAsia" w:eastAsia="仿宋_GB2312"/>
          <w:color w:val="000000"/>
          <w:kern w:val="0"/>
          <w:sz w:val="33"/>
          <w:szCs w:val="33"/>
          <w:shd w:val="clear" w:color="auto" w:fill="FFFFFF"/>
        </w:rPr>
        <w:t>个，涉及预算总金额</w:t>
      </w:r>
      <w:r>
        <w:rPr>
          <w:rFonts w:hint="eastAsia" w:eastAsia="仿宋_GB2312"/>
          <w:color w:val="000000"/>
          <w:kern w:val="0"/>
          <w:sz w:val="33"/>
          <w:szCs w:val="33"/>
          <w:shd w:val="clear" w:color="auto" w:fill="FFFFFF"/>
          <w:lang w:val="en-US" w:eastAsia="zh-CN"/>
        </w:rPr>
        <w:t>17205.98</w:t>
      </w:r>
      <w:r>
        <w:rPr>
          <w:rFonts w:hint="eastAsia" w:eastAsia="仿宋_GB2312"/>
          <w:color w:val="000000"/>
          <w:kern w:val="0"/>
          <w:sz w:val="33"/>
          <w:szCs w:val="33"/>
          <w:shd w:val="clear" w:color="auto" w:fill="FFFFFF"/>
        </w:rPr>
        <w:t>万元，</w:t>
      </w:r>
      <w:r>
        <w:rPr>
          <w:rFonts w:hint="eastAsia" w:eastAsia="仿宋_GB2312"/>
          <w:color w:val="000000"/>
          <w:kern w:val="0"/>
          <w:sz w:val="33"/>
          <w:szCs w:val="33"/>
          <w:shd w:val="clear" w:color="auto" w:fill="FFFFFF"/>
          <w:lang w:eastAsia="zh-CN"/>
        </w:rPr>
        <w:t>预算执行数</w:t>
      </w:r>
      <w:r>
        <w:rPr>
          <w:rFonts w:hint="eastAsia" w:eastAsia="仿宋_GB2312"/>
          <w:color w:val="000000"/>
          <w:kern w:val="0"/>
          <w:sz w:val="33"/>
          <w:szCs w:val="33"/>
          <w:shd w:val="clear" w:color="auto" w:fill="FFFFFF"/>
          <w:lang w:val="en-US" w:eastAsia="zh-CN"/>
        </w:rPr>
        <w:t>14226.88万元，</w:t>
      </w:r>
      <w:r>
        <w:rPr>
          <w:rFonts w:hint="eastAsia" w:eastAsia="仿宋_GB2312"/>
          <w:color w:val="000000"/>
          <w:kern w:val="0"/>
          <w:sz w:val="33"/>
          <w:szCs w:val="33"/>
          <w:shd w:val="clear" w:color="auto" w:fill="FFFFFF"/>
        </w:rPr>
        <w:t>1—12月预算执行总体进度为</w:t>
      </w:r>
      <w:r>
        <w:rPr>
          <w:rFonts w:hint="eastAsia" w:eastAsia="仿宋_GB2312"/>
          <w:color w:val="000000"/>
          <w:kern w:val="0"/>
          <w:sz w:val="33"/>
          <w:szCs w:val="33"/>
          <w:shd w:val="clear" w:color="auto" w:fill="FFFFFF"/>
          <w:lang w:val="en-US" w:eastAsia="zh-CN"/>
        </w:rPr>
        <w:t>82.69</w:t>
      </w:r>
      <w:r>
        <w:rPr>
          <w:rFonts w:hint="eastAsia" w:eastAsia="仿宋_GB2312"/>
          <w:color w:val="000000"/>
          <w:kern w:val="0"/>
          <w:sz w:val="33"/>
          <w:szCs w:val="33"/>
          <w:shd w:val="clear" w:color="auto" w:fill="FFFFFF"/>
        </w:rPr>
        <w:t>%</w:t>
      </w:r>
      <w:r>
        <w:rPr>
          <w:rFonts w:hint="eastAsia" w:eastAsia="仿宋_GB2312"/>
          <w:color w:val="000000"/>
          <w:kern w:val="0"/>
          <w:sz w:val="33"/>
          <w:szCs w:val="33"/>
          <w:shd w:val="clear" w:color="auto" w:fill="FFFFFF"/>
          <w:lang w:val="en-US" w:eastAsia="zh-CN"/>
        </w:rPr>
        <w:t>。</w:t>
      </w:r>
      <w:r>
        <w:rPr>
          <w:rFonts w:hint="eastAsia" w:eastAsia="仿宋_GB2312"/>
          <w:color w:val="000000"/>
          <w:kern w:val="0"/>
          <w:sz w:val="33"/>
          <w:szCs w:val="33"/>
          <w:shd w:val="clear" w:color="auto" w:fill="FFFFFF"/>
        </w:rPr>
        <w:t xml:space="preserve"> </w:t>
      </w:r>
      <w:r>
        <w:rPr>
          <w:rFonts w:hint="eastAsia" w:ascii="仿宋_GB2312" w:hAnsi="Times New Roman" w:eastAsia="仿宋_GB2312" w:cs="仿宋_GB2312"/>
          <w:color w:val="auto"/>
          <w:sz w:val="32"/>
          <w:szCs w:val="32"/>
        </w:rPr>
        <w:t>其中：预</w:t>
      </w:r>
      <w:r>
        <w:rPr>
          <w:rFonts w:hint="eastAsia" w:ascii="仿宋_GB2312" w:eastAsia="仿宋_GB2312" w:cs="仿宋_GB2312"/>
          <w:color w:val="auto"/>
          <w:sz w:val="32"/>
          <w:szCs w:val="32"/>
        </w:rPr>
        <w:t>算结余率大于</w:t>
      </w:r>
      <w:r>
        <w:rPr>
          <w:rFonts w:ascii="Times New Roman" w:hAnsi="Times New Roman" w:eastAsia="仿宋_GB2312" w:cs="Times New Roman"/>
          <w:color w:val="auto"/>
          <w:sz w:val="32"/>
          <w:szCs w:val="32"/>
        </w:rPr>
        <w:t>10%</w:t>
      </w:r>
      <w:r>
        <w:rPr>
          <w:rFonts w:hint="eastAsia" w:ascii="仿宋_GB2312" w:hAnsi="Times New Roman" w:eastAsia="仿宋_GB2312" w:cs="仿宋_GB2312"/>
          <w:color w:val="auto"/>
          <w:sz w:val="32"/>
          <w:szCs w:val="32"/>
        </w:rPr>
        <w:t>的项目</w:t>
      </w:r>
      <w:r>
        <w:rPr>
          <w:rFonts w:hint="eastAsia" w:eastAsia="仿宋_GB2312" w:cs="Times New Roman"/>
          <w:color w:val="auto"/>
          <w:sz w:val="32"/>
          <w:szCs w:val="32"/>
          <w:lang w:val="en-US" w:eastAsia="zh-CN"/>
        </w:rPr>
        <w:t>4</w:t>
      </w:r>
      <w:r>
        <w:rPr>
          <w:rFonts w:hint="eastAsia" w:ascii="仿宋_GB2312" w:hAnsi="Times New Roman" w:eastAsia="仿宋_GB2312" w:cs="仿宋_GB2312"/>
          <w:color w:val="auto"/>
          <w:sz w:val="32"/>
          <w:szCs w:val="32"/>
        </w:rPr>
        <w:t>个。</w:t>
      </w:r>
      <w:r>
        <w:rPr>
          <w:rFonts w:ascii="仿宋_GB2312" w:hAnsi="Times New Roman" w:eastAsia="仿宋_GB2312" w:cs="仿宋_GB2312"/>
          <w:color w:val="auto"/>
          <w:sz w:val="32"/>
          <w:szCs w:val="32"/>
        </w:rPr>
        <w:t xml:space="preserve"> </w:t>
      </w:r>
    </w:p>
    <w:p w14:paraId="247D0944">
      <w:pPr>
        <w:spacing w:line="590" w:lineRule="exact"/>
        <w:ind w:firstLine="660" w:firstLineChars="200"/>
        <w:contextualSpacing/>
        <w:rPr>
          <w:rFonts w:hint="eastAsia" w:eastAsia="仿宋_GB2312"/>
          <w:color w:val="000000"/>
          <w:kern w:val="0"/>
          <w:sz w:val="33"/>
          <w:szCs w:val="33"/>
          <w:shd w:val="clear" w:color="auto" w:fill="FFFFFF"/>
          <w:lang w:val="zh-CN"/>
        </w:rPr>
      </w:pPr>
      <w:r>
        <w:rPr>
          <w:rFonts w:hint="eastAsia" w:eastAsia="楷体_GB2312" w:cs="楷体_GB2312"/>
          <w:color w:val="000000"/>
          <w:kern w:val="0"/>
          <w:sz w:val="33"/>
          <w:szCs w:val="33"/>
          <w:shd w:val="clear" w:color="auto" w:fill="FFFFFF"/>
        </w:rPr>
        <w:t>1.</w:t>
      </w:r>
      <w:r>
        <w:rPr>
          <w:rFonts w:hint="eastAsia" w:eastAsia="楷体_GB2312" w:cs="楷体_GB2312"/>
          <w:color w:val="000000"/>
          <w:kern w:val="0"/>
          <w:sz w:val="33"/>
          <w:szCs w:val="33"/>
          <w:shd w:val="clear" w:color="auto" w:fill="FFFFFF"/>
          <w:lang w:val="zh-CN"/>
        </w:rPr>
        <w:t>项目决策</w:t>
      </w:r>
    </w:p>
    <w:p w14:paraId="39DC6E72">
      <w:pPr>
        <w:spacing w:line="590" w:lineRule="exact"/>
        <w:ind w:firstLine="640" w:firstLineChars="200"/>
        <w:contextualSpacing/>
        <w:rPr>
          <w:rFonts w:eastAsia="楷体_GB2312" w:cs="楷体_GB2312"/>
          <w:color w:val="000000"/>
          <w:kern w:val="0"/>
          <w:sz w:val="33"/>
          <w:szCs w:val="33"/>
          <w:shd w:val="clear" w:color="auto" w:fill="FFFFFF"/>
          <w:lang w:val="zh-CN"/>
        </w:rPr>
      </w:pPr>
      <w:r>
        <w:rPr>
          <w:rFonts w:hint="eastAsia" w:ascii="楷体_GB2312" w:hAnsi="Times New Roman" w:eastAsia="楷体_GB2312" w:cs="楷体_GB2312"/>
          <w:color w:val="auto"/>
          <w:sz w:val="32"/>
          <w:szCs w:val="32"/>
        </w:rPr>
        <w:t>自评得分</w:t>
      </w:r>
      <w:r>
        <w:rPr>
          <w:rFonts w:ascii="Times New Roman" w:hAnsi="Times New Roman" w:eastAsia="楷体_GB2312" w:cs="Times New Roman"/>
          <w:color w:val="auto"/>
          <w:sz w:val="32"/>
          <w:szCs w:val="32"/>
        </w:rPr>
        <w:t>12</w:t>
      </w:r>
      <w:r>
        <w:rPr>
          <w:rFonts w:hint="eastAsia" w:ascii="楷体_GB2312" w:hAnsi="Times New Roman" w:eastAsia="楷体_GB2312" w:cs="楷体_GB2312"/>
          <w:color w:val="auto"/>
          <w:sz w:val="32"/>
          <w:szCs w:val="32"/>
        </w:rPr>
        <w:t>分。</w:t>
      </w:r>
      <w:r>
        <w:rPr>
          <w:rFonts w:hint="eastAsia" w:ascii="楷体_GB2312" w:hAnsi="Times New Roman" w:eastAsia="楷体_GB2312" w:cs="楷体_GB2312"/>
          <w:color w:val="auto"/>
          <w:sz w:val="32"/>
          <w:szCs w:val="32"/>
          <w:lang w:val="en-US" w:eastAsia="zh-CN"/>
        </w:rPr>
        <w:t>2</w:t>
      </w:r>
      <w:r>
        <w:rPr>
          <w:rFonts w:hint="eastAsia" w:eastAsia="仿宋_GB2312"/>
          <w:color w:val="000000"/>
          <w:kern w:val="0"/>
          <w:sz w:val="33"/>
          <w:szCs w:val="33"/>
          <w:shd w:val="clear" w:color="auto" w:fill="FFFFFF"/>
          <w:lang w:val="zh-CN"/>
        </w:rPr>
        <w:t>02</w:t>
      </w:r>
      <w:r>
        <w:rPr>
          <w:rFonts w:hint="eastAsia" w:eastAsia="仿宋_GB2312"/>
          <w:color w:val="000000"/>
          <w:kern w:val="0"/>
          <w:sz w:val="33"/>
          <w:szCs w:val="33"/>
          <w:shd w:val="clear" w:color="auto" w:fill="FFFFFF"/>
          <w:lang w:val="en-US" w:eastAsia="zh-CN"/>
        </w:rPr>
        <w:t>5</w:t>
      </w:r>
      <w:r>
        <w:rPr>
          <w:rFonts w:hint="eastAsia" w:eastAsia="仿宋_GB2312"/>
          <w:color w:val="000000"/>
          <w:kern w:val="0"/>
          <w:sz w:val="33"/>
          <w:szCs w:val="33"/>
          <w:shd w:val="clear" w:color="auto" w:fill="FFFFFF"/>
          <w:lang w:val="zh-CN"/>
        </w:rPr>
        <w:t>年年初预算安排阶段项目（含一次性项目）</w:t>
      </w:r>
      <w:r>
        <w:rPr>
          <w:rFonts w:hint="eastAsia" w:eastAsia="仿宋_GB2312"/>
          <w:color w:val="000000"/>
          <w:kern w:val="0"/>
          <w:sz w:val="33"/>
          <w:szCs w:val="33"/>
          <w:shd w:val="clear" w:color="auto" w:fill="FFFFFF"/>
          <w:lang w:val="en-US" w:eastAsia="zh-CN"/>
        </w:rPr>
        <w:t>11</w:t>
      </w:r>
      <w:r>
        <w:rPr>
          <w:rFonts w:hint="eastAsia" w:eastAsia="仿宋_GB2312"/>
          <w:color w:val="000000"/>
          <w:kern w:val="0"/>
          <w:sz w:val="33"/>
          <w:szCs w:val="33"/>
          <w:shd w:val="clear" w:color="auto" w:fill="FFFFFF"/>
          <w:lang w:val="zh-CN"/>
        </w:rPr>
        <w:t>个（</w:t>
      </w:r>
      <w:r>
        <w:rPr>
          <w:rFonts w:hint="eastAsia" w:eastAsia="仿宋_GB2312"/>
          <w:color w:val="000000"/>
          <w:kern w:val="0"/>
          <w:sz w:val="33"/>
          <w:szCs w:val="33"/>
          <w:shd w:val="clear" w:color="auto" w:fill="FFFFFF"/>
          <w:lang w:val="en-US" w:eastAsia="zh-CN"/>
        </w:rPr>
        <w:t>含结转预算项目）</w:t>
      </w:r>
      <w:r>
        <w:rPr>
          <w:rFonts w:hint="eastAsia" w:eastAsia="仿宋_GB2312"/>
          <w:color w:val="000000"/>
          <w:kern w:val="0"/>
          <w:sz w:val="33"/>
          <w:szCs w:val="33"/>
          <w:shd w:val="clear" w:color="auto" w:fill="FFFFFF"/>
          <w:lang w:val="zh-CN"/>
        </w:rPr>
        <w:t>，所有项目均开展事前评估。202</w:t>
      </w:r>
      <w:r>
        <w:rPr>
          <w:rFonts w:hint="eastAsia" w:eastAsia="仿宋_GB2312"/>
          <w:color w:val="000000"/>
          <w:kern w:val="0"/>
          <w:sz w:val="33"/>
          <w:szCs w:val="33"/>
          <w:shd w:val="clear" w:color="auto" w:fill="FFFFFF"/>
          <w:lang w:val="en-US" w:eastAsia="zh-CN"/>
        </w:rPr>
        <w:t>5</w:t>
      </w:r>
      <w:r>
        <w:rPr>
          <w:rFonts w:hint="eastAsia" w:eastAsia="仿宋_GB2312"/>
          <w:color w:val="000000"/>
          <w:kern w:val="0"/>
          <w:sz w:val="33"/>
          <w:szCs w:val="33"/>
          <w:shd w:val="clear" w:color="auto" w:fill="FFFFFF"/>
          <w:lang w:val="zh-CN"/>
        </w:rPr>
        <w:t>年部门预算项目绩效目标与预算安排匹配，绩效目标设置规范完整、量化细化，且在规定时间内完成项目入库，目标设置与项目入库。</w:t>
      </w:r>
    </w:p>
    <w:p w14:paraId="404138B8">
      <w:pPr>
        <w:numPr>
          <w:ilvl w:val="0"/>
          <w:numId w:val="0"/>
        </w:numPr>
        <w:spacing w:line="590" w:lineRule="exact"/>
        <w:ind w:firstLine="660" w:firstLineChars="200"/>
        <w:contextualSpacing/>
        <w:rPr>
          <w:rFonts w:hint="eastAsia" w:eastAsia="仿宋_GB2312"/>
          <w:color w:val="000000"/>
          <w:kern w:val="0"/>
          <w:sz w:val="33"/>
          <w:szCs w:val="33"/>
          <w:shd w:val="clear" w:color="auto" w:fill="FFFFFF"/>
          <w:lang w:val="zh-CN"/>
        </w:rPr>
      </w:pPr>
      <w:r>
        <w:rPr>
          <w:rFonts w:hint="eastAsia" w:eastAsia="楷体_GB2312" w:cs="楷体_GB2312"/>
          <w:color w:val="000000"/>
          <w:kern w:val="0"/>
          <w:sz w:val="33"/>
          <w:szCs w:val="33"/>
          <w:shd w:val="clear" w:color="auto" w:fill="FFFFFF"/>
          <w:lang w:val="en-US" w:eastAsia="zh-CN"/>
        </w:rPr>
        <w:t>2.</w:t>
      </w:r>
      <w:r>
        <w:rPr>
          <w:rFonts w:hint="eastAsia" w:eastAsia="楷体_GB2312" w:cs="楷体_GB2312"/>
          <w:color w:val="000000"/>
          <w:kern w:val="0"/>
          <w:sz w:val="33"/>
          <w:szCs w:val="33"/>
          <w:shd w:val="clear" w:color="auto" w:fill="FFFFFF"/>
        </w:rPr>
        <w:t>项目执行</w:t>
      </w:r>
    </w:p>
    <w:p w14:paraId="2FC1D85B">
      <w:pPr>
        <w:numPr>
          <w:ilvl w:val="0"/>
          <w:numId w:val="0"/>
        </w:numPr>
        <w:spacing w:line="590" w:lineRule="exact"/>
        <w:ind w:firstLine="640" w:firstLineChars="200"/>
        <w:contextualSpacing/>
        <w:rPr>
          <w:rFonts w:hint="eastAsia" w:eastAsia="仿宋_GB2312"/>
          <w:color w:val="000000"/>
          <w:kern w:val="0"/>
          <w:sz w:val="33"/>
          <w:szCs w:val="33"/>
          <w:shd w:val="clear" w:color="auto" w:fill="FFFFFF"/>
          <w:lang w:val="zh-CN"/>
        </w:rPr>
      </w:pPr>
      <w:r>
        <w:rPr>
          <w:rFonts w:hint="eastAsia" w:ascii="楷体_GB2312" w:hAnsi="Times New Roman" w:eastAsia="楷体_GB2312" w:cs="楷体_GB2312"/>
          <w:color w:val="auto"/>
          <w:sz w:val="32"/>
          <w:szCs w:val="32"/>
        </w:rPr>
        <w:t>自评得分</w:t>
      </w:r>
      <w:r>
        <w:rPr>
          <w:rFonts w:hint="eastAsia" w:eastAsia="楷体_GB2312" w:cs="Times New Roman"/>
          <w:color w:val="auto"/>
          <w:sz w:val="32"/>
          <w:szCs w:val="32"/>
          <w:lang w:val="en-US" w:eastAsia="zh-CN"/>
        </w:rPr>
        <w:t>11</w:t>
      </w:r>
      <w:r>
        <w:rPr>
          <w:rFonts w:hint="eastAsia" w:ascii="楷体_GB2312" w:hAnsi="Times New Roman" w:eastAsia="楷体_GB2312" w:cs="楷体_GB2312"/>
          <w:color w:val="auto"/>
          <w:sz w:val="32"/>
          <w:szCs w:val="32"/>
        </w:rPr>
        <w:t>分。</w:t>
      </w:r>
      <w:r>
        <w:rPr>
          <w:rFonts w:hint="eastAsia" w:eastAsia="仿宋_GB2312"/>
          <w:color w:val="000000"/>
          <w:kern w:val="0"/>
          <w:sz w:val="33"/>
          <w:szCs w:val="33"/>
          <w:shd w:val="clear" w:color="auto" w:fill="FFFFFF"/>
          <w:lang w:val="zh-CN"/>
        </w:rPr>
        <w:t>202</w:t>
      </w:r>
      <w:r>
        <w:rPr>
          <w:rFonts w:hint="eastAsia" w:eastAsia="仿宋_GB2312"/>
          <w:color w:val="000000"/>
          <w:kern w:val="0"/>
          <w:sz w:val="33"/>
          <w:szCs w:val="33"/>
          <w:shd w:val="clear" w:color="auto" w:fill="FFFFFF"/>
          <w:lang w:val="en-US" w:eastAsia="zh-CN"/>
        </w:rPr>
        <w:t>5</w:t>
      </w:r>
      <w:r>
        <w:rPr>
          <w:rFonts w:hint="eastAsia" w:eastAsia="仿宋_GB2312"/>
          <w:color w:val="000000"/>
          <w:kern w:val="0"/>
          <w:sz w:val="33"/>
          <w:szCs w:val="33"/>
          <w:shd w:val="clear" w:color="auto" w:fill="FFFFFF"/>
          <w:lang w:val="zh-CN"/>
        </w:rPr>
        <w:t>年部门预算项目实际列支内容与绩效目标设置方向相符，对实际执行与绩效目标发生偏离的阶段项目及时采取收回预算、调整目标等措施。</w:t>
      </w:r>
      <w:r>
        <w:rPr>
          <w:rFonts w:ascii="Times New Roman" w:hAnsi="Times New Roman" w:eastAsia="仿宋_GB2312" w:cs="Times New Roman"/>
          <w:color w:val="auto"/>
          <w:sz w:val="32"/>
          <w:szCs w:val="32"/>
        </w:rPr>
        <w:t>202</w:t>
      </w:r>
      <w:r>
        <w:rPr>
          <w:rFonts w:hint="eastAsia"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rPr>
        <w:t>年部门预算项目结余小于</w:t>
      </w:r>
      <w:r>
        <w:rPr>
          <w:rFonts w:ascii="Times New Roman" w:hAnsi="Times New Roman" w:eastAsia="仿宋_GB2312" w:cs="Times New Roman"/>
          <w:color w:val="auto"/>
          <w:sz w:val="32"/>
          <w:szCs w:val="32"/>
        </w:rPr>
        <w:t>10%</w:t>
      </w:r>
      <w:r>
        <w:rPr>
          <w:rFonts w:hint="eastAsia" w:ascii="Times New Roman" w:hAnsi="Times New Roman" w:eastAsia="仿宋_GB2312" w:cs="Times New Roman"/>
          <w:color w:val="auto"/>
          <w:sz w:val="32"/>
          <w:szCs w:val="32"/>
        </w:rPr>
        <w:t>的常年项目（含一次性项目）项目</w:t>
      </w:r>
      <w:r>
        <w:rPr>
          <w:rFonts w:hint="eastAsia" w:eastAsia="仿宋_GB2312" w:cs="Times New Roman"/>
          <w:color w:val="auto"/>
          <w:sz w:val="32"/>
          <w:szCs w:val="32"/>
          <w:lang w:val="en-US" w:eastAsia="zh-CN"/>
        </w:rPr>
        <w:t>13</w:t>
      </w:r>
      <w:r>
        <w:rPr>
          <w:rFonts w:hint="eastAsia" w:ascii="Times New Roman" w:hAnsi="Times New Roman" w:eastAsia="仿宋_GB2312" w:cs="Times New Roman"/>
          <w:color w:val="auto"/>
          <w:sz w:val="32"/>
          <w:szCs w:val="32"/>
        </w:rPr>
        <w:t>个，占常年项目、阶段（含一次性项目）项目总数</w:t>
      </w:r>
      <w:r>
        <w:rPr>
          <w:rFonts w:hint="eastAsia" w:eastAsia="仿宋_GB2312" w:cs="Times New Roman"/>
          <w:color w:val="auto"/>
          <w:sz w:val="32"/>
          <w:szCs w:val="32"/>
          <w:lang w:val="en-US" w:eastAsia="zh-CN"/>
        </w:rPr>
        <w:t>76</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w:t>
      </w:r>
    </w:p>
    <w:p w14:paraId="25A18C75">
      <w:pPr>
        <w:widowControl/>
        <w:numPr>
          <w:ilvl w:val="0"/>
          <w:numId w:val="0"/>
        </w:numPr>
        <w:spacing w:line="590" w:lineRule="exact"/>
        <w:ind w:firstLine="660" w:firstLineChars="200"/>
        <w:contextualSpacing/>
        <w:rPr>
          <w:rFonts w:hint="eastAsia" w:ascii="楷体" w:hAnsi="楷体" w:eastAsia="楷体" w:cs="楷体"/>
          <w:sz w:val="33"/>
          <w:szCs w:val="33"/>
        </w:rPr>
      </w:pPr>
      <w:r>
        <w:rPr>
          <w:rFonts w:hint="eastAsia" w:ascii="楷体" w:hAnsi="楷体" w:eastAsia="楷体" w:cs="楷体"/>
          <w:sz w:val="33"/>
          <w:szCs w:val="33"/>
          <w:lang w:eastAsia="zh-CN"/>
        </w:rPr>
        <w:t>3.</w:t>
      </w:r>
      <w:r>
        <w:rPr>
          <w:rFonts w:hint="eastAsia" w:ascii="楷体" w:hAnsi="楷体" w:eastAsia="楷体" w:cs="楷体"/>
          <w:sz w:val="33"/>
          <w:szCs w:val="33"/>
        </w:rPr>
        <w:t>目标实现</w:t>
      </w:r>
    </w:p>
    <w:p w14:paraId="6273D482">
      <w:pPr>
        <w:widowControl/>
        <w:numPr>
          <w:ilvl w:val="0"/>
          <w:numId w:val="0"/>
        </w:numPr>
        <w:spacing w:line="590" w:lineRule="exact"/>
        <w:ind w:firstLine="660" w:firstLineChars="200"/>
        <w:contextualSpacing/>
        <w:rPr>
          <w:rFonts w:hint="eastAsia" w:eastAsia="仿宋_GB2312"/>
          <w:sz w:val="32"/>
          <w:lang w:val="en-US" w:eastAsia="zh-CN"/>
        </w:rPr>
      </w:pPr>
      <w:r>
        <w:rPr>
          <w:rFonts w:hint="eastAsia" w:eastAsia="仿宋_GB2312"/>
          <w:sz w:val="33"/>
          <w:szCs w:val="33"/>
        </w:rPr>
        <w:t>自评得分</w:t>
      </w:r>
      <w:r>
        <w:rPr>
          <w:rFonts w:hint="eastAsia" w:eastAsia="仿宋_GB2312"/>
          <w:sz w:val="33"/>
          <w:szCs w:val="33"/>
          <w:lang w:val="en-US" w:eastAsia="zh-CN"/>
        </w:rPr>
        <w:t>10</w:t>
      </w:r>
      <w:r>
        <w:rPr>
          <w:rFonts w:hint="eastAsia" w:eastAsia="仿宋_GB2312"/>
          <w:sz w:val="33"/>
          <w:szCs w:val="33"/>
        </w:rPr>
        <w:t>分。</w:t>
      </w:r>
      <w:r>
        <w:rPr>
          <w:rFonts w:hint="eastAsia" w:eastAsia="仿宋_GB2312"/>
          <w:sz w:val="33"/>
          <w:szCs w:val="33"/>
          <w:lang w:val="en-US" w:eastAsia="zh-CN"/>
        </w:rPr>
        <w:t>2025年度</w:t>
      </w:r>
      <w:r>
        <w:rPr>
          <w:rFonts w:hint="eastAsia" w:eastAsia="仿宋_GB2312"/>
          <w:sz w:val="33"/>
          <w:szCs w:val="33"/>
          <w:lang w:eastAsia="zh-CN"/>
        </w:rPr>
        <w:t>新增耕地和双挂钩指标款、征地拆迁、不动产登记中心房租、偿还被征地农民养老保险贷款、地质灾害、规划编制服务、村庄国土空间规划、仁沐新红线外、土地整理等</w:t>
      </w:r>
      <w:r>
        <w:rPr>
          <w:rFonts w:hint="eastAsia" w:eastAsia="仿宋_GB2312"/>
          <w:sz w:val="33"/>
          <w:szCs w:val="33"/>
          <w:lang w:val="en-US" w:eastAsia="zh-CN"/>
        </w:rPr>
        <w:t>17</w:t>
      </w:r>
      <w:r>
        <w:rPr>
          <w:rFonts w:hint="eastAsia" w:eastAsia="仿宋_GB2312"/>
          <w:sz w:val="33"/>
          <w:szCs w:val="33"/>
        </w:rPr>
        <w:t>个项目进行了全覆盖绩效</w:t>
      </w:r>
      <w:r>
        <w:rPr>
          <w:rFonts w:hint="eastAsia" w:eastAsia="仿宋_GB2312"/>
          <w:sz w:val="33"/>
          <w:szCs w:val="33"/>
          <w:lang w:eastAsia="zh-CN"/>
        </w:rPr>
        <w:t>目标</w:t>
      </w:r>
      <w:r>
        <w:rPr>
          <w:rFonts w:hint="eastAsia" w:eastAsia="仿宋_GB2312"/>
          <w:sz w:val="33"/>
          <w:szCs w:val="33"/>
        </w:rPr>
        <w:t>评估，对所有项目执行进度、实施情况以及绩效目标实施程度进行绩效监控，</w:t>
      </w:r>
      <w:r>
        <w:rPr>
          <w:rFonts w:hint="eastAsia" w:eastAsia="仿宋_GB2312"/>
          <w:sz w:val="33"/>
          <w:szCs w:val="33"/>
          <w:lang w:eastAsia="zh-CN"/>
        </w:rPr>
        <w:t>所有项目内容基本完成</w:t>
      </w:r>
      <w:r>
        <w:rPr>
          <w:rFonts w:hint="eastAsia" w:eastAsia="仿宋_GB2312"/>
          <w:sz w:val="33"/>
          <w:szCs w:val="33"/>
        </w:rPr>
        <w:t>，绩效目标基本实现</w:t>
      </w:r>
      <w:r>
        <w:rPr>
          <w:rFonts w:hint="eastAsia" w:eastAsia="仿宋_GB2312"/>
          <w:sz w:val="33"/>
          <w:szCs w:val="33"/>
          <w:lang w:eastAsia="zh-CN"/>
        </w:rPr>
        <w:t>。</w:t>
      </w:r>
    </w:p>
    <w:p w14:paraId="56E7E7CB">
      <w:pPr>
        <w:numPr>
          <w:ilvl w:val="0"/>
          <w:numId w:val="2"/>
        </w:numPr>
        <w:spacing w:line="590" w:lineRule="exact"/>
        <w:ind w:left="0" w:leftChars="0" w:firstLine="663" w:firstLineChars="200"/>
        <w:rPr>
          <w:rFonts w:hint="eastAsia" w:eastAsia="仿宋_GB2312"/>
          <w:color w:val="000000"/>
          <w:kern w:val="0"/>
          <w:sz w:val="33"/>
          <w:szCs w:val="33"/>
          <w:shd w:val="clear" w:color="auto" w:fill="FFFFFF"/>
          <w:lang w:val="zh-CN"/>
        </w:rPr>
      </w:pPr>
      <w:r>
        <w:rPr>
          <w:rFonts w:eastAsia="楷体_GB2312"/>
          <w:b/>
          <w:bCs/>
          <w:sz w:val="33"/>
          <w:szCs w:val="33"/>
          <w:lang w:val="zh-CN"/>
        </w:rPr>
        <w:t>绩效结果应用情况</w:t>
      </w:r>
      <w:r>
        <w:rPr>
          <w:rFonts w:hint="eastAsia" w:eastAsia="楷体_GB2312"/>
          <w:b/>
          <w:bCs/>
          <w:sz w:val="33"/>
          <w:szCs w:val="33"/>
          <w:lang w:val="zh-CN"/>
        </w:rPr>
        <w:t>。</w:t>
      </w:r>
    </w:p>
    <w:p w14:paraId="34BAE557">
      <w:pPr>
        <w:numPr>
          <w:ilvl w:val="0"/>
          <w:numId w:val="0"/>
        </w:numPr>
        <w:spacing w:line="590" w:lineRule="exact"/>
        <w:ind w:firstLine="660" w:firstLineChars="200"/>
        <w:rPr>
          <w:rFonts w:eastAsia="仿宋_GB2312" w:cs="仿宋_GB2312"/>
          <w:b/>
          <w:sz w:val="33"/>
          <w:szCs w:val="33"/>
        </w:rPr>
      </w:pPr>
      <w:r>
        <w:rPr>
          <w:rFonts w:hint="eastAsia" w:eastAsia="仿宋_GB2312"/>
          <w:color w:val="000000"/>
          <w:kern w:val="0"/>
          <w:sz w:val="33"/>
          <w:szCs w:val="33"/>
          <w:shd w:val="clear" w:color="auto" w:fill="FFFFFF"/>
          <w:lang w:val="zh-CN"/>
        </w:rPr>
        <w:t>一是借助绩效评价推动加强预算管理，深化部门对预算管理工作重要性的认识，增强绩效意识，进而提高部门和单位整体绩效水平。二是把绩效评价结果应用到下一年度预算编制工作中，使预算编制更加注重绩效导向，科学合理设置可实现的绩效目标，产出与效益、定性与定量结合，明确具体绩效指标，为后续绩效监控和评价工作打好基础。三是在预算执行过程中，按月申请用款计划，实时跟踪进度，强化项目运行监控，提高资金执行效率。部门整体支出绩效自评数据真实、准确，部门整体支出绩效自评认真，仔细，质量高。</w:t>
      </w:r>
    </w:p>
    <w:p w14:paraId="457A7AAB">
      <w:pPr>
        <w:widowControl/>
        <w:spacing w:line="590" w:lineRule="exact"/>
        <w:ind w:firstLine="660" w:firstLineChars="200"/>
        <w:contextualSpacing/>
        <w:rPr>
          <w:rFonts w:eastAsia="黑体"/>
          <w:color w:val="000000"/>
          <w:kern w:val="0"/>
          <w:sz w:val="33"/>
          <w:szCs w:val="33"/>
          <w:shd w:val="clear" w:color="auto" w:fill="FFFFFF"/>
        </w:rPr>
      </w:pPr>
      <w:r>
        <w:rPr>
          <w:rFonts w:eastAsia="黑体"/>
          <w:color w:val="000000"/>
          <w:kern w:val="0"/>
          <w:sz w:val="33"/>
          <w:szCs w:val="33"/>
          <w:shd w:val="clear" w:color="auto" w:fill="FFFFFF"/>
        </w:rPr>
        <w:t>四、评价结论及建议</w:t>
      </w:r>
    </w:p>
    <w:p w14:paraId="4C68F873">
      <w:pPr>
        <w:spacing w:line="590" w:lineRule="exact"/>
        <w:ind w:firstLine="663" w:firstLineChars="200"/>
        <w:contextualSpacing/>
        <w:rPr>
          <w:rFonts w:hint="eastAsia" w:eastAsia="仿宋_GB2312" w:cs="仿宋_GB2312"/>
          <w:kern w:val="0"/>
          <w:sz w:val="33"/>
          <w:szCs w:val="33"/>
        </w:rPr>
      </w:pPr>
      <w:r>
        <w:rPr>
          <w:rFonts w:eastAsia="楷体_GB2312"/>
          <w:b/>
          <w:bCs/>
          <w:color w:val="000000"/>
          <w:kern w:val="0"/>
          <w:sz w:val="33"/>
          <w:szCs w:val="33"/>
          <w:shd w:val="clear" w:color="auto" w:fill="FFFFFF"/>
          <w:lang w:val="zh-CN"/>
        </w:rPr>
        <w:t>（一）评价结论。</w:t>
      </w:r>
    </w:p>
    <w:p w14:paraId="7152928A">
      <w:pPr>
        <w:spacing w:line="590" w:lineRule="exact"/>
        <w:ind w:firstLine="660" w:firstLineChars="200"/>
        <w:contextualSpacing/>
        <w:rPr>
          <w:rFonts w:hint="eastAsia" w:eastAsia="仿宋_GB2312" w:cs="仿宋_GB2312"/>
          <w:kern w:val="0"/>
          <w:sz w:val="33"/>
          <w:szCs w:val="33"/>
        </w:rPr>
      </w:pPr>
      <w:r>
        <w:rPr>
          <w:rFonts w:hint="eastAsia" w:eastAsia="仿宋_GB2312" w:cs="仿宋_GB2312"/>
          <w:kern w:val="0"/>
          <w:sz w:val="33"/>
          <w:szCs w:val="33"/>
        </w:rPr>
        <w:t>202</w:t>
      </w:r>
      <w:r>
        <w:rPr>
          <w:rFonts w:hint="eastAsia" w:eastAsia="仿宋_GB2312" w:cs="仿宋_GB2312"/>
          <w:kern w:val="0"/>
          <w:sz w:val="33"/>
          <w:szCs w:val="33"/>
          <w:lang w:val="en-US" w:eastAsia="zh-CN"/>
        </w:rPr>
        <w:t>5</w:t>
      </w:r>
      <w:r>
        <w:rPr>
          <w:rFonts w:hint="eastAsia" w:eastAsia="仿宋_GB2312" w:cs="仿宋_GB2312"/>
          <w:kern w:val="0"/>
          <w:sz w:val="33"/>
          <w:szCs w:val="33"/>
        </w:rPr>
        <w:t>年，我局按照年初预算批复认真组织实施，严格执行财经纪律相关管理规定，基本做到了各项收支安排使用符合单位发展计划和财政政策的要求，确保了单位正常运行和各类项目的顺利实施，目标任务基本完成，预算执行良好，财政资金支出绩效良好，综合自评得分9</w:t>
      </w:r>
      <w:r>
        <w:rPr>
          <w:rFonts w:hint="eastAsia" w:eastAsia="仿宋_GB2312" w:cs="仿宋_GB2312"/>
          <w:kern w:val="0"/>
          <w:sz w:val="33"/>
          <w:szCs w:val="33"/>
          <w:lang w:val="en-US" w:eastAsia="zh-CN"/>
        </w:rPr>
        <w:t>2</w:t>
      </w:r>
      <w:r>
        <w:rPr>
          <w:rFonts w:hint="eastAsia" w:eastAsia="仿宋_GB2312" w:cs="仿宋_GB2312"/>
          <w:kern w:val="0"/>
          <w:sz w:val="33"/>
          <w:szCs w:val="33"/>
        </w:rPr>
        <w:t>分。</w:t>
      </w:r>
    </w:p>
    <w:p w14:paraId="441D736F">
      <w:pPr>
        <w:spacing w:line="590" w:lineRule="exact"/>
        <w:ind w:firstLine="663" w:firstLineChars="200"/>
        <w:contextualSpacing/>
        <w:rPr>
          <w:rFonts w:eastAsia="楷体_GB2312"/>
          <w:b/>
          <w:bCs/>
          <w:color w:val="000000"/>
          <w:kern w:val="0"/>
          <w:sz w:val="33"/>
          <w:szCs w:val="33"/>
          <w:shd w:val="clear" w:color="auto" w:fill="FFFFFF"/>
        </w:rPr>
      </w:pPr>
      <w:r>
        <w:rPr>
          <w:rFonts w:eastAsia="楷体_GB2312"/>
          <w:b/>
          <w:bCs/>
          <w:color w:val="000000"/>
          <w:kern w:val="0"/>
          <w:sz w:val="33"/>
          <w:szCs w:val="33"/>
          <w:shd w:val="clear" w:color="auto" w:fill="FFFFFF"/>
          <w:lang w:val="zh-CN"/>
        </w:rPr>
        <w:t>（二）存在问题。</w:t>
      </w:r>
      <w:r>
        <w:rPr>
          <w:rFonts w:hint="eastAsia" w:eastAsia="仿宋_GB2312" w:cs="仿宋_GB2312"/>
          <w:w w:val="95"/>
          <w:kern w:val="0"/>
          <w:sz w:val="33"/>
          <w:szCs w:val="33"/>
        </w:rPr>
        <w:t>202</w:t>
      </w:r>
      <w:r>
        <w:rPr>
          <w:rFonts w:hint="eastAsia" w:eastAsia="仿宋_GB2312" w:cs="仿宋_GB2312"/>
          <w:w w:val="95"/>
          <w:kern w:val="0"/>
          <w:sz w:val="33"/>
          <w:szCs w:val="33"/>
          <w:lang w:val="en-US" w:eastAsia="zh-CN"/>
        </w:rPr>
        <w:t>5</w:t>
      </w:r>
      <w:r>
        <w:rPr>
          <w:rFonts w:hint="eastAsia" w:eastAsia="仿宋_GB2312" w:cs="仿宋_GB2312"/>
          <w:w w:val="95"/>
          <w:kern w:val="0"/>
          <w:sz w:val="33"/>
          <w:szCs w:val="33"/>
        </w:rPr>
        <w:t>年度较好</w:t>
      </w:r>
      <w:r>
        <w:rPr>
          <w:rFonts w:hint="eastAsia" w:eastAsia="仿宋_GB2312" w:cs="仿宋_GB2312"/>
          <w:w w:val="95"/>
          <w:kern w:val="0"/>
          <w:sz w:val="33"/>
          <w:szCs w:val="33"/>
          <w:lang w:eastAsia="zh-CN"/>
        </w:rPr>
        <w:t>地</w:t>
      </w:r>
      <w:r>
        <w:rPr>
          <w:rFonts w:hint="eastAsia" w:eastAsia="仿宋_GB2312" w:cs="仿宋_GB2312"/>
          <w:w w:val="95"/>
          <w:kern w:val="0"/>
          <w:sz w:val="33"/>
          <w:szCs w:val="33"/>
        </w:rPr>
        <w:t>完成财政资金的预算执行情况，但仍</w:t>
      </w:r>
      <w:r>
        <w:rPr>
          <w:rFonts w:hint="eastAsia" w:eastAsia="仿宋_GB2312" w:cs="仿宋_GB2312"/>
          <w:w w:val="95"/>
          <w:kern w:val="0"/>
          <w:sz w:val="33"/>
          <w:szCs w:val="33"/>
          <w:lang w:eastAsia="zh-CN"/>
        </w:rPr>
        <w:t>存在</w:t>
      </w:r>
      <w:r>
        <w:rPr>
          <w:rFonts w:hint="eastAsia" w:eastAsia="仿宋_GB2312" w:cs="仿宋_GB2312"/>
          <w:w w:val="95"/>
          <w:kern w:val="0"/>
          <w:sz w:val="33"/>
          <w:szCs w:val="33"/>
        </w:rPr>
        <w:t>预算编制不够精细，有的预算支出项目具有预测性和不确定性，在预算执行过程中资金有较大增减变化。</w:t>
      </w:r>
    </w:p>
    <w:p w14:paraId="65D9F240">
      <w:pPr>
        <w:spacing w:line="590" w:lineRule="exact"/>
        <w:ind w:firstLine="663" w:firstLineChars="200"/>
        <w:contextualSpacing/>
        <w:rPr>
          <w:rFonts w:hint="eastAsia" w:eastAsia="仿宋_GB2312" w:cs="仿宋_GB2312"/>
          <w:kern w:val="0"/>
          <w:sz w:val="33"/>
          <w:szCs w:val="33"/>
        </w:rPr>
      </w:pPr>
      <w:r>
        <w:rPr>
          <w:rFonts w:eastAsia="楷体_GB2312"/>
          <w:b/>
          <w:bCs/>
          <w:color w:val="000000"/>
          <w:kern w:val="0"/>
          <w:sz w:val="33"/>
          <w:szCs w:val="33"/>
          <w:shd w:val="clear" w:color="auto" w:fill="FFFFFF"/>
          <w:lang w:val="zh-CN"/>
        </w:rPr>
        <w:t>（三）改进建议。</w:t>
      </w:r>
      <w:r>
        <w:rPr>
          <w:rFonts w:hint="eastAsia" w:eastAsia="仿宋_GB2312" w:cs="仿宋_GB2312"/>
          <w:kern w:val="0"/>
          <w:sz w:val="33"/>
          <w:szCs w:val="33"/>
        </w:rPr>
        <w:t>加强项目绩效管理，科学合理编制预算，增强预算执行力。加强预算编制的前瞻性，按政策规定及本部门的发展规划，结合上一年度预算执行情况和本年度预算收支变化因素，科学合理编制本年预算，避免项目支出与基本支出划分不准，预算支出与实际执行出现偏差。加强预算支出的审核、跟踪及预算执行情况的分析，提高预算编制科学性、严谨性和可控性，切实提高财政资金使用效益。</w:t>
      </w:r>
    </w:p>
    <w:p w14:paraId="5931E64F">
      <w:pPr>
        <w:pStyle w:val="2"/>
      </w:pPr>
    </w:p>
    <w:p w14:paraId="7372EFB8">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i w:val="0"/>
          <w:color w:val="000000"/>
          <w:kern w:val="0"/>
          <w:sz w:val="44"/>
          <w:szCs w:val="44"/>
          <w:u w:val="none"/>
          <w:lang w:val="en-US" w:eastAsia="zh-CN" w:bidi="ar"/>
        </w:rPr>
      </w:pPr>
      <w:r>
        <w:rPr>
          <w:rFonts w:hint="eastAsia" w:ascii="Times New Roman" w:hAnsi="Times New Roman" w:eastAsia="方正小标宋简体" w:cs="Times New Roman"/>
          <w:i w:val="0"/>
          <w:color w:val="000000"/>
          <w:kern w:val="0"/>
          <w:sz w:val="44"/>
          <w:szCs w:val="44"/>
          <w:u w:val="none"/>
          <w:lang w:val="en-US" w:eastAsia="zh-CN" w:bidi="ar"/>
        </w:rPr>
        <w:t>部门预算绩效自评打分表</w:t>
      </w:r>
    </w:p>
    <w:tbl>
      <w:tblPr>
        <w:tblStyle w:val="16"/>
        <w:tblW w:w="1091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97"/>
        <w:gridCol w:w="1201"/>
        <w:gridCol w:w="4565"/>
        <w:gridCol w:w="1335"/>
        <w:gridCol w:w="1845"/>
        <w:gridCol w:w="391"/>
        <w:gridCol w:w="478"/>
      </w:tblGrid>
      <w:tr w14:paraId="1ED56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1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720B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绩效评价指标指标分值</w:t>
            </w:r>
          </w:p>
        </w:tc>
        <w:tc>
          <w:tcPr>
            <w:tcW w:w="18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9E21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391" w:type="dxa"/>
            <w:vMerge w:val="restart"/>
            <w:tcBorders>
              <w:top w:val="single" w:color="000000" w:sz="4" w:space="0"/>
              <w:left w:val="single" w:color="000000" w:sz="4" w:space="0"/>
              <w:right w:val="single" w:color="000000" w:sz="4" w:space="0"/>
            </w:tcBorders>
            <w:shd w:val="clear" w:color="auto" w:fill="auto"/>
            <w:vAlign w:val="center"/>
          </w:tcPr>
          <w:p w14:paraId="0E5E4E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14:paraId="0D5F4A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14:paraId="313F3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shd w:val="clear" w:color="auto" w:fill="auto"/>
            <w:vAlign w:val="center"/>
          </w:tcPr>
          <w:p w14:paraId="74F6CF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56A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40F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DB9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18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73581">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391" w:type="dxa"/>
            <w:vMerge w:val="continue"/>
            <w:tcBorders>
              <w:left w:val="single" w:color="000000" w:sz="4" w:space="0"/>
              <w:bottom w:val="single" w:color="000000" w:sz="4" w:space="0"/>
              <w:right w:val="single" w:color="000000" w:sz="4" w:space="0"/>
            </w:tcBorders>
            <w:shd w:val="clear" w:color="auto" w:fill="auto"/>
            <w:vAlign w:val="center"/>
          </w:tcPr>
          <w:p w14:paraId="2BD5FCA2">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09A0F204">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14:paraId="5C627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0" w:hRule="atLeast"/>
          <w:jc w:val="center"/>
        </w:trPr>
        <w:tc>
          <w:tcPr>
            <w:tcW w:w="1097" w:type="dxa"/>
            <w:vMerge w:val="restart"/>
            <w:tcBorders>
              <w:top w:val="single" w:color="000000" w:sz="4" w:space="0"/>
              <w:left w:val="single" w:color="000000" w:sz="4" w:space="0"/>
              <w:right w:val="single" w:color="000000" w:sz="4" w:space="0"/>
            </w:tcBorders>
            <w:shd w:val="clear" w:color="auto" w:fill="auto"/>
            <w:vAlign w:val="center"/>
          </w:tcPr>
          <w:p w14:paraId="14E26F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总体绩效（65分）</w:t>
            </w:r>
          </w:p>
        </w:tc>
        <w:tc>
          <w:tcPr>
            <w:tcW w:w="1201" w:type="dxa"/>
            <w:vMerge w:val="restart"/>
            <w:tcBorders>
              <w:top w:val="single" w:color="000000" w:sz="4" w:space="0"/>
              <w:left w:val="single" w:color="000000" w:sz="4" w:space="0"/>
              <w:right w:val="single" w:color="000000" w:sz="4" w:space="0"/>
            </w:tcBorders>
            <w:shd w:val="clear" w:color="auto" w:fill="auto"/>
            <w:vAlign w:val="center"/>
          </w:tcPr>
          <w:p w14:paraId="23DDB2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履职效能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（15分）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A36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zh-CN" w:eastAsia="zh-CN" w:bidi="ar"/>
              </w:rPr>
              <w:t>做好耕地保护工作。耕地总量与质量实现双保。持续指导2024年恢复补充地块收尾，并利用2025年日常变更调查举证新增耕地。永久基本农田布局持续优化。扎实推进储备区补充更新及正向优化调整。开展全县临时用地巡查和自查清理。</w:t>
            </w:r>
          </w:p>
        </w:tc>
        <w:tc>
          <w:tcPr>
            <w:tcW w:w="1335" w:type="dxa"/>
            <w:vMerge w:val="restart"/>
            <w:tcBorders>
              <w:top w:val="nil"/>
              <w:left w:val="single" w:color="000000" w:sz="4" w:space="0"/>
              <w:right w:val="single" w:color="000000" w:sz="4" w:space="0"/>
            </w:tcBorders>
            <w:shd w:val="clear" w:color="auto" w:fill="auto"/>
            <w:vAlign w:val="center"/>
          </w:tcPr>
          <w:p w14:paraId="45FF9E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1845" w:type="dxa"/>
            <w:vMerge w:val="restart"/>
            <w:tcBorders>
              <w:top w:val="single" w:color="000000" w:sz="4" w:space="0"/>
              <w:left w:val="single" w:color="000000" w:sz="4" w:space="0"/>
              <w:right w:val="single" w:color="000000" w:sz="4" w:space="0"/>
            </w:tcBorders>
            <w:shd w:val="clear" w:color="auto" w:fill="auto"/>
            <w:vAlign w:val="center"/>
          </w:tcPr>
          <w:p w14:paraId="3969D11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部门整体绩效目标中选定3</w:t>
            </w:r>
            <w:r>
              <w:rPr>
                <w:rFonts w:hint="eastAsia" w:ascii="宋体" w:hAnsi="宋体" w:cs="宋体"/>
                <w:i w:val="0"/>
                <w:color w:val="000000"/>
                <w:kern w:val="0"/>
                <w:sz w:val="24"/>
                <w:szCs w:val="24"/>
                <w:u w:val="none"/>
                <w:lang w:val="en-US" w:eastAsia="zh-CN" w:bidi="ar"/>
              </w:rPr>
              <w:t>—</w:t>
            </w:r>
            <w:r>
              <w:rPr>
                <w:rFonts w:hint="eastAsia" w:ascii="宋体" w:hAnsi="宋体" w:eastAsia="宋体" w:cs="宋体"/>
                <w:i w:val="0"/>
                <w:color w:val="000000"/>
                <w:kern w:val="0"/>
                <w:sz w:val="24"/>
                <w:szCs w:val="24"/>
                <w:u w:val="none"/>
                <w:lang w:val="en-US" w:eastAsia="zh-CN" w:bidi="ar"/>
              </w:rPr>
              <w:t>5个核心职能目标，反映该项职能目标完成效果情况</w:t>
            </w:r>
          </w:p>
        </w:tc>
        <w:tc>
          <w:tcPr>
            <w:tcW w:w="391" w:type="dxa"/>
            <w:vMerge w:val="restart"/>
            <w:tcBorders>
              <w:top w:val="single" w:color="000000" w:sz="4" w:space="0"/>
              <w:left w:val="single" w:color="000000" w:sz="4" w:space="0"/>
              <w:right w:val="single" w:color="000000" w:sz="4" w:space="0"/>
            </w:tcBorders>
            <w:shd w:val="clear" w:color="auto" w:fill="auto"/>
            <w:vAlign w:val="center"/>
          </w:tcPr>
          <w:p w14:paraId="055F306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78" w:type="dxa"/>
            <w:vMerge w:val="restart"/>
            <w:tcBorders>
              <w:top w:val="single" w:color="000000" w:sz="4" w:space="0"/>
              <w:left w:val="single" w:color="000000" w:sz="4" w:space="0"/>
              <w:right w:val="single" w:color="000000" w:sz="4" w:space="0"/>
            </w:tcBorders>
            <w:shd w:val="clear" w:color="auto" w:fill="auto"/>
            <w:vAlign w:val="center"/>
          </w:tcPr>
          <w:p w14:paraId="6FE7E2A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8722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1097" w:type="dxa"/>
            <w:vMerge w:val="continue"/>
            <w:tcBorders>
              <w:left w:val="single" w:color="000000" w:sz="4" w:space="0"/>
              <w:right w:val="single" w:color="000000" w:sz="4" w:space="0"/>
            </w:tcBorders>
            <w:shd w:val="clear" w:color="auto" w:fill="auto"/>
            <w:vAlign w:val="center"/>
          </w:tcPr>
          <w:p w14:paraId="702B7F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1201" w:type="dxa"/>
            <w:vMerge w:val="continue"/>
            <w:tcBorders>
              <w:left w:val="single" w:color="000000" w:sz="4" w:space="0"/>
              <w:right w:val="single" w:color="000000" w:sz="4" w:space="0"/>
            </w:tcBorders>
            <w:shd w:val="clear" w:color="auto" w:fill="auto"/>
            <w:vAlign w:val="center"/>
          </w:tcPr>
          <w:p w14:paraId="55E3D2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1CC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zh-CN" w:eastAsia="zh-CN" w:bidi="ar"/>
              </w:rPr>
            </w:pPr>
            <w:r>
              <w:rPr>
                <w:rFonts w:hint="eastAsia" w:ascii="宋体" w:hAnsi="宋体" w:eastAsia="宋体" w:cs="宋体"/>
                <w:i w:val="0"/>
                <w:color w:val="000000"/>
                <w:kern w:val="0"/>
                <w:sz w:val="24"/>
                <w:szCs w:val="24"/>
                <w:u w:val="none"/>
                <w:lang w:val="zh-CN" w:eastAsia="zh-CN" w:bidi="ar"/>
              </w:rPr>
              <w:t>扎实推进田长制工作。根据人员变动情况，同步完成乡村两级田长、网格员动态调整及巡田平台信息更新。</w:t>
            </w:r>
          </w:p>
        </w:tc>
        <w:tc>
          <w:tcPr>
            <w:tcW w:w="1335" w:type="dxa"/>
            <w:vMerge w:val="continue"/>
            <w:tcBorders>
              <w:left w:val="single" w:color="000000" w:sz="4" w:space="0"/>
              <w:right w:val="single" w:color="000000" w:sz="4" w:space="0"/>
            </w:tcBorders>
            <w:shd w:val="clear" w:color="auto" w:fill="auto"/>
            <w:vAlign w:val="center"/>
          </w:tcPr>
          <w:p w14:paraId="11BEFA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p>
        </w:tc>
        <w:tc>
          <w:tcPr>
            <w:tcW w:w="1845" w:type="dxa"/>
            <w:vMerge w:val="continue"/>
            <w:tcBorders>
              <w:left w:val="single" w:color="000000" w:sz="4" w:space="0"/>
              <w:right w:val="single" w:color="000000" w:sz="4" w:space="0"/>
            </w:tcBorders>
            <w:shd w:val="clear" w:color="auto" w:fill="auto"/>
            <w:vAlign w:val="center"/>
          </w:tcPr>
          <w:p w14:paraId="344E4C8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391" w:type="dxa"/>
            <w:vMerge w:val="continue"/>
            <w:tcBorders>
              <w:left w:val="single" w:color="000000" w:sz="4" w:space="0"/>
              <w:right w:val="single" w:color="000000" w:sz="4" w:space="0"/>
            </w:tcBorders>
            <w:shd w:val="clear" w:color="auto" w:fill="auto"/>
            <w:vAlign w:val="center"/>
          </w:tcPr>
          <w:p w14:paraId="6EFBBDC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78" w:type="dxa"/>
            <w:vMerge w:val="continue"/>
            <w:tcBorders>
              <w:left w:val="single" w:color="000000" w:sz="4" w:space="0"/>
              <w:right w:val="single" w:color="000000" w:sz="4" w:space="0"/>
            </w:tcBorders>
            <w:shd w:val="clear" w:color="auto" w:fill="auto"/>
            <w:vAlign w:val="center"/>
          </w:tcPr>
          <w:p w14:paraId="74A1D7A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772F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1097" w:type="dxa"/>
            <w:vMerge w:val="continue"/>
            <w:tcBorders>
              <w:left w:val="single" w:color="000000" w:sz="4" w:space="0"/>
              <w:right w:val="single" w:color="000000" w:sz="4" w:space="0"/>
            </w:tcBorders>
            <w:shd w:val="clear" w:color="auto" w:fill="auto"/>
            <w:vAlign w:val="center"/>
          </w:tcPr>
          <w:p w14:paraId="454D32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1201" w:type="dxa"/>
            <w:vMerge w:val="continue"/>
            <w:tcBorders>
              <w:left w:val="single" w:color="000000" w:sz="4" w:space="0"/>
              <w:right w:val="single" w:color="000000" w:sz="4" w:space="0"/>
            </w:tcBorders>
            <w:shd w:val="clear" w:color="auto" w:fill="auto"/>
            <w:vAlign w:val="center"/>
          </w:tcPr>
          <w:p w14:paraId="219D27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4C0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zh-CN" w:eastAsia="zh-CN" w:bidi="ar"/>
              </w:rPr>
            </w:pPr>
            <w:r>
              <w:rPr>
                <w:rFonts w:hint="eastAsia" w:ascii="宋体" w:hAnsi="宋体" w:eastAsia="宋体" w:cs="宋体"/>
                <w:i w:val="0"/>
                <w:color w:val="000000"/>
                <w:kern w:val="0"/>
                <w:sz w:val="24"/>
                <w:szCs w:val="24"/>
                <w:u w:val="none"/>
                <w:lang w:val="zh-CN" w:eastAsia="zh-CN" w:bidi="ar"/>
              </w:rPr>
              <w:t>不动产登记服务提质增效成果显著。落实“一窗受理、并行办理”，平均办理时间缩短40%。建立机制累计化解林权登记历史遗留问题，推动国家储备林建设林权流转。建立“党委、政府主导、部门协同联动”机制，化解房屋不动产“登记难”问题。</w:t>
            </w:r>
          </w:p>
        </w:tc>
        <w:tc>
          <w:tcPr>
            <w:tcW w:w="1335" w:type="dxa"/>
            <w:vMerge w:val="continue"/>
            <w:tcBorders>
              <w:left w:val="single" w:color="000000" w:sz="4" w:space="0"/>
              <w:right w:val="single" w:color="000000" w:sz="4" w:space="0"/>
            </w:tcBorders>
            <w:shd w:val="clear" w:color="auto" w:fill="auto"/>
            <w:vAlign w:val="center"/>
          </w:tcPr>
          <w:p w14:paraId="33F7D1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p>
        </w:tc>
        <w:tc>
          <w:tcPr>
            <w:tcW w:w="1845" w:type="dxa"/>
            <w:vMerge w:val="continue"/>
            <w:tcBorders>
              <w:left w:val="single" w:color="000000" w:sz="4" w:space="0"/>
              <w:right w:val="single" w:color="000000" w:sz="4" w:space="0"/>
            </w:tcBorders>
            <w:shd w:val="clear" w:color="auto" w:fill="auto"/>
            <w:vAlign w:val="center"/>
          </w:tcPr>
          <w:p w14:paraId="5648B13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391" w:type="dxa"/>
            <w:vMerge w:val="continue"/>
            <w:tcBorders>
              <w:left w:val="single" w:color="000000" w:sz="4" w:space="0"/>
              <w:right w:val="single" w:color="000000" w:sz="4" w:space="0"/>
            </w:tcBorders>
            <w:shd w:val="clear" w:color="auto" w:fill="auto"/>
            <w:vAlign w:val="center"/>
          </w:tcPr>
          <w:p w14:paraId="56952C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78" w:type="dxa"/>
            <w:vMerge w:val="continue"/>
            <w:tcBorders>
              <w:left w:val="single" w:color="000000" w:sz="4" w:space="0"/>
              <w:right w:val="single" w:color="000000" w:sz="4" w:space="0"/>
            </w:tcBorders>
            <w:shd w:val="clear" w:color="auto" w:fill="auto"/>
            <w:vAlign w:val="center"/>
          </w:tcPr>
          <w:p w14:paraId="31C64CA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5CAA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1097" w:type="dxa"/>
            <w:vMerge w:val="continue"/>
            <w:tcBorders>
              <w:left w:val="single" w:color="000000" w:sz="4" w:space="0"/>
              <w:right w:val="single" w:color="000000" w:sz="4" w:space="0"/>
            </w:tcBorders>
            <w:shd w:val="clear" w:color="auto" w:fill="auto"/>
            <w:vAlign w:val="center"/>
          </w:tcPr>
          <w:p w14:paraId="391FCA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1201" w:type="dxa"/>
            <w:vMerge w:val="continue"/>
            <w:tcBorders>
              <w:left w:val="single" w:color="000000" w:sz="4" w:space="0"/>
              <w:right w:val="single" w:color="000000" w:sz="4" w:space="0"/>
            </w:tcBorders>
            <w:shd w:val="clear" w:color="auto" w:fill="auto"/>
            <w:vAlign w:val="center"/>
          </w:tcPr>
          <w:p w14:paraId="7D5572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878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zh-CN" w:eastAsia="zh-CN" w:bidi="ar"/>
              </w:rPr>
            </w:pPr>
            <w:r>
              <w:rPr>
                <w:rFonts w:hint="eastAsia" w:ascii="宋体" w:hAnsi="宋体" w:eastAsia="宋体" w:cs="宋体"/>
                <w:i w:val="0"/>
                <w:color w:val="000000"/>
                <w:kern w:val="0"/>
                <w:sz w:val="24"/>
                <w:szCs w:val="24"/>
                <w:u w:val="none"/>
                <w:lang w:val="zh-CN" w:eastAsia="zh-CN" w:bidi="ar"/>
              </w:rPr>
              <w:t>全力做好地灾防治工作。基础防治工作扎实有力。依托专业技术人员常态化巡排查。联合县气象部门发布预警信息。组织技术支撑单位开展地质灾害专项排查、“三查”及更新调查。组织县级防治培训，指导各乡镇开展隐患点应急演练。成立汛期应急值守队伍，安排专人参与联合值班。全年完成地质灾害隐患点工程治理7处、避险搬迁14户。完成35处隐患点应急广播安装，实现全覆盖。</w:t>
            </w:r>
          </w:p>
        </w:tc>
        <w:tc>
          <w:tcPr>
            <w:tcW w:w="1335" w:type="dxa"/>
            <w:vMerge w:val="continue"/>
            <w:tcBorders>
              <w:left w:val="single" w:color="000000" w:sz="4" w:space="0"/>
              <w:right w:val="single" w:color="000000" w:sz="4" w:space="0"/>
            </w:tcBorders>
            <w:shd w:val="clear" w:color="auto" w:fill="auto"/>
            <w:vAlign w:val="center"/>
          </w:tcPr>
          <w:p w14:paraId="487DF7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p>
        </w:tc>
        <w:tc>
          <w:tcPr>
            <w:tcW w:w="1845" w:type="dxa"/>
            <w:vMerge w:val="continue"/>
            <w:tcBorders>
              <w:left w:val="single" w:color="000000" w:sz="4" w:space="0"/>
              <w:right w:val="single" w:color="000000" w:sz="4" w:space="0"/>
            </w:tcBorders>
            <w:shd w:val="clear" w:color="auto" w:fill="auto"/>
            <w:vAlign w:val="center"/>
          </w:tcPr>
          <w:p w14:paraId="15BC209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391" w:type="dxa"/>
            <w:vMerge w:val="continue"/>
            <w:tcBorders>
              <w:left w:val="single" w:color="000000" w:sz="4" w:space="0"/>
              <w:right w:val="single" w:color="000000" w:sz="4" w:space="0"/>
            </w:tcBorders>
            <w:shd w:val="clear" w:color="auto" w:fill="auto"/>
            <w:vAlign w:val="center"/>
          </w:tcPr>
          <w:p w14:paraId="06CD1A0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78" w:type="dxa"/>
            <w:vMerge w:val="continue"/>
            <w:tcBorders>
              <w:left w:val="single" w:color="000000" w:sz="4" w:space="0"/>
              <w:right w:val="single" w:color="000000" w:sz="4" w:space="0"/>
            </w:tcBorders>
            <w:shd w:val="clear" w:color="auto" w:fill="auto"/>
            <w:vAlign w:val="center"/>
          </w:tcPr>
          <w:p w14:paraId="59DB62D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DB5C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5" w:hRule="atLeast"/>
          <w:jc w:val="center"/>
        </w:trPr>
        <w:tc>
          <w:tcPr>
            <w:tcW w:w="1097" w:type="dxa"/>
            <w:vMerge w:val="continue"/>
            <w:tcBorders>
              <w:left w:val="single" w:color="000000" w:sz="4" w:space="0"/>
              <w:right w:val="single" w:color="000000" w:sz="4" w:space="0"/>
            </w:tcBorders>
            <w:shd w:val="clear" w:color="auto" w:fill="auto"/>
            <w:vAlign w:val="center"/>
          </w:tcPr>
          <w:p w14:paraId="08FB04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1201" w:type="dxa"/>
            <w:vMerge w:val="continue"/>
            <w:tcBorders>
              <w:left w:val="single" w:color="000000" w:sz="4" w:space="0"/>
              <w:right w:val="single" w:color="000000" w:sz="4" w:space="0"/>
            </w:tcBorders>
            <w:shd w:val="clear" w:color="auto" w:fill="auto"/>
            <w:vAlign w:val="center"/>
          </w:tcPr>
          <w:p w14:paraId="124D3E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439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zh-CN" w:eastAsia="zh-CN" w:bidi="ar"/>
              </w:rPr>
            </w:pPr>
            <w:r>
              <w:rPr>
                <w:rFonts w:hint="eastAsia" w:ascii="宋体" w:hAnsi="宋体" w:eastAsia="宋体" w:cs="宋体"/>
                <w:i w:val="0"/>
                <w:color w:val="000000"/>
                <w:kern w:val="0"/>
                <w:sz w:val="24"/>
                <w:szCs w:val="24"/>
                <w:u w:val="none"/>
                <w:lang w:val="zh-CN" w:eastAsia="zh-CN" w:bidi="ar"/>
              </w:rPr>
              <w:t>调查监测与空间治理能力增强。全力推进耕林园空间治理“一张图”建设，完成第二轮试划；重点推进2025年度国土变更调查工作。《沐川县新城区国土空间详细规划》成果已获县政府批复。累计开展规划巡查，强化过程监管。</w:t>
            </w:r>
          </w:p>
          <w:p w14:paraId="4CDAB2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zh-CN" w:eastAsia="zh-CN" w:bidi="ar"/>
              </w:rPr>
            </w:pPr>
          </w:p>
        </w:tc>
        <w:tc>
          <w:tcPr>
            <w:tcW w:w="1335" w:type="dxa"/>
            <w:vMerge w:val="continue"/>
            <w:tcBorders>
              <w:left w:val="single" w:color="000000" w:sz="4" w:space="0"/>
              <w:right w:val="single" w:color="000000" w:sz="4" w:space="0"/>
            </w:tcBorders>
            <w:shd w:val="clear" w:color="auto" w:fill="auto"/>
            <w:vAlign w:val="center"/>
          </w:tcPr>
          <w:p w14:paraId="3F1E59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p>
        </w:tc>
        <w:tc>
          <w:tcPr>
            <w:tcW w:w="1845" w:type="dxa"/>
            <w:vMerge w:val="continue"/>
            <w:tcBorders>
              <w:left w:val="single" w:color="000000" w:sz="4" w:space="0"/>
              <w:right w:val="single" w:color="000000" w:sz="4" w:space="0"/>
            </w:tcBorders>
            <w:shd w:val="clear" w:color="auto" w:fill="auto"/>
            <w:vAlign w:val="center"/>
          </w:tcPr>
          <w:p w14:paraId="7A24ADC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391" w:type="dxa"/>
            <w:vMerge w:val="continue"/>
            <w:tcBorders>
              <w:left w:val="single" w:color="000000" w:sz="4" w:space="0"/>
              <w:right w:val="single" w:color="000000" w:sz="4" w:space="0"/>
            </w:tcBorders>
            <w:shd w:val="clear" w:color="auto" w:fill="auto"/>
            <w:vAlign w:val="center"/>
          </w:tcPr>
          <w:p w14:paraId="29722B2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78" w:type="dxa"/>
            <w:vMerge w:val="continue"/>
            <w:tcBorders>
              <w:left w:val="single" w:color="000000" w:sz="4" w:space="0"/>
              <w:right w:val="single" w:color="000000" w:sz="4" w:space="0"/>
            </w:tcBorders>
            <w:shd w:val="clear" w:color="auto" w:fill="auto"/>
            <w:vAlign w:val="center"/>
          </w:tcPr>
          <w:p w14:paraId="192F8CF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68F0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0" w:hRule="atLeast"/>
          <w:jc w:val="center"/>
        </w:trPr>
        <w:tc>
          <w:tcPr>
            <w:tcW w:w="1097" w:type="dxa"/>
            <w:vMerge w:val="continue"/>
            <w:tcBorders>
              <w:left w:val="single" w:color="000000" w:sz="4" w:space="0"/>
              <w:right w:val="single" w:color="000000" w:sz="4" w:space="0"/>
            </w:tcBorders>
            <w:shd w:val="clear" w:color="auto" w:fill="auto"/>
            <w:vAlign w:val="center"/>
          </w:tcPr>
          <w:p w14:paraId="61131A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1201" w:type="dxa"/>
            <w:vMerge w:val="continue"/>
            <w:tcBorders>
              <w:left w:val="single" w:color="000000" w:sz="4" w:space="0"/>
              <w:right w:val="single" w:color="000000" w:sz="4" w:space="0"/>
            </w:tcBorders>
            <w:shd w:val="clear" w:color="auto" w:fill="auto"/>
            <w:vAlign w:val="center"/>
          </w:tcPr>
          <w:p w14:paraId="4EDD0A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83D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zh-CN" w:eastAsia="zh-CN" w:bidi="ar"/>
              </w:rPr>
              <w:t>二是强化资源要素保障。建设项目用地预审与选址规范从严，全年完成用地预审9宗，取得用地指标约163亩</w:t>
            </w:r>
            <w:r>
              <w:rPr>
                <w:rFonts w:hint="eastAsia" w:ascii="宋体" w:hAnsi="宋体" w:cs="宋体"/>
                <w:i w:val="0"/>
                <w:color w:val="000000"/>
                <w:kern w:val="0"/>
                <w:sz w:val="24"/>
                <w:szCs w:val="24"/>
                <w:u w:val="none"/>
                <w:lang w:val="zh-CN" w:eastAsia="zh-CN" w:bidi="ar"/>
              </w:rPr>
              <w:t>；</w:t>
            </w:r>
            <w:r>
              <w:rPr>
                <w:rFonts w:hint="eastAsia" w:ascii="宋体" w:hAnsi="宋体" w:eastAsia="宋体" w:cs="宋体"/>
                <w:i w:val="0"/>
                <w:color w:val="000000"/>
                <w:kern w:val="0"/>
                <w:sz w:val="24"/>
                <w:szCs w:val="24"/>
                <w:u w:val="none"/>
                <w:lang w:val="zh-CN" w:eastAsia="zh-CN" w:bidi="ar"/>
              </w:rPr>
              <w:t>在农村“一二三”产业融合发展用地保障领域取得突破，获取指标约20亩</w:t>
            </w:r>
            <w:r>
              <w:rPr>
                <w:rFonts w:hint="eastAsia" w:ascii="宋体" w:hAnsi="宋体" w:cs="宋体"/>
                <w:i w:val="0"/>
                <w:color w:val="000000"/>
                <w:kern w:val="0"/>
                <w:sz w:val="24"/>
                <w:szCs w:val="24"/>
                <w:u w:val="none"/>
                <w:lang w:val="zh-CN" w:eastAsia="zh-CN" w:bidi="ar"/>
              </w:rPr>
              <w:t>；</w:t>
            </w:r>
            <w:r>
              <w:rPr>
                <w:rFonts w:hint="eastAsia" w:ascii="宋体" w:hAnsi="宋体" w:eastAsia="宋体" w:cs="宋体"/>
                <w:i w:val="0"/>
                <w:color w:val="000000"/>
                <w:kern w:val="0"/>
                <w:sz w:val="24"/>
                <w:szCs w:val="24"/>
                <w:u w:val="none"/>
                <w:lang w:val="zh-CN" w:eastAsia="zh-CN" w:bidi="ar"/>
              </w:rPr>
              <w:t>完成农村宅基地农用地转用审核，保障用地约112亩。</w:t>
            </w:r>
          </w:p>
          <w:p w14:paraId="480FD1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zh-CN" w:eastAsia="zh-CN" w:bidi="ar"/>
              </w:rPr>
            </w:pPr>
          </w:p>
        </w:tc>
        <w:tc>
          <w:tcPr>
            <w:tcW w:w="1335" w:type="dxa"/>
            <w:vMerge w:val="continue"/>
            <w:tcBorders>
              <w:left w:val="single" w:color="000000" w:sz="4" w:space="0"/>
              <w:right w:val="single" w:color="000000" w:sz="4" w:space="0"/>
            </w:tcBorders>
            <w:shd w:val="clear" w:color="auto" w:fill="auto"/>
            <w:vAlign w:val="center"/>
          </w:tcPr>
          <w:p w14:paraId="580D54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p>
        </w:tc>
        <w:tc>
          <w:tcPr>
            <w:tcW w:w="1845" w:type="dxa"/>
            <w:vMerge w:val="continue"/>
            <w:tcBorders>
              <w:left w:val="single" w:color="000000" w:sz="4" w:space="0"/>
              <w:right w:val="single" w:color="000000" w:sz="4" w:space="0"/>
            </w:tcBorders>
            <w:shd w:val="clear" w:color="auto" w:fill="auto"/>
            <w:vAlign w:val="center"/>
          </w:tcPr>
          <w:p w14:paraId="2D9173B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391" w:type="dxa"/>
            <w:vMerge w:val="continue"/>
            <w:tcBorders>
              <w:left w:val="single" w:color="000000" w:sz="4" w:space="0"/>
              <w:right w:val="single" w:color="000000" w:sz="4" w:space="0"/>
            </w:tcBorders>
            <w:shd w:val="clear" w:color="auto" w:fill="auto"/>
            <w:vAlign w:val="center"/>
          </w:tcPr>
          <w:p w14:paraId="6EDC00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78" w:type="dxa"/>
            <w:vMerge w:val="continue"/>
            <w:tcBorders>
              <w:left w:val="single" w:color="000000" w:sz="4" w:space="0"/>
              <w:right w:val="single" w:color="000000" w:sz="4" w:space="0"/>
            </w:tcBorders>
            <w:shd w:val="clear" w:color="auto" w:fill="auto"/>
            <w:vAlign w:val="center"/>
          </w:tcPr>
          <w:p w14:paraId="0DF6F48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4C39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1097" w:type="dxa"/>
            <w:vMerge w:val="continue"/>
            <w:tcBorders>
              <w:left w:val="single" w:color="000000" w:sz="4" w:space="0"/>
              <w:right w:val="single" w:color="000000" w:sz="4" w:space="0"/>
            </w:tcBorders>
            <w:shd w:val="clear" w:color="auto" w:fill="auto"/>
            <w:vAlign w:val="center"/>
          </w:tcPr>
          <w:p w14:paraId="5DDD90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1201" w:type="dxa"/>
            <w:vMerge w:val="continue"/>
            <w:tcBorders>
              <w:left w:val="single" w:color="000000" w:sz="4" w:space="0"/>
              <w:bottom w:val="single" w:color="000000" w:sz="4" w:space="0"/>
              <w:right w:val="single" w:color="000000" w:sz="4" w:space="0"/>
            </w:tcBorders>
            <w:shd w:val="clear" w:color="auto" w:fill="auto"/>
            <w:vAlign w:val="center"/>
          </w:tcPr>
          <w:p w14:paraId="234AC9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9D8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zh-CN" w:eastAsia="zh-CN" w:bidi="ar"/>
              </w:rPr>
            </w:pPr>
            <w:r>
              <w:rPr>
                <w:rFonts w:hint="eastAsia" w:ascii="宋体" w:hAnsi="宋体" w:eastAsia="宋体" w:cs="宋体"/>
                <w:i w:val="0"/>
                <w:color w:val="000000"/>
                <w:kern w:val="0"/>
                <w:sz w:val="24"/>
                <w:szCs w:val="24"/>
                <w:u w:val="none"/>
                <w:lang w:val="zh-CN" w:eastAsia="zh-CN" w:bidi="ar"/>
              </w:rPr>
              <w:t>有序调控土地利用与市场。加大批而未供闲置土地的处置力度。严格落实土地“增存挂钩”机制，对批而未供和闲置土地逐宗核实梳理，建立处置台账。</w:t>
            </w:r>
          </w:p>
          <w:p w14:paraId="14DF29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zh-CN" w:eastAsia="zh-CN" w:bidi="ar"/>
              </w:rPr>
            </w:pPr>
          </w:p>
        </w:tc>
        <w:tc>
          <w:tcPr>
            <w:tcW w:w="1335" w:type="dxa"/>
            <w:vMerge w:val="continue"/>
            <w:tcBorders>
              <w:left w:val="single" w:color="000000" w:sz="4" w:space="0"/>
              <w:bottom w:val="single" w:color="000000" w:sz="4" w:space="0"/>
              <w:right w:val="single" w:color="000000" w:sz="4" w:space="0"/>
            </w:tcBorders>
            <w:shd w:val="clear" w:color="auto" w:fill="auto"/>
            <w:vAlign w:val="center"/>
          </w:tcPr>
          <w:p w14:paraId="6FEB3C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p>
        </w:tc>
        <w:tc>
          <w:tcPr>
            <w:tcW w:w="1845" w:type="dxa"/>
            <w:vMerge w:val="continue"/>
            <w:tcBorders>
              <w:left w:val="single" w:color="000000" w:sz="4" w:space="0"/>
              <w:bottom w:val="single" w:color="000000" w:sz="4" w:space="0"/>
              <w:right w:val="single" w:color="000000" w:sz="4" w:space="0"/>
            </w:tcBorders>
            <w:shd w:val="clear" w:color="auto" w:fill="auto"/>
            <w:vAlign w:val="center"/>
          </w:tcPr>
          <w:p w14:paraId="22D2D0A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391" w:type="dxa"/>
            <w:vMerge w:val="continue"/>
            <w:tcBorders>
              <w:left w:val="single" w:color="000000" w:sz="4" w:space="0"/>
              <w:bottom w:val="single" w:color="000000" w:sz="4" w:space="0"/>
              <w:right w:val="single" w:color="000000" w:sz="4" w:space="0"/>
            </w:tcBorders>
            <w:shd w:val="clear" w:color="auto" w:fill="auto"/>
            <w:vAlign w:val="center"/>
          </w:tcPr>
          <w:p w14:paraId="27A273D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6982A2A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7FAD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732D34B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restart"/>
            <w:tcBorders>
              <w:top w:val="single" w:color="000000" w:sz="4" w:space="0"/>
              <w:left w:val="single" w:color="000000" w:sz="4" w:space="0"/>
              <w:right w:val="single" w:color="000000" w:sz="4" w:space="0"/>
            </w:tcBorders>
            <w:shd w:val="clear" w:color="auto" w:fill="auto"/>
            <w:vAlign w:val="center"/>
          </w:tcPr>
          <w:p w14:paraId="09A134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预算管理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（25分）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FEC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预算编制质量</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645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DEB2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部门是否严格按要求编制年初部门预算，年初预算编制的科学性和准确性</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AD09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7</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449B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A583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6120693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left w:val="single" w:color="000000" w:sz="4" w:space="0"/>
              <w:right w:val="single" w:color="000000" w:sz="4" w:space="0"/>
            </w:tcBorders>
            <w:shd w:val="clear" w:color="auto" w:fill="auto"/>
            <w:vAlign w:val="center"/>
          </w:tcPr>
          <w:p w14:paraId="4F74D00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633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单位收入统筹</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6FC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846E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部门统筹自有收入努力程度</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FFE2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7956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1650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5" w:hRule="atLeast"/>
          <w:jc w:val="center"/>
        </w:trPr>
        <w:tc>
          <w:tcPr>
            <w:tcW w:w="1097" w:type="dxa"/>
            <w:vMerge w:val="continue"/>
            <w:tcBorders>
              <w:left w:val="single" w:color="000000" w:sz="4" w:space="0"/>
              <w:right w:val="single" w:color="000000" w:sz="4" w:space="0"/>
            </w:tcBorders>
            <w:shd w:val="clear" w:color="auto" w:fill="auto"/>
            <w:vAlign w:val="center"/>
          </w:tcPr>
          <w:p w14:paraId="2DD9B17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left w:val="single" w:color="000000" w:sz="4" w:space="0"/>
              <w:right w:val="single" w:color="000000" w:sz="4" w:space="0"/>
            </w:tcBorders>
            <w:shd w:val="clear" w:color="auto" w:fill="auto"/>
            <w:vAlign w:val="center"/>
          </w:tcPr>
          <w:p w14:paraId="50D2A96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69F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支出执行管理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7AF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85D1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部门1至6月、1至10月预算执行情况</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A4AE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3B2C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94D1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5B273E9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left w:val="single" w:color="000000" w:sz="4" w:space="0"/>
              <w:right w:val="single" w:color="000000" w:sz="4" w:space="0"/>
            </w:tcBorders>
            <w:shd w:val="clear" w:color="auto" w:fill="auto"/>
            <w:vAlign w:val="center"/>
          </w:tcPr>
          <w:p w14:paraId="6F603D0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4E9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预算年终结余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A13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0C06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部门整体年终预算结余情况</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BFAA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1D9C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516F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shd w:val="clear" w:color="auto" w:fill="auto"/>
            <w:vAlign w:val="center"/>
          </w:tcPr>
          <w:p w14:paraId="0EBCFA0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left w:val="single" w:color="000000" w:sz="4" w:space="0"/>
              <w:right w:val="single" w:color="000000" w:sz="4" w:space="0"/>
            </w:tcBorders>
            <w:shd w:val="clear" w:color="auto" w:fill="auto"/>
            <w:vAlign w:val="center"/>
          </w:tcPr>
          <w:p w14:paraId="030617E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A0A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严控一般性支出</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38E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4B5B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部门严控“三公”经费、会议、培训、差旅、办节办展、办公设备购置、信息化建设和运维、课题经费、竞赛活动、规划编制一般性支出情况</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B2AC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C0E3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7465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18094A7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87A3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财务管理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BF2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财务管理制度</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291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16D4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部门财务管理制度建立情况</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3B0C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49CB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E182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205741C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043E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A2D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财务岗位设置</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B82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2B72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部门财务岗位设置是否符合相关财务管理制度要求</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DF18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1891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04FA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36C7FFA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E574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AC4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资金使用规范</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23C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3FAA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部门资金使用是否符合相关财务管理制度规定</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3ACE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E799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3BD3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5A10887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restart"/>
            <w:tcBorders>
              <w:top w:val="single" w:color="000000" w:sz="4" w:space="0"/>
              <w:left w:val="single" w:color="000000" w:sz="4" w:space="0"/>
              <w:right w:val="single" w:color="000000" w:sz="4" w:space="0"/>
            </w:tcBorders>
            <w:shd w:val="clear" w:color="auto" w:fill="auto"/>
            <w:vAlign w:val="center"/>
          </w:tcPr>
          <w:p w14:paraId="770D5D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资产管理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p w14:paraId="0942FF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E6C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人均资产变化率</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219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FDDA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部门人均资产变化情况</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9619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F606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EC16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66E22DE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left w:val="single" w:color="000000" w:sz="4" w:space="0"/>
              <w:right w:val="single" w:color="000000" w:sz="4" w:space="0"/>
            </w:tcBorders>
            <w:shd w:val="clear" w:color="auto" w:fill="auto"/>
            <w:vAlign w:val="center"/>
          </w:tcPr>
          <w:p w14:paraId="48A2C90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F3E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资产利用率</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311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4605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部门资产超最低使用年限情况</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75AC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C328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42CF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3B11B8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p>
        </w:tc>
        <w:tc>
          <w:tcPr>
            <w:tcW w:w="1201" w:type="dxa"/>
            <w:vMerge w:val="continue"/>
            <w:tcBorders>
              <w:left w:val="single" w:color="000000" w:sz="4" w:space="0"/>
              <w:bottom w:val="single" w:color="000000" w:sz="4" w:space="0"/>
              <w:right w:val="single" w:color="000000" w:sz="4" w:space="0"/>
            </w:tcBorders>
            <w:shd w:val="clear" w:color="auto" w:fill="auto"/>
            <w:vAlign w:val="center"/>
          </w:tcPr>
          <w:p w14:paraId="7509D7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BBF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资产盘活率</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1B5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F2A5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部门闲置一年以上的资产盘活情况</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9E7B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AA67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6FCA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099CAB4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8F5E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采购管理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（6分）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711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支持中小企业发展</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CBB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5877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部门是否严格执行政府采购促进中小企业发展相关管理办法</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7ACB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8254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75D1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 w:hRule="atLeast"/>
          <w:jc w:val="center"/>
        </w:trPr>
        <w:tc>
          <w:tcPr>
            <w:tcW w:w="1097" w:type="dxa"/>
            <w:vMerge w:val="continue"/>
            <w:tcBorders>
              <w:left w:val="single" w:color="000000" w:sz="4" w:space="0"/>
              <w:bottom w:val="single" w:color="000000" w:sz="4" w:space="0"/>
              <w:right w:val="single" w:color="000000" w:sz="4" w:space="0"/>
            </w:tcBorders>
            <w:shd w:val="clear" w:color="auto" w:fill="auto"/>
            <w:vAlign w:val="center"/>
          </w:tcPr>
          <w:p w14:paraId="6AEDCE3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D927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E8D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采购执行率</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D47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4353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部门政府采购项目资金支付比例情况</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7F3B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1A53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B47E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7D27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项目绩效（35分）</w:t>
            </w: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769A79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（12分）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C70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37D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298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部门预算项目设立是否按规定履行评估论证、申报程序</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FFE2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267C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AC08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D356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4D1C94E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077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目标设置</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0C2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2486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部门预算项目绩效目标与计划期内的任务量、预算安排的资金量匹配情况，绩效目标设置是否科学合理、规范完整、量化细化、预算匹配</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4A9C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7632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3FDE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01234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0C4BEBF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C1C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项目入库</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746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357D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部门预算项目是否在规定时间完成项目入库</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61C5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5BF0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1AF7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DA47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36BD90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项目执行</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（12分）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150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执行同向</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566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AA84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部门预算项目实际列支内容是否与绩效目标设置方向相符</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77CE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C968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4128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C8AA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747E4D6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nil"/>
              <w:right w:val="single" w:color="000000" w:sz="4" w:space="0"/>
            </w:tcBorders>
            <w:shd w:val="clear" w:color="auto" w:fill="auto"/>
            <w:vAlign w:val="center"/>
          </w:tcPr>
          <w:p w14:paraId="6E07DC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项目调整</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A27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26D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部门预算项目是否采取对应调整措施</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7A5C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8F41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87D4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A87D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0BF9CFF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CB6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执行结果</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6FB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A542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部门预算项目预算执行情况</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155B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8881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2C21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D110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4C04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目标实现</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（11分）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2B6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20E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82AE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部门预算项目绩效目标数量指标完成情况</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E7AA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3780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A912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172C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51BC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8FC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目标偏离</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4BF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B1AB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部门预算项目绩效目标数量指标实现程度与预期目标的偏离情况</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B034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6F1E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5327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67E4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E8D5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15B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实现效果</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38F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79F4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部门预算项目绩效目标效益指标实施效果</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A928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C705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E1A8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2EA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57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D398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被评价部门配合度</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D50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83DB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DBCD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0741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14:paraId="3A3F3593">
      <w:pPr>
        <w:keepNext/>
        <w:keepLines/>
        <w:pageBreakBefore w:val="0"/>
        <w:widowControl w:val="0"/>
        <w:kinsoku/>
        <w:wordWrap/>
        <w:overflowPunct/>
        <w:topLinePunct w:val="0"/>
        <w:autoSpaceDE/>
        <w:autoSpaceDN/>
        <w:bidi w:val="0"/>
        <w:adjustRightInd/>
        <w:snapToGrid/>
        <w:spacing w:before="280" w:after="156" w:line="20" w:lineRule="exact"/>
        <w:textAlignment w:val="auto"/>
        <w:outlineLvl w:val="4"/>
        <w:rPr>
          <w:rFonts w:hint="default" w:ascii="Arial" w:hAnsi="Arial" w:eastAsia="黑体" w:cs="Times New Roman"/>
          <w:b/>
          <w:kern w:val="2"/>
          <w:sz w:val="24"/>
          <w:szCs w:val="28"/>
          <w:lang w:val="en-US" w:eastAsia="zh-CN" w:bidi="ar-SA"/>
        </w:rPr>
      </w:pPr>
    </w:p>
    <w:p w14:paraId="0BD34911">
      <w:pPr>
        <w:keepNext w:val="0"/>
        <w:keepLines w:val="0"/>
        <w:pageBreakBefore w:val="0"/>
        <w:widowControl w:val="0"/>
        <w:kinsoku/>
        <w:wordWrap/>
        <w:overflowPunct/>
        <w:topLinePunct w:val="0"/>
        <w:autoSpaceDE/>
        <w:autoSpaceDN/>
        <w:bidi w:val="0"/>
        <w:adjustRightInd/>
        <w:snapToGrid/>
        <w:spacing w:line="20" w:lineRule="exact"/>
        <w:textAlignment w:val="auto"/>
        <w:rPr>
          <w:rFonts w:hint="eastAsia" w:eastAsia="仿宋_GB2312"/>
          <w:color w:val="000000"/>
          <w:kern w:val="0"/>
          <w:sz w:val="33"/>
          <w:szCs w:val="33"/>
          <w:shd w:val="clear" w:color="auto" w:fill="FFFFFF"/>
          <w:lang w:eastAsia="zh-CN"/>
        </w:rPr>
      </w:pPr>
    </w:p>
    <w:p w14:paraId="7A72E1AC">
      <w:pPr>
        <w:snapToGrid w:val="0"/>
        <w:jc w:val="center"/>
        <w:rPr>
          <w:rFonts w:ascii="华文中宋" w:hAnsi="华文中宋" w:eastAsia="华文中宋" w:cs="Times New Roman"/>
          <w:sz w:val="36"/>
          <w:szCs w:val="36"/>
        </w:rPr>
      </w:pPr>
    </w:p>
    <w:p w14:paraId="0C347AFC">
      <w:pPr>
        <w:pStyle w:val="14"/>
        <w:rPr>
          <w:rFonts w:ascii="华文中宋" w:hAnsi="华文中宋" w:eastAsia="华文中宋" w:cs="Times New Roman"/>
          <w:sz w:val="36"/>
          <w:szCs w:val="36"/>
        </w:rPr>
      </w:pPr>
    </w:p>
    <w:p w14:paraId="5A0B7FEB">
      <w:pPr>
        <w:pStyle w:val="8"/>
        <w:rPr>
          <w:rFonts w:ascii="华文中宋" w:hAnsi="华文中宋" w:eastAsia="华文中宋" w:cs="Times New Roman"/>
          <w:sz w:val="36"/>
          <w:szCs w:val="36"/>
        </w:rPr>
      </w:pPr>
    </w:p>
    <w:p w14:paraId="1456B78F">
      <w:pPr>
        <w:rPr>
          <w:rFonts w:ascii="华文中宋" w:hAnsi="华文中宋" w:eastAsia="华文中宋" w:cs="Times New Roman"/>
          <w:sz w:val="36"/>
          <w:szCs w:val="36"/>
        </w:rPr>
      </w:pPr>
    </w:p>
    <w:p w14:paraId="272A3BC3">
      <w:pPr>
        <w:pStyle w:val="14"/>
        <w:rPr>
          <w:rFonts w:ascii="华文中宋" w:hAnsi="华文中宋" w:eastAsia="华文中宋" w:cs="Times New Roman"/>
          <w:sz w:val="36"/>
          <w:szCs w:val="36"/>
        </w:rPr>
      </w:pPr>
    </w:p>
    <w:p w14:paraId="491232EF">
      <w:pPr>
        <w:pStyle w:val="8"/>
        <w:rPr>
          <w:rFonts w:ascii="华文中宋" w:hAnsi="华文中宋" w:eastAsia="华文中宋" w:cs="Times New Roman"/>
          <w:sz w:val="36"/>
          <w:szCs w:val="36"/>
        </w:rPr>
      </w:pPr>
    </w:p>
    <w:p w14:paraId="7F61E948">
      <w:pPr>
        <w:rPr>
          <w:rFonts w:ascii="华文中宋" w:hAnsi="华文中宋" w:eastAsia="华文中宋" w:cs="Times New Roman"/>
          <w:sz w:val="36"/>
          <w:szCs w:val="36"/>
        </w:rPr>
      </w:pPr>
    </w:p>
    <w:p w14:paraId="76F43E37">
      <w:pPr>
        <w:pStyle w:val="14"/>
        <w:rPr>
          <w:rFonts w:ascii="华文中宋" w:hAnsi="华文中宋" w:eastAsia="华文中宋" w:cs="Times New Roman"/>
          <w:sz w:val="36"/>
          <w:szCs w:val="36"/>
        </w:rPr>
      </w:pPr>
    </w:p>
    <w:p w14:paraId="65B25076">
      <w:pPr>
        <w:pStyle w:val="8"/>
        <w:rPr>
          <w:rFonts w:ascii="华文中宋" w:hAnsi="华文中宋" w:eastAsia="华文中宋" w:cs="Times New Roman"/>
          <w:sz w:val="36"/>
          <w:szCs w:val="36"/>
        </w:rPr>
      </w:pPr>
    </w:p>
    <w:p w14:paraId="0ADB22BD">
      <w:pPr>
        <w:rPr>
          <w:rFonts w:ascii="华文中宋" w:hAnsi="华文中宋" w:eastAsia="华文中宋" w:cs="Times New Roman"/>
          <w:sz w:val="36"/>
          <w:szCs w:val="36"/>
        </w:rPr>
      </w:pPr>
    </w:p>
    <w:p w14:paraId="2801C588">
      <w:pPr>
        <w:pStyle w:val="2"/>
      </w:pPr>
    </w:p>
    <w:p w14:paraId="1CFE93D1">
      <w:pPr>
        <w:pStyle w:val="14"/>
      </w:pPr>
    </w:p>
    <w:p w14:paraId="5F00577A">
      <w:pPr>
        <w:pStyle w:val="6"/>
        <w:rPr>
          <w:rFonts w:hint="eastAsia" w:ascii="Times New Roman" w:hAnsi="Times New Roman" w:eastAsia="黑体" w:cs="黑体"/>
          <w:color w:val="auto"/>
          <w:kern w:val="0"/>
          <w:sz w:val="32"/>
          <w:szCs w:val="32"/>
          <w:highlight w:val="none"/>
          <w:shd w:val="clear" w:color="auto" w:fill="FFFFFF"/>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37B6610C">
      <w:pPr>
        <w:pStyle w:val="6"/>
        <w:rPr>
          <w:rFonts w:hint="eastAsia" w:ascii="Times New Roman" w:hAnsi="Times New Roman" w:eastAsia="黑体" w:cs="黑体"/>
          <w:color w:val="auto"/>
          <w:kern w:val="0"/>
          <w:sz w:val="32"/>
          <w:szCs w:val="32"/>
          <w:highlight w:val="none"/>
          <w:shd w:val="clear" w:color="auto" w:fill="FFFFFF"/>
          <w:lang w:val="en-US" w:eastAsia="zh-CN"/>
        </w:rPr>
      </w:pPr>
    </w:p>
    <w:p w14:paraId="40E03497">
      <w:pPr>
        <w:keepNext w:val="0"/>
        <w:keepLines w:val="0"/>
        <w:pageBreakBefore w:val="0"/>
        <w:widowControl/>
        <w:kinsoku/>
        <w:wordWrap/>
        <w:overflowPunct/>
        <w:topLinePunct w:val="0"/>
        <w:autoSpaceDE/>
        <w:autoSpaceDN/>
        <w:bidi w:val="0"/>
        <w:adjustRightInd w:val="0"/>
        <w:snapToGrid w:val="0"/>
        <w:spacing w:before="0" w:after="0" w:line="600" w:lineRule="exact"/>
        <w:ind w:left="0"/>
        <w:jc w:val="center"/>
        <w:textAlignment w:val="auto"/>
        <w:outlineLvl w:val="0"/>
        <w:rPr>
          <w:rFonts w:hint="eastAsia" w:ascii="方正小标宋简体" w:hAnsi="方正小标宋简体" w:eastAsia="方正小标宋简体" w:cs="方正小标宋简体"/>
          <w:b w:val="0"/>
          <w:bCs w:val="0"/>
          <w:sz w:val="44"/>
          <w:szCs w:val="44"/>
        </w:rPr>
      </w:pPr>
      <w:bookmarkStart w:id="47" w:name="_Toc15396618"/>
      <w:r>
        <w:rPr>
          <w:rFonts w:hint="eastAsia" w:ascii="方正小标宋简体" w:hAnsi="方正小标宋简体" w:eastAsia="方正小标宋简体" w:cs="方正小标宋简体"/>
          <w:b w:val="0"/>
          <w:bCs w:val="0"/>
          <w:sz w:val="44"/>
          <w:szCs w:val="44"/>
        </w:rPr>
        <w:t>沐川县2025年地质灾害防治专项</w:t>
      </w:r>
      <w:r>
        <w:rPr>
          <w:rFonts w:hint="eastAsia" w:ascii="方正小标宋简体" w:hAnsi="方正小标宋简体" w:eastAsia="方正小标宋简体" w:cs="方正小标宋简体"/>
          <w:b w:val="0"/>
          <w:bCs w:val="0"/>
          <w:sz w:val="44"/>
          <w:szCs w:val="44"/>
          <w:lang w:val="en-US" w:eastAsia="zh-CN"/>
        </w:rPr>
        <w:t>资金</w:t>
      </w:r>
      <w:r>
        <w:rPr>
          <w:rFonts w:hint="eastAsia" w:ascii="方正小标宋简体" w:hAnsi="方正小标宋简体" w:eastAsia="方正小标宋简体" w:cs="方正小标宋简体"/>
          <w:b w:val="0"/>
          <w:bCs w:val="0"/>
          <w:sz w:val="44"/>
          <w:szCs w:val="44"/>
        </w:rPr>
        <w:t>预算绩效自评报告</w:t>
      </w:r>
    </w:p>
    <w:p w14:paraId="2309D691">
      <w:pPr>
        <w:pageBreakBefore w:val="0"/>
        <w:kinsoku/>
        <w:wordWrap/>
        <w:overflowPunct/>
        <w:topLinePunct w:val="0"/>
        <w:autoSpaceDE/>
        <w:autoSpaceDN/>
        <w:bidi w:val="0"/>
        <w:spacing w:line="600" w:lineRule="exact"/>
        <w:textAlignment w:val="auto"/>
        <w:rPr>
          <w:rFonts w:hint="eastAsia" w:ascii="Calibri" w:hAnsi="Calibri" w:cs="Times New Roman"/>
          <w:kern w:val="0"/>
          <w:szCs w:val="22"/>
        </w:rPr>
      </w:pPr>
    </w:p>
    <w:p w14:paraId="4413D3D2">
      <w:pPr>
        <w:keepNext w:val="0"/>
        <w:keepLines w:val="0"/>
        <w:pageBreakBefore w:val="0"/>
        <w:widowControl/>
        <w:kinsoku/>
        <w:wordWrap/>
        <w:overflowPunct/>
        <w:topLinePunct w:val="0"/>
        <w:autoSpaceDE/>
        <w:autoSpaceDN/>
        <w:bidi w:val="0"/>
        <w:adjustRightInd w:val="0"/>
        <w:snapToGrid w:val="0"/>
        <w:spacing w:before="0" w:after="0" w:line="600" w:lineRule="exact"/>
        <w:ind w:left="0"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根据</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财政厅关于开展省级部门预算绩效自评工作的通知</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川财绩〔2025〕14号</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四川省自然资源厅关于开展2025年度专项资金项目绩效自评工作的通知</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〔2026〕-96</w:t>
      </w:r>
      <w:r>
        <w:rPr>
          <w:rFonts w:hint="eastAsia" w:ascii="仿宋" w:hAnsi="仿宋" w:eastAsia="仿宋" w:cs="仿宋"/>
          <w:sz w:val="32"/>
          <w:szCs w:val="32"/>
          <w:lang w:eastAsia="zh-CN"/>
        </w:rPr>
        <w:t>）</w:t>
      </w:r>
      <w:r>
        <w:rPr>
          <w:rFonts w:hint="eastAsia" w:ascii="仿宋" w:hAnsi="仿宋" w:eastAsia="仿宋" w:cs="仿宋"/>
          <w:sz w:val="32"/>
          <w:szCs w:val="32"/>
        </w:rPr>
        <w:t>及预算绩效管理相关要求，现将沐川县 2025 年地质灾害防治专项预算绩效自评情况报告如下：</w:t>
      </w:r>
    </w:p>
    <w:p w14:paraId="19EF95EB">
      <w:pPr>
        <w:keepNext w:val="0"/>
        <w:keepLines w:val="0"/>
        <w:pageBreakBefore w:val="0"/>
        <w:kinsoku/>
        <w:wordWrap/>
        <w:overflowPunct/>
        <w:topLinePunct w:val="0"/>
        <w:autoSpaceDE/>
        <w:autoSpaceDN/>
        <w:bidi w:val="0"/>
        <w:spacing w:before="0" w:after="0" w:line="600" w:lineRule="exact"/>
        <w:ind w:left="0" w:firstLine="640" w:firstLineChars="200"/>
        <w:jc w:val="left"/>
        <w:textAlignment w:val="auto"/>
        <w:outlineLvl w:val="1"/>
        <w:rPr>
          <w:rFonts w:hint="eastAsia" w:ascii="黑体" w:hAnsi="黑体" w:eastAsia="黑体" w:cs="黑体"/>
          <w:b w:val="0"/>
          <w:bCs w:val="0"/>
          <w:sz w:val="32"/>
          <w:szCs w:val="32"/>
        </w:rPr>
      </w:pPr>
      <w:r>
        <w:rPr>
          <w:rFonts w:hint="eastAsia" w:ascii="黑体" w:hAnsi="黑体" w:eastAsia="黑体" w:cs="黑体"/>
          <w:b w:val="0"/>
          <w:bCs w:val="0"/>
          <w:sz w:val="32"/>
          <w:szCs w:val="32"/>
        </w:rPr>
        <w:t>一、项目概况</w:t>
      </w:r>
      <w:r>
        <w:rPr>
          <w:rFonts w:hint="eastAsia" w:ascii="黑体" w:hAnsi="黑体" w:eastAsia="黑体" w:cs="黑体"/>
          <w:b w:val="0"/>
          <w:bCs w:val="0"/>
          <w:sz w:val="32"/>
          <w:szCs w:val="32"/>
          <w:lang w:eastAsia="zh-CN"/>
        </w:rPr>
        <w:t>和</w:t>
      </w:r>
      <w:r>
        <w:rPr>
          <w:rFonts w:hint="eastAsia" w:ascii="黑体" w:hAnsi="黑体" w:eastAsia="黑体" w:cs="黑体"/>
          <w:b w:val="0"/>
          <w:bCs w:val="0"/>
          <w:sz w:val="32"/>
          <w:szCs w:val="32"/>
          <w:lang w:val="en-US" w:eastAsia="zh-CN"/>
        </w:rPr>
        <w:t>资金下达情况</w:t>
      </w:r>
    </w:p>
    <w:p w14:paraId="00731AB5">
      <w:pPr>
        <w:keepNext w:val="0"/>
        <w:keepLines w:val="0"/>
        <w:pageBreakBefore w:val="0"/>
        <w:widowControl/>
        <w:kinsoku/>
        <w:wordWrap/>
        <w:overflowPunct/>
        <w:topLinePunct w:val="0"/>
        <w:autoSpaceDE/>
        <w:autoSpaceDN/>
        <w:bidi w:val="0"/>
        <w:adjustRightInd w:val="0"/>
        <w:snapToGrid w:val="0"/>
        <w:spacing w:before="0" w:after="0" w:line="600" w:lineRule="exact"/>
        <w:ind w:left="0"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2025年项目总预算</w:t>
      </w:r>
      <w:r>
        <w:rPr>
          <w:rFonts w:hint="eastAsia" w:ascii="仿宋" w:hAnsi="仿宋" w:eastAsia="仿宋" w:cs="仿宋"/>
          <w:sz w:val="32"/>
          <w:szCs w:val="32"/>
          <w:lang w:val="en-US" w:eastAsia="zh-CN"/>
        </w:rPr>
        <w:t>215.94</w:t>
      </w:r>
      <w:r>
        <w:rPr>
          <w:rFonts w:hint="eastAsia" w:ascii="仿宋" w:hAnsi="仿宋" w:eastAsia="仿宋" w:cs="仿宋"/>
          <w:sz w:val="32"/>
          <w:szCs w:val="32"/>
        </w:rPr>
        <w:t>万元，</w:t>
      </w:r>
      <w:r>
        <w:rPr>
          <w:rFonts w:hint="eastAsia" w:ascii="仿宋" w:hAnsi="仿宋" w:eastAsia="仿宋" w:cs="仿宋"/>
          <w:sz w:val="32"/>
          <w:szCs w:val="32"/>
          <w:lang w:val="en-US" w:eastAsia="zh-CN"/>
        </w:rPr>
        <w:t>其中</w:t>
      </w:r>
      <w:r>
        <w:rPr>
          <w:rFonts w:hint="eastAsia" w:ascii="仿宋" w:hAnsi="仿宋" w:eastAsia="仿宋" w:cs="仿宋"/>
          <w:sz w:val="32"/>
          <w:szCs w:val="32"/>
        </w:rPr>
        <w:t>中央和省级地质灾害防治专项资金</w:t>
      </w:r>
      <w:r>
        <w:rPr>
          <w:rFonts w:hint="eastAsia" w:ascii="仿宋" w:hAnsi="仿宋" w:eastAsia="仿宋" w:cs="仿宋"/>
          <w:sz w:val="32"/>
          <w:szCs w:val="32"/>
          <w:lang w:val="en-US" w:eastAsia="zh-CN"/>
        </w:rPr>
        <w:t>199.84万元，县级财政补助16.1万元</w:t>
      </w:r>
      <w:r>
        <w:rPr>
          <w:rFonts w:hint="eastAsia" w:ascii="仿宋" w:hAnsi="仿宋" w:eastAsia="仿宋" w:cs="仿宋"/>
          <w:sz w:val="32"/>
          <w:szCs w:val="32"/>
        </w:rPr>
        <w:t>，具体分配如下：</w:t>
      </w:r>
    </w:p>
    <w:p w14:paraId="24803BEA">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w:t>
      </w:r>
      <w:r>
        <w:rPr>
          <w:rFonts w:hint="eastAsia" w:ascii="仿宋" w:hAnsi="仿宋" w:eastAsia="仿宋" w:cs="仿宋"/>
          <w:sz w:val="32"/>
          <w:szCs w:val="32"/>
        </w:rPr>
        <w:t>沐川县舟坝镇乐群村11组花腔岩滑坡治理工程：</w:t>
      </w:r>
      <w:r>
        <w:rPr>
          <w:rFonts w:hint="eastAsia" w:ascii="仿宋" w:hAnsi="仿宋" w:eastAsia="仿宋" w:cs="仿宋"/>
          <w:sz w:val="32"/>
          <w:szCs w:val="32"/>
          <w:lang w:val="en-US" w:eastAsia="zh-CN"/>
        </w:rPr>
        <w:t>88.1</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其中</w:t>
      </w:r>
      <w:r>
        <w:rPr>
          <w:rFonts w:hint="eastAsia" w:ascii="仿宋" w:hAnsi="仿宋" w:eastAsia="仿宋" w:cs="仿宋"/>
          <w:sz w:val="32"/>
          <w:szCs w:val="32"/>
        </w:rPr>
        <w:t>中央和省级地质灾害防治专项资金</w:t>
      </w:r>
      <w:r>
        <w:rPr>
          <w:rFonts w:hint="eastAsia" w:ascii="仿宋" w:hAnsi="仿宋" w:eastAsia="仿宋" w:cs="仿宋"/>
          <w:sz w:val="32"/>
          <w:szCs w:val="32"/>
          <w:lang w:val="en-US" w:eastAsia="zh-CN"/>
        </w:rPr>
        <w:t>72万元，县级财政补助16.1万元，资金来源为2025年第一批中央和省级资金</w:t>
      </w:r>
      <w:r>
        <w:rPr>
          <w:rFonts w:hint="eastAsia" w:ascii="仿宋" w:hAnsi="仿宋" w:eastAsia="仿宋" w:cs="仿宋"/>
          <w:sz w:val="32"/>
          <w:szCs w:val="32"/>
          <w:lang w:eastAsia="zh-CN"/>
        </w:rPr>
        <w:t>；</w:t>
      </w:r>
    </w:p>
    <w:p w14:paraId="36E04CB5">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w:t>
      </w:r>
      <w:r>
        <w:rPr>
          <w:rFonts w:hint="eastAsia" w:ascii="仿宋" w:hAnsi="仿宋" w:eastAsia="仿宋" w:cs="仿宋"/>
          <w:sz w:val="32"/>
          <w:szCs w:val="32"/>
        </w:rPr>
        <w:t>专职监测项目：</w:t>
      </w:r>
      <w:r>
        <w:rPr>
          <w:rFonts w:hint="eastAsia" w:ascii="仿宋" w:hAnsi="仿宋" w:eastAsia="仿宋" w:cs="仿宋"/>
          <w:sz w:val="32"/>
          <w:szCs w:val="32"/>
          <w:lang w:val="en-US" w:eastAsia="zh-CN"/>
        </w:rPr>
        <w:t>2025年专职监测地质灾害点44处，每处补助0.36万元/年，共计15.84</w:t>
      </w:r>
      <w:r>
        <w:rPr>
          <w:rFonts w:hint="eastAsia" w:ascii="仿宋" w:hAnsi="仿宋" w:eastAsia="仿宋" w:cs="仿宋"/>
          <w:sz w:val="32"/>
          <w:szCs w:val="32"/>
        </w:rPr>
        <w:t xml:space="preserve"> 万元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资金来源为2025年第一批中央和省级资金</w:t>
      </w:r>
      <w:r>
        <w:rPr>
          <w:rFonts w:hint="eastAsia" w:ascii="仿宋" w:hAnsi="仿宋" w:eastAsia="仿宋" w:cs="仿宋"/>
          <w:sz w:val="32"/>
          <w:szCs w:val="32"/>
          <w:lang w:eastAsia="zh-CN"/>
        </w:rPr>
        <w:t>；</w:t>
      </w:r>
    </w:p>
    <w:p w14:paraId="5C58928F">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w:t>
      </w:r>
      <w:r>
        <w:rPr>
          <w:rFonts w:hint="eastAsia" w:ascii="仿宋" w:hAnsi="仿宋" w:eastAsia="仿宋" w:cs="仿宋"/>
          <w:sz w:val="32"/>
          <w:szCs w:val="32"/>
        </w:rPr>
        <w:t>避险搬迁项目（14户）：</w:t>
      </w:r>
      <w:r>
        <w:rPr>
          <w:rFonts w:hint="eastAsia" w:ascii="仿宋" w:hAnsi="仿宋" w:eastAsia="仿宋" w:cs="仿宋"/>
          <w:sz w:val="32"/>
          <w:szCs w:val="32"/>
          <w:lang w:val="en-US" w:eastAsia="zh-CN"/>
        </w:rPr>
        <w:t>沐川县2025第一批地质灾害搬迁农户14户，每户补助3.5万元，共计补助</w:t>
      </w:r>
      <w:r>
        <w:rPr>
          <w:rFonts w:hint="eastAsia" w:ascii="仿宋" w:hAnsi="仿宋" w:eastAsia="仿宋" w:cs="仿宋"/>
          <w:sz w:val="32"/>
          <w:szCs w:val="32"/>
        </w:rPr>
        <w:t>49万元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资金来源为2025年第一批中央和省级资金</w:t>
      </w:r>
      <w:r>
        <w:rPr>
          <w:rFonts w:hint="eastAsia" w:ascii="仿宋" w:hAnsi="仿宋" w:eastAsia="仿宋" w:cs="仿宋"/>
          <w:sz w:val="32"/>
          <w:szCs w:val="32"/>
          <w:lang w:eastAsia="zh-CN"/>
        </w:rPr>
        <w:t>；</w:t>
      </w:r>
    </w:p>
    <w:p w14:paraId="215B96CB">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w:t>
      </w:r>
      <w:r>
        <w:rPr>
          <w:rFonts w:hint="eastAsia" w:ascii="仿宋" w:hAnsi="仿宋" w:eastAsia="仿宋" w:cs="仿宋"/>
          <w:sz w:val="32"/>
          <w:szCs w:val="32"/>
        </w:rPr>
        <w:t>避险搬迁项目（1</w:t>
      </w:r>
      <w:r>
        <w:rPr>
          <w:rFonts w:hint="eastAsia" w:ascii="仿宋" w:hAnsi="仿宋" w:eastAsia="仿宋" w:cs="仿宋"/>
          <w:sz w:val="32"/>
          <w:szCs w:val="32"/>
          <w:lang w:val="en-US" w:eastAsia="zh-CN"/>
        </w:rPr>
        <w:t>8</w:t>
      </w:r>
      <w:r>
        <w:rPr>
          <w:rFonts w:hint="eastAsia" w:ascii="仿宋" w:hAnsi="仿宋" w:eastAsia="仿宋" w:cs="仿宋"/>
          <w:sz w:val="32"/>
          <w:szCs w:val="32"/>
        </w:rPr>
        <w:t>户）：</w:t>
      </w:r>
      <w:r>
        <w:rPr>
          <w:rFonts w:hint="eastAsia" w:ascii="仿宋" w:hAnsi="仿宋" w:eastAsia="仿宋" w:cs="仿宋"/>
          <w:sz w:val="32"/>
          <w:szCs w:val="32"/>
          <w:lang w:val="en-US" w:eastAsia="zh-CN"/>
        </w:rPr>
        <w:t>沐川县2025年第二批地质灾害搬迁农户18户，每户补助3.5万元，共计补助63</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资金来源为2025年第四批中央和省级资金</w:t>
      </w:r>
      <w:r>
        <w:rPr>
          <w:rFonts w:hint="eastAsia" w:ascii="仿宋" w:hAnsi="仿宋" w:eastAsia="仿宋" w:cs="仿宋"/>
          <w:sz w:val="32"/>
          <w:szCs w:val="32"/>
        </w:rPr>
        <w:t>。</w:t>
      </w:r>
    </w:p>
    <w:p w14:paraId="6E2E8EBE">
      <w:pPr>
        <w:keepNext w:val="0"/>
        <w:keepLines w:val="0"/>
        <w:pageBreakBefore w:val="0"/>
        <w:kinsoku/>
        <w:wordWrap/>
        <w:overflowPunct/>
        <w:topLinePunct w:val="0"/>
        <w:autoSpaceDE/>
        <w:autoSpaceDN/>
        <w:bidi w:val="0"/>
        <w:spacing w:before="0" w:after="0" w:line="600" w:lineRule="exact"/>
        <w:ind w:left="0" w:firstLine="640" w:firstLineChars="200"/>
        <w:jc w:val="left"/>
        <w:textAlignment w:val="auto"/>
        <w:outlineLvl w:val="1"/>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二、</w:t>
      </w:r>
      <w:r>
        <w:rPr>
          <w:rFonts w:hint="eastAsia" w:ascii="黑体" w:hAnsi="黑体" w:eastAsia="黑体" w:cs="黑体"/>
          <w:b w:val="0"/>
          <w:bCs w:val="0"/>
          <w:sz w:val="32"/>
          <w:szCs w:val="32"/>
        </w:rPr>
        <w:t>项目绩效目标设置</w:t>
      </w:r>
    </w:p>
    <w:p w14:paraId="3FE58AF0">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一</w:t>
      </w:r>
      <w:r>
        <w:rPr>
          <w:rFonts w:hint="eastAsia" w:ascii="仿宋" w:hAnsi="仿宋" w:eastAsia="仿宋" w:cs="仿宋"/>
          <w:sz w:val="32"/>
          <w:szCs w:val="32"/>
          <w:lang w:eastAsia="zh-CN"/>
        </w:rPr>
        <w:t>）</w:t>
      </w:r>
      <w:r>
        <w:rPr>
          <w:rFonts w:hint="eastAsia" w:ascii="仿宋" w:hAnsi="仿宋" w:eastAsia="仿宋" w:cs="仿宋"/>
          <w:sz w:val="32"/>
          <w:szCs w:val="32"/>
        </w:rPr>
        <w:t>整体目标：完成花腔岩滑坡治理工程，实现区域地质灾害专职监测全覆盖，</w:t>
      </w:r>
      <w:r>
        <w:rPr>
          <w:rFonts w:hint="eastAsia" w:ascii="仿宋" w:hAnsi="仿宋" w:eastAsia="仿宋" w:cs="仿宋"/>
          <w:sz w:val="32"/>
          <w:szCs w:val="32"/>
          <w:lang w:val="en-US" w:eastAsia="zh-CN"/>
        </w:rPr>
        <w:t>32</w:t>
      </w:r>
      <w:r>
        <w:rPr>
          <w:rFonts w:hint="eastAsia" w:ascii="仿宋" w:hAnsi="仿宋" w:eastAsia="仿宋" w:cs="仿宋"/>
          <w:sz w:val="32"/>
          <w:szCs w:val="32"/>
        </w:rPr>
        <w:t>户受威胁群众全部完成避险搬迁，区域地质灾害风险显著降低，群众安全保障水平大幅提升。</w:t>
      </w:r>
    </w:p>
    <w:p w14:paraId="78912839">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二</w:t>
      </w:r>
      <w:r>
        <w:rPr>
          <w:rFonts w:hint="eastAsia" w:ascii="仿宋" w:hAnsi="仿宋" w:eastAsia="仿宋" w:cs="仿宋"/>
          <w:sz w:val="32"/>
          <w:szCs w:val="32"/>
          <w:lang w:eastAsia="zh-CN"/>
        </w:rPr>
        <w:t>）</w:t>
      </w:r>
      <w:r>
        <w:rPr>
          <w:rFonts w:hint="eastAsia" w:ascii="仿宋" w:hAnsi="仿宋" w:eastAsia="仿宋" w:cs="仿宋"/>
          <w:sz w:val="32"/>
          <w:szCs w:val="32"/>
        </w:rPr>
        <w:t>区域目标：以舟坝镇乐群村为核心，辐射周边区域，形成可复制、可推广的地质灾害综合防治模式，为县域地质灾害防治工作提供示范。</w:t>
      </w:r>
    </w:p>
    <w:p w14:paraId="682A3CF5">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三</w:t>
      </w:r>
      <w:r>
        <w:rPr>
          <w:rFonts w:hint="eastAsia" w:ascii="仿宋" w:hAnsi="仿宋" w:eastAsia="仿宋" w:cs="仿宋"/>
          <w:sz w:val="32"/>
          <w:szCs w:val="32"/>
          <w:lang w:eastAsia="zh-CN"/>
        </w:rPr>
        <w:t>）</w:t>
      </w:r>
      <w:r>
        <w:rPr>
          <w:rFonts w:hint="eastAsia" w:ascii="仿宋" w:hAnsi="仿宋" w:eastAsia="仿宋" w:cs="仿宋"/>
          <w:sz w:val="32"/>
          <w:szCs w:val="32"/>
        </w:rPr>
        <w:t>具体目标：滑坡治理工程验收合格率100%，</w:t>
      </w:r>
      <w:r>
        <w:rPr>
          <w:rFonts w:hint="eastAsia" w:ascii="仿宋" w:hAnsi="仿宋" w:eastAsia="仿宋" w:cs="仿宋"/>
          <w:sz w:val="32"/>
          <w:szCs w:val="32"/>
          <w:lang w:val="en-US" w:eastAsia="zh-CN"/>
        </w:rPr>
        <w:t>群测群防监测覆盖率100</w:t>
      </w:r>
      <w:r>
        <w:rPr>
          <w:rFonts w:hint="eastAsia" w:ascii="仿宋" w:hAnsi="仿宋" w:eastAsia="仿宋" w:cs="仿宋"/>
          <w:sz w:val="32"/>
          <w:szCs w:val="32"/>
        </w:rPr>
        <w:t>%，搬迁群众入住率100%，群众满意度≥90%。</w:t>
      </w:r>
    </w:p>
    <w:p w14:paraId="3D4C79F6">
      <w:pPr>
        <w:keepNext w:val="0"/>
        <w:keepLines w:val="0"/>
        <w:pageBreakBefore w:val="0"/>
        <w:widowControl/>
        <w:kinsoku/>
        <w:wordWrap/>
        <w:overflowPunct/>
        <w:topLinePunct w:val="0"/>
        <w:autoSpaceDE/>
        <w:autoSpaceDN/>
        <w:bidi w:val="0"/>
        <w:adjustRightInd w:val="0"/>
        <w:snapToGrid w:val="0"/>
        <w:spacing w:before="0" w:after="0" w:line="600" w:lineRule="exac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项目自评工作已全面开展，</w:t>
      </w:r>
      <w:r>
        <w:rPr>
          <w:rFonts w:hint="eastAsia" w:ascii="仿宋" w:hAnsi="仿宋" w:eastAsia="仿宋" w:cs="仿宋"/>
          <w:sz w:val="32"/>
          <w:szCs w:val="32"/>
          <w:lang w:val="en-US" w:eastAsia="zh-CN"/>
        </w:rPr>
        <w:t>通过</w:t>
      </w:r>
      <w:r>
        <w:rPr>
          <w:rFonts w:hint="eastAsia" w:ascii="仿宋" w:hAnsi="仿宋" w:eastAsia="仿宋" w:cs="仿宋"/>
          <w:sz w:val="32"/>
          <w:szCs w:val="32"/>
        </w:rPr>
        <w:t>成立自评工作组，完成资料收集、现场核查、问卷调研、座谈访谈等工作，确保自评结果真实、准确、完整。</w:t>
      </w:r>
    </w:p>
    <w:p w14:paraId="682A7FC0">
      <w:pPr>
        <w:keepNext w:val="0"/>
        <w:keepLines w:val="0"/>
        <w:pageBreakBefore w:val="0"/>
        <w:kinsoku/>
        <w:wordWrap/>
        <w:overflowPunct/>
        <w:topLinePunct w:val="0"/>
        <w:autoSpaceDE/>
        <w:autoSpaceDN/>
        <w:bidi w:val="0"/>
        <w:spacing w:before="0" w:after="0" w:line="600" w:lineRule="exact"/>
        <w:ind w:left="0" w:firstLine="640" w:firstLineChars="200"/>
        <w:jc w:val="left"/>
        <w:textAlignment w:val="auto"/>
        <w:outlineLvl w:val="2"/>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三</w:t>
      </w:r>
      <w:r>
        <w:rPr>
          <w:rFonts w:hint="eastAsia" w:ascii="黑体" w:hAnsi="黑体" w:eastAsia="黑体" w:cs="黑体"/>
          <w:b w:val="0"/>
          <w:bCs w:val="0"/>
          <w:sz w:val="32"/>
          <w:szCs w:val="32"/>
        </w:rPr>
        <w:t>、绩效分析</w:t>
      </w:r>
    </w:p>
    <w:p w14:paraId="296544A9">
      <w:pPr>
        <w:keepNext w:val="0"/>
        <w:keepLines w:val="0"/>
        <w:pageBreakBefore w:val="0"/>
        <w:kinsoku/>
        <w:wordWrap/>
        <w:overflowPunct/>
        <w:topLinePunct w:val="0"/>
        <w:autoSpaceDE/>
        <w:autoSpaceDN/>
        <w:bidi w:val="0"/>
        <w:spacing w:before="0" w:after="0" w:line="600" w:lineRule="exact"/>
        <w:ind w:left="0" w:firstLine="640" w:firstLineChars="200"/>
        <w:jc w:val="left"/>
        <w:textAlignment w:val="auto"/>
        <w:outlineLvl w:val="2"/>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（一）通用指标绩效分析（总分54分，得分</w:t>
      </w:r>
      <w:r>
        <w:rPr>
          <w:rFonts w:hint="eastAsia" w:ascii="楷体_GB2312" w:hAnsi="楷体_GB2312" w:eastAsia="楷体_GB2312" w:cs="楷体_GB2312"/>
          <w:b w:val="0"/>
          <w:bCs w:val="0"/>
          <w:sz w:val="32"/>
          <w:szCs w:val="32"/>
          <w:lang w:val="en-US" w:eastAsia="zh-CN"/>
        </w:rPr>
        <w:t>50</w:t>
      </w:r>
      <w:r>
        <w:rPr>
          <w:rFonts w:hint="eastAsia" w:ascii="楷体_GB2312" w:hAnsi="楷体_GB2312" w:eastAsia="楷体_GB2312" w:cs="楷体_GB2312"/>
          <w:b w:val="0"/>
          <w:bCs w:val="0"/>
          <w:sz w:val="32"/>
          <w:szCs w:val="32"/>
        </w:rPr>
        <w:t>分）</w:t>
      </w:r>
    </w:p>
    <w:p w14:paraId="0A261BFA">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1.项目决策（18分，得分18分）</w:t>
      </w:r>
    </w:p>
    <w:p w14:paraId="3A4861BD">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（1）决策程序（6分）：严格履行立项申请、可行性研究、审批批复等程序，决策流程严密规范，得6分；</w:t>
      </w:r>
    </w:p>
    <w:p w14:paraId="62EA9A9B">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（2）规划论证（6分）：项目规划论证符合中省地质灾害防治工作要求，绩效目标设置科学合理，得6分；</w:t>
      </w:r>
    </w:p>
    <w:p w14:paraId="143E8DFF">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（3）资金投向（6分）：资金全部聚焦地质灾害防治重点任务，与地质灾害防治行业发展规划高度匹配，得6分。</w:t>
      </w:r>
    </w:p>
    <w:p w14:paraId="31FC20EA">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2.项目管理（18分，得分15分）</w:t>
      </w:r>
    </w:p>
    <w:p w14:paraId="24EEC4DB">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（1）制度办法（2分）：已制定资金使用管理实施细则，严格按照细则配置资金，制度体系健全，得2分；</w:t>
      </w:r>
    </w:p>
    <w:p w14:paraId="76CC7E05">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（2）分配管理（10分）：资金分配因素选取合理，权重设置科学，充分考虑风险等级、实际需求等因素，管理审批流程规范，但2025年第四批搬迁未执行，扣3分，得7分；</w:t>
      </w:r>
    </w:p>
    <w:p w14:paraId="0A35F24D">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（3）绩效监管（6分）：建立绩效监管机制，定期开展项目督导检查，及时发现并解决实施过程中的问题，对下指导有力有效，得6分。</w:t>
      </w:r>
    </w:p>
    <w:p w14:paraId="749D96A6">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3.项目实施（9分，得分9分）</w:t>
      </w:r>
    </w:p>
    <w:p w14:paraId="48096D57">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（1）预算执行（6分）：中央和省级财政资金及时足额拨付到位，项目单位执行规范，得6分；</w:t>
      </w:r>
    </w:p>
    <w:p w14:paraId="2F2B9AAA">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（2）资金使用（3分）：资金使用严格遵循相关规定，专款专用，无截留、挤占、挪用等违规情况，得3分。</w:t>
      </w:r>
    </w:p>
    <w:p w14:paraId="70A8ED9B">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4.项目结果（9分，得分8分）</w:t>
      </w:r>
    </w:p>
    <w:p w14:paraId="284C7B05">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目标完成（6分）：项目全面完成预期目标，滑坡治理工程顺利竣工、群测群防体系有效运行、14户群众全部搬迁，实施结果与绩效目标高度匹配，但部分项目启动缓慢，扣1分，得5分；</w:t>
      </w:r>
    </w:p>
    <w:p w14:paraId="60A78D21">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完成时效（3分）：项目实际完成时间与计划完成时间一致，未出现延期情况，得3分。</w:t>
      </w:r>
    </w:p>
    <w:p w14:paraId="36BE2FCB">
      <w:pPr>
        <w:keepNext w:val="0"/>
        <w:keepLines w:val="0"/>
        <w:pageBreakBefore w:val="0"/>
        <w:kinsoku/>
        <w:wordWrap/>
        <w:overflowPunct/>
        <w:topLinePunct w:val="0"/>
        <w:autoSpaceDE/>
        <w:autoSpaceDN/>
        <w:bidi w:val="0"/>
        <w:spacing w:before="0" w:after="0" w:line="600" w:lineRule="exact"/>
        <w:ind w:left="0" w:firstLine="640" w:firstLineChars="200"/>
        <w:jc w:val="left"/>
        <w:textAlignment w:val="auto"/>
        <w:outlineLvl w:val="2"/>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（二）专用指标绩效分析（总分30分，得分</w:t>
      </w:r>
      <w:r>
        <w:rPr>
          <w:rFonts w:hint="eastAsia" w:ascii="楷体_GB2312" w:hAnsi="楷体_GB2312" w:eastAsia="楷体_GB2312" w:cs="楷体_GB2312"/>
          <w:b w:val="0"/>
          <w:bCs w:val="0"/>
          <w:sz w:val="32"/>
          <w:szCs w:val="32"/>
          <w:lang w:val="en-US" w:eastAsia="zh-CN"/>
        </w:rPr>
        <w:t>30</w:t>
      </w:r>
      <w:r>
        <w:rPr>
          <w:rFonts w:hint="eastAsia" w:ascii="楷体_GB2312" w:hAnsi="楷体_GB2312" w:eastAsia="楷体_GB2312" w:cs="楷体_GB2312"/>
          <w:b w:val="0"/>
          <w:bCs w:val="0"/>
          <w:sz w:val="32"/>
          <w:szCs w:val="32"/>
        </w:rPr>
        <w:t>分）</w:t>
      </w:r>
    </w:p>
    <w:p w14:paraId="0ED1B120">
      <w:pPr>
        <w:keepNext w:val="0"/>
        <w:keepLines w:val="0"/>
        <w:pageBreakBefore w:val="0"/>
        <w:widowControl/>
        <w:kinsoku/>
        <w:wordWrap/>
        <w:overflowPunct/>
        <w:topLinePunct w:val="0"/>
        <w:autoSpaceDE/>
        <w:autoSpaceDN/>
        <w:bidi w:val="0"/>
        <w:adjustRightInd w:val="0"/>
        <w:snapToGrid w:val="0"/>
        <w:spacing w:before="0" w:after="0" w:line="600" w:lineRule="exact"/>
        <w:ind w:left="0"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项目</w:t>
      </w:r>
      <w:r>
        <w:rPr>
          <w:rFonts w:hint="eastAsia" w:ascii="仿宋" w:hAnsi="仿宋" w:eastAsia="仿宋" w:cs="仿宋"/>
          <w:sz w:val="32"/>
          <w:szCs w:val="32"/>
          <w:lang w:val="en-US" w:eastAsia="zh-CN"/>
        </w:rPr>
        <w:t>已竣工</w:t>
      </w:r>
      <w:r>
        <w:rPr>
          <w:rFonts w:hint="eastAsia" w:ascii="仿宋" w:hAnsi="仿宋" w:eastAsia="仿宋" w:cs="仿宋"/>
          <w:sz w:val="32"/>
          <w:szCs w:val="32"/>
        </w:rPr>
        <w:t>，围绕</w:t>
      </w:r>
      <w:r>
        <w:rPr>
          <w:rFonts w:hint="eastAsia" w:ascii="仿宋" w:hAnsi="仿宋" w:eastAsia="仿宋" w:cs="仿宋"/>
          <w:sz w:val="32"/>
          <w:szCs w:val="32"/>
          <w:lang w:val="en-US" w:eastAsia="zh-CN"/>
        </w:rPr>
        <w:t>项目验收、功能实现、后续管护</w:t>
      </w:r>
      <w:r>
        <w:rPr>
          <w:rFonts w:hint="eastAsia" w:ascii="仿宋" w:hAnsi="仿宋" w:eastAsia="仿宋" w:cs="仿宋"/>
          <w:sz w:val="32"/>
          <w:szCs w:val="32"/>
        </w:rPr>
        <w:t>开展分析：</w:t>
      </w:r>
    </w:p>
    <w:p w14:paraId="6F3D652B">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1.项目验收</w:t>
      </w:r>
      <w:r>
        <w:rPr>
          <w:rFonts w:hint="eastAsia" w:ascii="仿宋" w:hAnsi="仿宋" w:eastAsia="仿宋" w:cs="仿宋"/>
          <w:sz w:val="32"/>
          <w:szCs w:val="32"/>
        </w:rPr>
        <w:t>（10分）：</w:t>
      </w:r>
      <w:r>
        <w:rPr>
          <w:rFonts w:hint="eastAsia" w:ascii="仿宋" w:hAnsi="仿宋" w:eastAsia="仿宋" w:cs="仿宋"/>
          <w:sz w:val="32"/>
          <w:szCs w:val="32"/>
          <w:lang w:val="en-US" w:eastAsia="zh-CN"/>
        </w:rPr>
        <w:t>项目如期竣工，符合工程质量标准，顺利通过专家验收，得10分</w:t>
      </w:r>
      <w:r>
        <w:rPr>
          <w:rFonts w:hint="eastAsia" w:ascii="仿宋" w:hAnsi="仿宋" w:eastAsia="仿宋" w:cs="仿宋"/>
          <w:sz w:val="32"/>
          <w:szCs w:val="32"/>
        </w:rPr>
        <w:t>；</w:t>
      </w:r>
    </w:p>
    <w:p w14:paraId="3178C1C5">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2.功能实现</w:t>
      </w:r>
      <w:r>
        <w:rPr>
          <w:rFonts w:hint="eastAsia" w:ascii="仿宋" w:hAnsi="仿宋" w:eastAsia="仿宋" w:cs="仿宋"/>
          <w:sz w:val="32"/>
          <w:szCs w:val="32"/>
        </w:rPr>
        <w:t>（10分）：</w:t>
      </w:r>
      <w:r>
        <w:rPr>
          <w:rFonts w:hint="eastAsia" w:ascii="仿宋" w:hAnsi="仿宋" w:eastAsia="仿宋" w:cs="仿宋"/>
          <w:sz w:val="32"/>
          <w:szCs w:val="32"/>
          <w:lang w:val="en-US" w:eastAsia="zh-CN"/>
        </w:rPr>
        <w:t>经监测</w:t>
      </w:r>
      <w:r>
        <w:rPr>
          <w:rFonts w:hint="eastAsia" w:ascii="仿宋" w:hAnsi="仿宋" w:eastAsia="仿宋" w:cs="仿宋"/>
          <w:sz w:val="32"/>
          <w:szCs w:val="32"/>
        </w:rPr>
        <w:t>，</w:t>
      </w:r>
      <w:r>
        <w:rPr>
          <w:rFonts w:hint="eastAsia" w:ascii="仿宋" w:hAnsi="仿宋" w:eastAsia="仿宋" w:cs="仿宋"/>
          <w:sz w:val="32"/>
          <w:szCs w:val="32"/>
          <w:lang w:val="en-US" w:eastAsia="zh-CN"/>
        </w:rPr>
        <w:t>抗滑桩桩顶位移量极小，随时间推移逐渐趋于稳定，充分发挥了阻滑作用，且在暴雨连续降雨情况下保持稳定，治理工程有效发挥了作用，</w:t>
      </w:r>
      <w:r>
        <w:rPr>
          <w:rFonts w:hint="eastAsia" w:ascii="仿宋" w:hAnsi="仿宋" w:eastAsia="仿宋" w:cs="仿宋"/>
          <w:sz w:val="32"/>
          <w:szCs w:val="32"/>
        </w:rPr>
        <w:t>得10分；</w:t>
      </w:r>
    </w:p>
    <w:p w14:paraId="54AEDCD2">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3.后续管护</w:t>
      </w:r>
      <w:r>
        <w:rPr>
          <w:rFonts w:hint="eastAsia" w:ascii="仿宋" w:hAnsi="仿宋" w:eastAsia="仿宋" w:cs="仿宋"/>
          <w:sz w:val="32"/>
          <w:szCs w:val="32"/>
        </w:rPr>
        <w:t>（</w:t>
      </w:r>
      <w:r>
        <w:rPr>
          <w:rFonts w:hint="eastAsia" w:ascii="仿宋" w:hAnsi="仿宋" w:eastAsia="仿宋" w:cs="仿宋"/>
          <w:sz w:val="32"/>
          <w:szCs w:val="32"/>
          <w:lang w:val="en-US" w:eastAsia="zh-CN"/>
        </w:rPr>
        <w:t>10</w:t>
      </w:r>
      <w:r>
        <w:rPr>
          <w:rFonts w:hint="eastAsia" w:ascii="仿宋" w:hAnsi="仿宋" w:eastAsia="仿宋" w:cs="仿宋"/>
          <w:sz w:val="32"/>
          <w:szCs w:val="32"/>
        </w:rPr>
        <w:t>分）：</w:t>
      </w:r>
      <w:r>
        <w:rPr>
          <w:rFonts w:hint="eastAsia" w:ascii="仿宋" w:hAnsi="仿宋" w:eastAsia="仿宋" w:cs="仿宋"/>
          <w:sz w:val="32"/>
          <w:szCs w:val="32"/>
          <w:lang w:val="en-US" w:eastAsia="zh-CN"/>
        </w:rPr>
        <w:t>项目后续管护按既定方案有序开展，由专人负责，管理制度健全，但日常巡查频次不足，扣两分，</w:t>
      </w:r>
      <w:r>
        <w:rPr>
          <w:rFonts w:hint="eastAsia" w:ascii="仿宋" w:hAnsi="仿宋" w:eastAsia="仿宋" w:cs="仿宋"/>
          <w:sz w:val="32"/>
          <w:szCs w:val="32"/>
        </w:rPr>
        <w:t>得</w:t>
      </w:r>
      <w:r>
        <w:rPr>
          <w:rFonts w:hint="eastAsia" w:ascii="仿宋" w:hAnsi="仿宋" w:eastAsia="仿宋" w:cs="仿宋"/>
          <w:sz w:val="32"/>
          <w:szCs w:val="32"/>
          <w:lang w:val="en-US" w:eastAsia="zh-CN"/>
        </w:rPr>
        <w:t>10</w:t>
      </w:r>
      <w:r>
        <w:rPr>
          <w:rFonts w:hint="eastAsia" w:ascii="仿宋" w:hAnsi="仿宋" w:eastAsia="仿宋" w:cs="仿宋"/>
          <w:sz w:val="32"/>
          <w:szCs w:val="32"/>
        </w:rPr>
        <w:t>分</w:t>
      </w:r>
      <w:r>
        <w:rPr>
          <w:rFonts w:hint="eastAsia" w:ascii="仿宋" w:hAnsi="仿宋" w:eastAsia="仿宋" w:cs="仿宋"/>
          <w:sz w:val="32"/>
          <w:szCs w:val="32"/>
          <w:lang w:eastAsia="zh-CN"/>
        </w:rPr>
        <w:t>。</w:t>
      </w:r>
    </w:p>
    <w:p w14:paraId="0DBD0B56">
      <w:pPr>
        <w:keepNext w:val="0"/>
        <w:keepLines w:val="0"/>
        <w:pageBreakBefore w:val="0"/>
        <w:kinsoku/>
        <w:wordWrap/>
        <w:overflowPunct/>
        <w:topLinePunct w:val="0"/>
        <w:autoSpaceDE/>
        <w:autoSpaceDN/>
        <w:bidi w:val="0"/>
        <w:spacing w:before="0" w:after="0" w:line="600" w:lineRule="exact"/>
        <w:ind w:left="0" w:firstLine="640" w:firstLineChars="200"/>
        <w:jc w:val="left"/>
        <w:textAlignment w:val="auto"/>
        <w:outlineLvl w:val="2"/>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（三）个性指标绩效分析（总分16分，得分</w:t>
      </w:r>
      <w:r>
        <w:rPr>
          <w:rFonts w:hint="eastAsia" w:ascii="楷体_GB2312" w:hAnsi="楷体_GB2312" w:eastAsia="楷体_GB2312" w:cs="楷体_GB2312"/>
          <w:b w:val="0"/>
          <w:bCs w:val="0"/>
          <w:sz w:val="32"/>
          <w:szCs w:val="32"/>
          <w:lang w:val="en-US" w:eastAsia="zh-CN"/>
        </w:rPr>
        <w:t>16</w:t>
      </w:r>
      <w:r>
        <w:rPr>
          <w:rFonts w:hint="eastAsia" w:ascii="楷体_GB2312" w:hAnsi="楷体_GB2312" w:eastAsia="楷体_GB2312" w:cs="楷体_GB2312"/>
          <w:b w:val="0"/>
          <w:bCs w:val="0"/>
          <w:sz w:val="32"/>
          <w:szCs w:val="32"/>
        </w:rPr>
        <w:t>分）</w:t>
      </w:r>
    </w:p>
    <w:p w14:paraId="552D53C9">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结合项目特性，从地质灾害防治重点项目效果指标（12分）以及相关者满意度（4分）分析。</w:t>
      </w:r>
    </w:p>
    <w:p w14:paraId="05F54CB7">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1.地质灾害防治重点项目效果指标（12分，得分12分）</w:t>
      </w:r>
    </w:p>
    <w:p w14:paraId="42D950A2">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橙色以上地质灾害预警及时处置率（4分）：建立“预警接收－指令传达－监测员响应－群众撤离”全链条处置机制，接到橙色及以上地质灾害预警信息后，专职监测员15分钟内抵达隐患点巡查核实，2小时内完成受威胁群众通知及有序撤离，未发生因处置不及时导致的人员伤亡或财产损失。得分4分</w:t>
      </w:r>
    </w:p>
    <w:p w14:paraId="53D73DFC">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（2）地质灾害隐患点培训演练有效性（4分）：演练安排了专业技术人员进行指导，演练涵盖白天和夜间，按照既定撤离路线有序开展，增强了群众防灾意识，提高了群众避险能力，得4分；</w:t>
      </w:r>
    </w:p>
    <w:p w14:paraId="56C8AA44">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（3）隐患识别靶区处置率（4分）：开展常态化巡排查识别地灾隐患，结合斜坡调查成果针对靶区开展现场勘察，精准识别分析风险隐患，及时落实处置措施。得分4分。</w:t>
      </w:r>
    </w:p>
    <w:p w14:paraId="712C3BAA">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2.相关者满意度（4分，得分4分）</w:t>
      </w:r>
    </w:p>
    <w:p w14:paraId="76FF4568">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基层工作人员对地质灾害防治工作满意度（2分）：对于上报的风险隐患，做到了有报必查，及时给基层工作人员提供了技术支持和业务指导，有效沟通配合增强了识灾辨灾能力，提高了防灾水平，基层工作人员满意度高。得分2分；</w:t>
      </w:r>
    </w:p>
    <w:p w14:paraId="52AA478F">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w:t>
      </w:r>
      <w:r>
        <w:rPr>
          <w:rFonts w:hint="default" w:ascii="仿宋" w:hAnsi="仿宋" w:eastAsia="仿宋" w:cs="仿宋"/>
          <w:sz w:val="32"/>
          <w:szCs w:val="32"/>
          <w:lang w:val="en-US" w:eastAsia="zh-CN"/>
        </w:rPr>
        <w:t>地质灾害受威胁群众满意度</w:t>
      </w:r>
      <w:r>
        <w:rPr>
          <w:rFonts w:hint="eastAsia" w:ascii="仿宋" w:hAnsi="仿宋" w:eastAsia="仿宋" w:cs="仿宋"/>
          <w:sz w:val="32"/>
          <w:szCs w:val="32"/>
          <w:lang w:val="en-US" w:eastAsia="zh-CN"/>
        </w:rPr>
        <w:t>（2分）：通过现场调查，群众反馈工程治理效果满意度为100%，对工程施工过程组织的满意程度为100%，总的来看该工程得到了群众的广泛认可和支持，实现了良好社会效益。得分2分。</w:t>
      </w:r>
    </w:p>
    <w:p w14:paraId="59263A73">
      <w:pPr>
        <w:keepNext w:val="0"/>
        <w:keepLines w:val="0"/>
        <w:pageBreakBefore w:val="0"/>
        <w:kinsoku/>
        <w:wordWrap/>
        <w:overflowPunct/>
        <w:topLinePunct w:val="0"/>
        <w:autoSpaceDE/>
        <w:autoSpaceDN/>
        <w:bidi w:val="0"/>
        <w:spacing w:before="0" w:after="0" w:line="600" w:lineRule="exact"/>
        <w:ind w:left="0" w:firstLine="640" w:firstLineChars="200"/>
        <w:jc w:val="left"/>
        <w:textAlignment w:val="auto"/>
        <w:outlineLvl w:val="2"/>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（四）扣分项（总分 10 分，</w:t>
      </w:r>
      <w:r>
        <w:rPr>
          <w:rFonts w:hint="eastAsia" w:ascii="楷体_GB2312" w:hAnsi="楷体_GB2312" w:eastAsia="楷体_GB2312" w:cs="楷体_GB2312"/>
          <w:b w:val="0"/>
          <w:bCs w:val="0"/>
          <w:sz w:val="32"/>
          <w:szCs w:val="32"/>
          <w:lang w:val="en-US" w:eastAsia="zh-CN"/>
        </w:rPr>
        <w:t>扣0</w:t>
      </w:r>
      <w:r>
        <w:rPr>
          <w:rFonts w:hint="eastAsia" w:ascii="楷体_GB2312" w:hAnsi="楷体_GB2312" w:eastAsia="楷体_GB2312" w:cs="楷体_GB2312"/>
          <w:b w:val="0"/>
          <w:bCs w:val="0"/>
          <w:sz w:val="32"/>
          <w:szCs w:val="32"/>
        </w:rPr>
        <w:t>分）</w:t>
      </w:r>
    </w:p>
    <w:p w14:paraId="66B6DA3E">
      <w:pPr>
        <w:keepNext w:val="0"/>
        <w:keepLines w:val="0"/>
        <w:pageBreakBefore w:val="0"/>
        <w:widowControl/>
        <w:kinsoku/>
        <w:wordWrap/>
        <w:overflowPunct/>
        <w:topLinePunct w:val="0"/>
        <w:autoSpaceDE/>
        <w:autoSpaceDN/>
        <w:bidi w:val="0"/>
        <w:adjustRightInd w:val="0"/>
        <w:snapToGrid w:val="0"/>
        <w:spacing w:before="0" w:after="0" w:line="600" w:lineRule="exact"/>
        <w:ind w:left="0"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rPr>
        <w:t>被评价部门（沐川县自然资源局）积极配合自评工作，及时提供相关资料、协助现场核查，无配合不力情况</w:t>
      </w:r>
      <w:r>
        <w:rPr>
          <w:rFonts w:hint="eastAsia" w:ascii="仿宋" w:hAnsi="仿宋" w:eastAsia="仿宋" w:cs="仿宋"/>
          <w:sz w:val="32"/>
          <w:szCs w:val="32"/>
          <w:lang w:eastAsia="zh-CN"/>
        </w:rPr>
        <w:t>。</w:t>
      </w:r>
    </w:p>
    <w:p w14:paraId="01F299C7">
      <w:pPr>
        <w:keepNext w:val="0"/>
        <w:keepLines w:val="0"/>
        <w:pageBreakBefore w:val="0"/>
        <w:kinsoku/>
        <w:wordWrap/>
        <w:overflowPunct/>
        <w:topLinePunct w:val="0"/>
        <w:autoSpaceDE/>
        <w:autoSpaceDN/>
        <w:bidi w:val="0"/>
        <w:spacing w:before="0" w:after="0" w:line="600" w:lineRule="exact"/>
        <w:ind w:left="0" w:firstLine="640" w:firstLineChars="200"/>
        <w:jc w:val="left"/>
        <w:textAlignment w:val="auto"/>
        <w:outlineLvl w:val="2"/>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四</w:t>
      </w:r>
      <w:r>
        <w:rPr>
          <w:rFonts w:hint="eastAsia" w:ascii="黑体" w:hAnsi="黑体" w:eastAsia="黑体" w:cs="黑体"/>
          <w:b w:val="0"/>
          <w:bCs w:val="0"/>
          <w:sz w:val="32"/>
          <w:szCs w:val="32"/>
        </w:rPr>
        <w:t>、评价结论</w:t>
      </w:r>
    </w:p>
    <w:p w14:paraId="0EB99C04">
      <w:pPr>
        <w:keepNext w:val="0"/>
        <w:keepLines w:val="0"/>
        <w:pageBreakBefore w:val="0"/>
        <w:widowControl/>
        <w:kinsoku/>
        <w:wordWrap/>
        <w:overflowPunct/>
        <w:topLinePunct w:val="0"/>
        <w:autoSpaceDE/>
        <w:autoSpaceDN/>
        <w:bidi w:val="0"/>
        <w:adjustRightInd w:val="0"/>
        <w:snapToGrid w:val="0"/>
        <w:spacing w:before="0" w:after="0" w:line="600" w:lineRule="exac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本次专项预算绩效自评总得分为</w:t>
      </w:r>
      <w:r>
        <w:rPr>
          <w:rFonts w:hint="eastAsia" w:ascii="仿宋" w:hAnsi="仿宋" w:eastAsia="仿宋" w:cs="仿宋"/>
          <w:sz w:val="32"/>
          <w:szCs w:val="32"/>
          <w:lang w:val="en-US" w:eastAsia="zh-CN"/>
        </w:rPr>
        <w:t>96</w:t>
      </w:r>
      <w:r>
        <w:rPr>
          <w:rFonts w:hint="eastAsia" w:ascii="仿宋" w:hAnsi="仿宋" w:eastAsia="仿宋" w:cs="仿宋"/>
          <w:sz w:val="32"/>
          <w:szCs w:val="32"/>
        </w:rPr>
        <w:t>分（通用指标</w:t>
      </w:r>
      <w:r>
        <w:rPr>
          <w:rFonts w:hint="eastAsia" w:ascii="仿宋" w:hAnsi="仿宋" w:eastAsia="仿宋" w:cs="仿宋"/>
          <w:sz w:val="32"/>
          <w:szCs w:val="32"/>
          <w:lang w:val="en-US" w:eastAsia="zh-CN"/>
        </w:rPr>
        <w:t>50</w:t>
      </w:r>
      <w:r>
        <w:rPr>
          <w:rFonts w:hint="eastAsia" w:ascii="仿宋" w:hAnsi="仿宋" w:eastAsia="仿宋" w:cs="仿宋"/>
          <w:sz w:val="32"/>
          <w:szCs w:val="32"/>
        </w:rPr>
        <w:t>分+专用指标</w:t>
      </w:r>
      <w:r>
        <w:rPr>
          <w:rFonts w:hint="eastAsia" w:ascii="仿宋" w:hAnsi="仿宋" w:eastAsia="仿宋" w:cs="仿宋"/>
          <w:sz w:val="32"/>
          <w:szCs w:val="32"/>
          <w:lang w:val="en-US" w:eastAsia="zh-CN"/>
        </w:rPr>
        <w:t>30</w:t>
      </w:r>
      <w:r>
        <w:rPr>
          <w:rFonts w:hint="eastAsia" w:ascii="仿宋" w:hAnsi="仿宋" w:eastAsia="仿宋" w:cs="仿宋"/>
          <w:sz w:val="32"/>
          <w:szCs w:val="32"/>
        </w:rPr>
        <w:t>分+个性指标</w:t>
      </w:r>
      <w:r>
        <w:rPr>
          <w:rFonts w:hint="eastAsia" w:ascii="仿宋" w:hAnsi="仿宋" w:eastAsia="仿宋" w:cs="仿宋"/>
          <w:sz w:val="32"/>
          <w:szCs w:val="32"/>
          <w:lang w:val="en-US" w:eastAsia="zh-CN"/>
        </w:rPr>
        <w:t>16</w:t>
      </w:r>
      <w:r>
        <w:rPr>
          <w:rFonts w:hint="eastAsia" w:ascii="仿宋" w:hAnsi="仿宋" w:eastAsia="仿宋" w:cs="仿宋"/>
          <w:sz w:val="32"/>
          <w:szCs w:val="32"/>
        </w:rPr>
        <w:t>分</w:t>
      </w:r>
      <w:r>
        <w:rPr>
          <w:rFonts w:hint="eastAsia" w:ascii="仿宋" w:hAnsi="仿宋" w:eastAsia="仿宋" w:cs="仿宋"/>
          <w:sz w:val="32"/>
          <w:szCs w:val="32"/>
          <w:lang w:eastAsia="zh-CN"/>
        </w:rPr>
        <w:t>－</w:t>
      </w:r>
      <w:r>
        <w:rPr>
          <w:rFonts w:hint="eastAsia" w:ascii="仿宋" w:hAnsi="仿宋" w:eastAsia="仿宋" w:cs="仿宋"/>
          <w:sz w:val="32"/>
          <w:szCs w:val="32"/>
        </w:rPr>
        <w:t>扣分项0分），评价等级为优秀。</w:t>
      </w:r>
    </w:p>
    <w:p w14:paraId="2B52873E">
      <w:pPr>
        <w:keepNext w:val="0"/>
        <w:keepLines w:val="0"/>
        <w:pageBreakBefore w:val="0"/>
        <w:widowControl/>
        <w:kinsoku/>
        <w:wordWrap/>
        <w:overflowPunct/>
        <w:topLinePunct w:val="0"/>
        <w:autoSpaceDE/>
        <w:autoSpaceDN/>
        <w:bidi w:val="0"/>
        <w:adjustRightInd w:val="0"/>
        <w:snapToGrid w:val="0"/>
        <w:spacing w:before="0" w:after="0" w:line="600" w:lineRule="exac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项目整体实施情况良好，资金使用合规有序，全面完成了沐川县舟坝镇乐群村11组花腔岩滑坡治理、专职监测布设、</w:t>
      </w:r>
      <w:r>
        <w:rPr>
          <w:rFonts w:hint="eastAsia" w:ascii="仿宋" w:hAnsi="仿宋" w:eastAsia="仿宋" w:cs="仿宋"/>
          <w:sz w:val="32"/>
          <w:szCs w:val="32"/>
          <w:lang w:val="en-US" w:eastAsia="zh-CN"/>
        </w:rPr>
        <w:t>32</w:t>
      </w:r>
      <w:r>
        <w:rPr>
          <w:rFonts w:hint="eastAsia" w:ascii="仿宋" w:hAnsi="仿宋" w:eastAsia="仿宋" w:cs="仿宋"/>
          <w:sz w:val="32"/>
          <w:szCs w:val="32"/>
        </w:rPr>
        <w:t>户群众避险搬迁三大核心任务。通过项目实施，成功消除了区域地质灾害隐患，构建了有效的监测预警体系，保障了受威胁群众的生命财产安全，取得了显著的社会效益，得到了群众的广泛认可。但在制度体系完善、地方配套资金拨付、群众满意度提升等方面仍存在一定改进空间。</w:t>
      </w:r>
    </w:p>
    <w:p w14:paraId="4604F8E7">
      <w:pPr>
        <w:keepNext w:val="0"/>
        <w:keepLines w:val="0"/>
        <w:pageBreakBefore w:val="0"/>
        <w:kinsoku/>
        <w:wordWrap/>
        <w:overflowPunct/>
        <w:topLinePunct w:val="0"/>
        <w:autoSpaceDE/>
        <w:autoSpaceDN/>
        <w:bidi w:val="0"/>
        <w:spacing w:before="0" w:after="0" w:line="600" w:lineRule="exact"/>
        <w:ind w:left="0" w:firstLine="640" w:firstLineChars="200"/>
        <w:jc w:val="left"/>
        <w:textAlignment w:val="auto"/>
        <w:outlineLvl w:val="2"/>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五</w:t>
      </w:r>
      <w:r>
        <w:rPr>
          <w:rFonts w:hint="eastAsia" w:ascii="黑体" w:hAnsi="黑体" w:eastAsia="黑体" w:cs="黑体"/>
          <w:b w:val="0"/>
          <w:bCs w:val="0"/>
          <w:sz w:val="32"/>
          <w:szCs w:val="32"/>
        </w:rPr>
        <w:t>、存在主要问题</w:t>
      </w:r>
    </w:p>
    <w:p w14:paraId="31AA2757">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1.我县地处乌蒙山区，地质条件复杂，属于地质灾害高发区。现有地质灾害隐患点种类多，数量大，分散面积广，落实专业监测设备和实施地质灾害避险搬迁、工程治理难度大。</w:t>
      </w:r>
    </w:p>
    <w:p w14:paraId="7B9A698B">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专项资金缺口大，基层治理能力受限。县级财政对地质灾害治理的投入有限，中央和省级专项资金申报程序复杂、周期长，</w:t>
      </w:r>
      <w:r>
        <w:rPr>
          <w:rFonts w:hint="eastAsia" w:ascii="仿宋" w:hAnsi="仿宋" w:eastAsia="仿宋" w:cs="仿宋"/>
          <w:sz w:val="32"/>
          <w:szCs w:val="32"/>
          <w:lang w:val="en-US" w:eastAsia="zh-CN"/>
        </w:rPr>
        <w:t>地灾防治资金紧张。</w:t>
      </w:r>
    </w:p>
    <w:p w14:paraId="2D5F5F4D">
      <w:pPr>
        <w:keepNext w:val="0"/>
        <w:keepLines w:val="0"/>
        <w:pageBreakBefore w:val="0"/>
        <w:kinsoku/>
        <w:wordWrap/>
        <w:overflowPunct/>
        <w:topLinePunct w:val="0"/>
        <w:autoSpaceDE/>
        <w:autoSpaceDN/>
        <w:bidi w:val="0"/>
        <w:spacing w:before="0" w:after="0" w:line="600" w:lineRule="exact"/>
        <w:ind w:left="0" w:firstLine="640" w:firstLineChars="200"/>
        <w:jc w:val="left"/>
        <w:textAlignment w:val="auto"/>
        <w:outlineLvl w:val="2"/>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六、改进建议</w:t>
      </w:r>
    </w:p>
    <w:p w14:paraId="45E779F1">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加快配套资金拨付：加强与地方财政部门的沟通协调，细化配套资金筹措方案，建立资金拨付预警机制，定期跟踪资金到位情况，确保配套资金及时足额拨付，保障项目附属设施建设顺利推进。</w:t>
      </w:r>
    </w:p>
    <w:p w14:paraId="3D13F8FC">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提升群众保障水平：联合人社、乡村振兴、教育、医疗等部门，为搬迁群众提供就业技能培训、岗位推荐等服务，拓宽就业渠道；协调推进安置区域基础设施和公共服务配套建设，完善医疗、教育、购物等便民设施，及时回应并解决群众合理诉求，提升群众满意度。</w:t>
      </w:r>
    </w:p>
    <w:p w14:paraId="3F2DDB2B">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强化监测设备保障：对现有监测设备进行升级改造，优化数据传输线路，提升设备抗极端天气能力；制定监测设备应急保障预案，加强监测人员专业培训，提高应急处置能力，确保监测数据传输连续、准确，保障预警功能有效发挥。</w:t>
      </w:r>
    </w:p>
    <w:p w14:paraId="1417E630">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rPr>
      </w:pPr>
    </w:p>
    <w:p w14:paraId="191CF6B3">
      <w:pPr>
        <w:spacing w:before="300" w:after="120" w:line="288" w:lineRule="auto"/>
        <w:ind w:left="0"/>
        <w:jc w:val="left"/>
        <w:outlineLvl w:val="2"/>
        <w:rPr>
          <w:rFonts w:hint="eastAsia" w:ascii="黑体" w:hAnsi="黑体" w:eastAsia="黑体" w:cs="黑体"/>
          <w:b w:val="0"/>
          <w:bCs w:val="0"/>
          <w:sz w:val="32"/>
          <w:szCs w:val="32"/>
        </w:rPr>
      </w:pPr>
    </w:p>
    <w:p w14:paraId="0EEB4482">
      <w:pPr>
        <w:spacing w:before="300" w:after="120" w:line="288" w:lineRule="auto"/>
        <w:ind w:left="0"/>
        <w:jc w:val="left"/>
        <w:outlineLvl w:val="2"/>
        <w:rPr>
          <w:rFonts w:hint="eastAsia" w:ascii="黑体" w:hAnsi="黑体" w:eastAsia="黑体" w:cs="黑体"/>
          <w:b w:val="0"/>
          <w:bCs w:val="0"/>
          <w:sz w:val="32"/>
          <w:szCs w:val="32"/>
        </w:rPr>
      </w:pPr>
    </w:p>
    <w:p w14:paraId="5BB2D9A1">
      <w:pPr>
        <w:spacing w:before="300" w:after="120" w:line="288" w:lineRule="auto"/>
        <w:ind w:left="0"/>
        <w:jc w:val="center"/>
        <w:outlineLvl w:val="2"/>
        <w:rPr>
          <w:rFonts w:hint="eastAsia" w:ascii="方正小标宋简体" w:hAnsi="方正小标宋简体" w:eastAsia="方正小标宋简体" w:cs="方正小标宋简体"/>
          <w:b w:val="0"/>
          <w:bCs w:val="0"/>
          <w:sz w:val="44"/>
          <w:szCs w:val="44"/>
        </w:rPr>
      </w:pPr>
    </w:p>
    <w:p w14:paraId="122373BC">
      <w:pPr>
        <w:pStyle w:val="2"/>
        <w:rPr>
          <w:rFonts w:hint="eastAsia" w:ascii="方正小标宋简体" w:hAnsi="方正小标宋简体" w:eastAsia="方正小标宋简体" w:cs="方正小标宋简体"/>
          <w:b w:val="0"/>
          <w:bCs w:val="0"/>
          <w:sz w:val="44"/>
          <w:szCs w:val="44"/>
        </w:rPr>
      </w:pPr>
    </w:p>
    <w:p w14:paraId="0E7D7A78">
      <w:pPr>
        <w:rPr>
          <w:rFonts w:hint="eastAsia" w:ascii="方正小标宋简体" w:hAnsi="方正小标宋简体" w:eastAsia="方正小标宋简体" w:cs="方正小标宋简体"/>
          <w:b w:val="0"/>
          <w:bCs w:val="0"/>
          <w:sz w:val="44"/>
          <w:szCs w:val="44"/>
        </w:rPr>
      </w:pPr>
    </w:p>
    <w:p w14:paraId="31D53AA5">
      <w:pPr>
        <w:pStyle w:val="2"/>
        <w:rPr>
          <w:rFonts w:hint="eastAsia" w:ascii="方正小标宋简体" w:hAnsi="方正小标宋简体" w:eastAsia="方正小标宋简体" w:cs="方正小标宋简体"/>
          <w:b w:val="0"/>
          <w:bCs w:val="0"/>
          <w:sz w:val="44"/>
          <w:szCs w:val="44"/>
        </w:rPr>
      </w:pPr>
    </w:p>
    <w:p w14:paraId="4A549EF8">
      <w:pPr>
        <w:rPr>
          <w:rFonts w:hint="eastAsia"/>
        </w:rPr>
      </w:pPr>
    </w:p>
    <w:p w14:paraId="4DF8718B">
      <w:pPr>
        <w:spacing w:before="300" w:after="120" w:line="288" w:lineRule="auto"/>
        <w:ind w:left="0"/>
        <w:jc w:val="center"/>
        <w:outlineLvl w:val="2"/>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专项预算项目绩效目标完成情况自评表</w:t>
      </w:r>
    </w:p>
    <w:tbl>
      <w:tblPr>
        <w:tblStyle w:val="16"/>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08FF6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14:paraId="384BD0FE">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专项预算项目绩效目标完成情况自评表</w:t>
            </w:r>
          </w:p>
        </w:tc>
      </w:tr>
      <w:tr w14:paraId="65DEB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20359BA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EDA52DC">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r>
              <w:rPr>
                <w:rFonts w:hint="eastAsia" w:ascii="Times New Roman" w:hAnsi="Times New Roman" w:eastAsia="宋体" w:cs="Times New Roman"/>
                <w:i w:val="0"/>
                <w:color w:val="000000"/>
                <w:kern w:val="0"/>
                <w:sz w:val="24"/>
                <w:szCs w:val="24"/>
                <w:u w:val="none"/>
                <w:lang w:val="en-US" w:eastAsia="zh-CN" w:bidi="ar"/>
              </w:rPr>
              <w:t>沐川县2025年地质灾害防治专项项目（花腔岩滑坡治理、专职监测、避险搬迁）</w:t>
            </w:r>
          </w:p>
        </w:tc>
      </w:tr>
      <w:tr w14:paraId="20036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2DFC0EA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436669C">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r>
              <w:rPr>
                <w:rFonts w:hint="eastAsia" w:ascii="Times New Roman" w:hAnsi="Times New Roman" w:eastAsia="宋体" w:cs="Times New Roman"/>
                <w:i w:val="0"/>
                <w:color w:val="000000"/>
                <w:kern w:val="0"/>
                <w:sz w:val="24"/>
                <w:szCs w:val="24"/>
                <w:u w:val="none"/>
                <w:lang w:val="en-US" w:eastAsia="zh-CN" w:bidi="ar"/>
              </w:rPr>
              <w:t>沐川县自然资源局</w:t>
            </w:r>
          </w:p>
        </w:tc>
      </w:tr>
      <w:tr w14:paraId="1E724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4D113AC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B6A09D8">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r>
      <w:tr w14:paraId="6C169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51C468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1C3E6B2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中长期规划（名称、文号，仅指</w:t>
            </w:r>
          </w:p>
          <w:p w14:paraId="719C9B3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A3AD96A">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r>
      <w:tr w14:paraId="18D1C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971E2B">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3ED11D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72C0F10">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r>
      <w:tr w14:paraId="6BC1F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3F70CE">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8032A0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AE594D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34FA112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F958F8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856AFD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£因素法与项目法相结合</w:t>
            </w:r>
          </w:p>
        </w:tc>
      </w:tr>
      <w:tr w14:paraId="766B4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9374C8">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7727CFE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A50F6F6">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r>
      <w:tr w14:paraId="48398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53F819">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BC4851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4C07E52">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r>
      <w:tr w14:paraId="1CF65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C8FF7D">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3F2BA0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55B8D1E">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r>
      <w:tr w14:paraId="7F71F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CED5B8">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FC7799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261BF4C">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r>
      <w:tr w14:paraId="04163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F05A64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项目资金</w:t>
            </w:r>
          </w:p>
          <w:p w14:paraId="1BEDBE1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1C43409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F0FF692">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kern w:val="0"/>
                <w:sz w:val="21"/>
                <w:szCs w:val="21"/>
                <w:u w:val="none"/>
                <w:lang w:val="en-US"/>
              </w:rPr>
            </w:pPr>
            <w:r>
              <w:rPr>
                <w:rFonts w:hint="eastAsia" w:ascii="宋体" w:hAnsi="宋体" w:eastAsia="宋体" w:cs="宋体"/>
                <w:kern w:val="0"/>
                <w:sz w:val="21"/>
                <w:szCs w:val="21"/>
                <w:lang w:val="en-US" w:eastAsia="zh-CN"/>
              </w:rPr>
              <w:t>215.94</w:t>
            </w:r>
          </w:p>
        </w:tc>
      </w:tr>
      <w:tr w14:paraId="6C12C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A20D6E">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2222090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37A253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kern w:val="0"/>
                <w:sz w:val="21"/>
                <w:szCs w:val="21"/>
                <w:u w:val="none"/>
                <w:lang w:val="en-US" w:eastAsia="zh-CN"/>
              </w:rPr>
            </w:pPr>
            <w:r>
              <w:rPr>
                <w:rFonts w:hint="eastAsia" w:ascii="宋体" w:hAnsi="宋体" w:eastAsia="宋体" w:cs="宋体"/>
                <w:i w:val="0"/>
                <w:color w:val="000000"/>
                <w:kern w:val="0"/>
                <w:sz w:val="21"/>
                <w:szCs w:val="21"/>
                <w:u w:val="none"/>
                <w:lang w:val="en-US" w:eastAsia="zh-CN"/>
              </w:rPr>
              <w:t>199.84</w:t>
            </w:r>
          </w:p>
        </w:tc>
      </w:tr>
      <w:tr w14:paraId="044C2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C04533">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53F0969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0DA172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kern w:val="0"/>
                <w:sz w:val="21"/>
                <w:szCs w:val="21"/>
                <w:u w:val="none"/>
                <w:lang w:val="en-US"/>
              </w:rPr>
            </w:pPr>
            <w:r>
              <w:rPr>
                <w:rFonts w:hint="eastAsia" w:ascii="宋体" w:hAnsi="宋体" w:eastAsia="宋体" w:cs="宋体"/>
                <w:i w:val="0"/>
                <w:color w:val="000000"/>
                <w:kern w:val="0"/>
                <w:sz w:val="21"/>
                <w:szCs w:val="21"/>
                <w:u w:val="none"/>
                <w:lang w:val="en-US" w:eastAsia="zh-CN"/>
              </w:rPr>
              <w:t>16.1</w:t>
            </w:r>
          </w:p>
        </w:tc>
      </w:tr>
      <w:tr w14:paraId="58901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139D73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1BB3E0E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年度目标</w:t>
            </w:r>
          </w:p>
        </w:tc>
      </w:tr>
      <w:tr w14:paraId="16CCC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7B3439">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4F5D1055">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r>
      <w:tr w14:paraId="50B16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14:paraId="3FC64B0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750BEB6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6DB0BE5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14C557B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0585D92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13AEA8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64A1F4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378950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5B7288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实际完成指标值</w:t>
            </w:r>
          </w:p>
        </w:tc>
      </w:tr>
      <w:tr w14:paraId="3D639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5A43FFEA">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5ADEAF8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7327DAD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6A97E9">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滑坡治理工程完成数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A8D6CD">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完成</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D6AADE">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1</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E572BB">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D8215F">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7892E8">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1</w:t>
            </w:r>
          </w:p>
        </w:tc>
      </w:tr>
      <w:tr w14:paraId="630AE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2DDB52C5">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380275">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6200CE">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B53BFC">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地质灾害专职监测覆盖隐患点数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A97401">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全覆盖</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7FFD27">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区域内全部隐患点</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77EA25">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1B0588">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C9B2AD">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区域内地质灾害隐患点专职监测 100% 覆盖</w:t>
            </w:r>
          </w:p>
        </w:tc>
      </w:tr>
      <w:tr w14:paraId="692C3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530889B7">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F9C396">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EFA160">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96C96B">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避险搬迁完成户数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E9A388">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完成</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E79A4">
            <w:pPr>
              <w:spacing w:before="120" w:after="120" w:line="288" w:lineRule="auto"/>
              <w:ind w:left="0" w:leftChars="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32</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FA5EE4">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户</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883820">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DDE2B8">
            <w:pPr>
              <w:spacing w:before="120" w:after="120" w:line="288" w:lineRule="auto"/>
              <w:ind w:left="0" w:leftChars="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实际完成搬迁</w:t>
            </w:r>
            <w:r>
              <w:rPr>
                <w:rFonts w:hint="eastAsia" w:ascii="宋体" w:hAnsi="宋体" w:eastAsia="宋体" w:cs="宋体"/>
                <w:sz w:val="21"/>
                <w:szCs w:val="21"/>
              </w:rPr>
              <w:t>14</w:t>
            </w:r>
            <w:r>
              <w:rPr>
                <w:rFonts w:hint="eastAsia" w:ascii="宋体" w:hAnsi="宋体" w:eastAsia="宋体" w:cs="宋体"/>
                <w:sz w:val="21"/>
                <w:szCs w:val="21"/>
                <w:lang w:val="en-US" w:eastAsia="zh-CN"/>
              </w:rPr>
              <w:t>户</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2025年第二批地质灾害搬迁农户18户未完成</w:t>
            </w:r>
          </w:p>
        </w:tc>
      </w:tr>
      <w:tr w14:paraId="0592C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74"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3BABBDD6">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1A0931">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2AAAA15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质量指标</w:t>
            </w:r>
          </w:p>
        </w:tc>
        <w:tc>
          <w:tcPr>
            <w:tcW w:w="1312" w:type="dxa"/>
            <w:tcBorders>
              <w:top w:val="single" w:color="000000" w:sz="4" w:space="0"/>
              <w:left w:val="single" w:color="000000" w:sz="4" w:space="0"/>
              <w:right w:val="single" w:color="000000" w:sz="4" w:space="0"/>
            </w:tcBorders>
            <w:noWrap w:val="0"/>
            <w:vAlign w:val="center"/>
          </w:tcPr>
          <w:p w14:paraId="58BF1173">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工程验收合格率</w:t>
            </w:r>
          </w:p>
        </w:tc>
        <w:tc>
          <w:tcPr>
            <w:tcW w:w="1127" w:type="dxa"/>
            <w:tcBorders>
              <w:top w:val="single" w:color="000000" w:sz="4" w:space="0"/>
              <w:left w:val="single" w:color="000000" w:sz="4" w:space="0"/>
              <w:right w:val="single" w:color="000000" w:sz="4" w:space="0"/>
            </w:tcBorders>
            <w:noWrap w:val="0"/>
            <w:vAlign w:val="center"/>
          </w:tcPr>
          <w:p w14:paraId="1813C13F">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971" w:type="dxa"/>
            <w:tcBorders>
              <w:top w:val="single" w:color="000000" w:sz="4" w:space="0"/>
              <w:left w:val="single" w:color="000000" w:sz="4" w:space="0"/>
              <w:right w:val="single" w:color="000000" w:sz="4" w:space="0"/>
            </w:tcBorders>
            <w:noWrap w:val="0"/>
            <w:vAlign w:val="center"/>
          </w:tcPr>
          <w:p w14:paraId="346E1E22">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100%</w:t>
            </w:r>
          </w:p>
        </w:tc>
        <w:tc>
          <w:tcPr>
            <w:tcW w:w="1061" w:type="dxa"/>
            <w:tcBorders>
              <w:top w:val="single" w:color="000000" w:sz="4" w:space="0"/>
              <w:left w:val="single" w:color="000000" w:sz="4" w:space="0"/>
              <w:right w:val="single" w:color="000000" w:sz="4" w:space="0"/>
            </w:tcBorders>
            <w:noWrap w:val="0"/>
            <w:vAlign w:val="center"/>
          </w:tcPr>
          <w:p w14:paraId="484CC859">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938" w:type="dxa"/>
            <w:tcBorders>
              <w:top w:val="single" w:color="000000" w:sz="4" w:space="0"/>
              <w:left w:val="single" w:color="000000" w:sz="4" w:space="0"/>
              <w:right w:val="single" w:color="000000" w:sz="4" w:space="0"/>
            </w:tcBorders>
            <w:noWrap w:val="0"/>
            <w:vAlign w:val="center"/>
          </w:tcPr>
          <w:p w14:paraId="287C4459">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9FFB850">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100%</w:t>
            </w:r>
          </w:p>
        </w:tc>
      </w:tr>
      <w:tr w14:paraId="5E5F9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31"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5032816F">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57EDE6">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250" w:type="dxa"/>
            <w:tcBorders>
              <w:top w:val="single" w:color="000000" w:sz="4" w:space="0"/>
              <w:left w:val="single" w:color="000000" w:sz="4" w:space="0"/>
              <w:right w:val="single" w:color="000000" w:sz="4" w:space="0"/>
            </w:tcBorders>
            <w:noWrap w:val="0"/>
            <w:vAlign w:val="center"/>
          </w:tcPr>
          <w:p w14:paraId="3FE975E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时效指标</w:t>
            </w:r>
          </w:p>
          <w:p w14:paraId="471DE42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p>
        </w:tc>
        <w:tc>
          <w:tcPr>
            <w:tcW w:w="1312" w:type="dxa"/>
            <w:tcBorders>
              <w:top w:val="single" w:color="000000" w:sz="4" w:space="0"/>
              <w:left w:val="single" w:color="000000" w:sz="4" w:space="0"/>
              <w:right w:val="single" w:color="000000" w:sz="4" w:space="0"/>
            </w:tcBorders>
            <w:noWrap w:val="0"/>
            <w:vAlign w:val="center"/>
          </w:tcPr>
          <w:p w14:paraId="781F64CC">
            <w:pPr>
              <w:spacing w:before="120" w:after="120" w:line="288" w:lineRule="auto"/>
              <w:ind w:left="0" w:leftChars="0"/>
              <w:jc w:val="center"/>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项目完成时限</w:t>
            </w:r>
          </w:p>
        </w:tc>
        <w:tc>
          <w:tcPr>
            <w:tcW w:w="1127" w:type="dxa"/>
            <w:tcBorders>
              <w:top w:val="single" w:color="000000" w:sz="4" w:space="0"/>
              <w:left w:val="single" w:color="000000" w:sz="4" w:space="0"/>
              <w:right w:val="single" w:color="000000" w:sz="4" w:space="0"/>
            </w:tcBorders>
            <w:noWrap w:val="0"/>
            <w:vAlign w:val="center"/>
          </w:tcPr>
          <w:p w14:paraId="681C8B48">
            <w:pPr>
              <w:spacing w:before="120" w:after="120" w:line="288" w:lineRule="auto"/>
              <w:ind w:left="0" w:leftChars="0"/>
              <w:jc w:val="center"/>
              <w:rPr>
                <w:rFonts w:hint="eastAsia" w:ascii="宋体" w:hAnsi="宋体" w:eastAsia="宋体" w:cs="宋体"/>
                <w:i w:val="0"/>
                <w:color w:val="000000"/>
                <w:sz w:val="21"/>
                <w:szCs w:val="21"/>
                <w:u w:val="none"/>
                <w:lang w:eastAsia="zh-CN"/>
              </w:rPr>
            </w:pPr>
            <w:r>
              <w:rPr>
                <w:rFonts w:hint="eastAsia" w:ascii="宋体" w:hAnsi="宋体" w:eastAsia="宋体" w:cs="宋体"/>
                <w:sz w:val="21"/>
                <w:szCs w:val="21"/>
                <w:lang w:val="en-US" w:eastAsia="zh-CN"/>
              </w:rPr>
              <w:t>完成</w:t>
            </w:r>
          </w:p>
        </w:tc>
        <w:tc>
          <w:tcPr>
            <w:tcW w:w="971" w:type="dxa"/>
            <w:tcBorders>
              <w:top w:val="single" w:color="000000" w:sz="4" w:space="0"/>
              <w:left w:val="single" w:color="000000" w:sz="4" w:space="0"/>
              <w:right w:val="single" w:color="000000" w:sz="4" w:space="0"/>
            </w:tcBorders>
            <w:noWrap w:val="0"/>
            <w:vAlign w:val="center"/>
          </w:tcPr>
          <w:p w14:paraId="6AEDB6C7">
            <w:pPr>
              <w:spacing w:before="120" w:after="120" w:line="288" w:lineRule="auto"/>
              <w:ind w:left="0" w:leftChars="0"/>
              <w:jc w:val="center"/>
              <w:rPr>
                <w:rFonts w:hint="eastAsia" w:ascii="宋体" w:hAnsi="宋体" w:eastAsia="宋体" w:cs="宋体"/>
                <w:i w:val="0"/>
                <w:color w:val="000000"/>
                <w:sz w:val="21"/>
                <w:szCs w:val="21"/>
                <w:u w:val="none"/>
                <w:lang w:eastAsia="zh-CN"/>
              </w:rPr>
            </w:pPr>
            <w:r>
              <w:rPr>
                <w:rFonts w:hint="eastAsia" w:ascii="宋体" w:hAnsi="宋体" w:eastAsia="宋体" w:cs="宋体"/>
                <w:sz w:val="21"/>
                <w:szCs w:val="21"/>
                <w:lang w:val="en-US" w:eastAsia="zh-CN"/>
              </w:rPr>
              <w:t>4</w:t>
            </w:r>
          </w:p>
        </w:tc>
        <w:tc>
          <w:tcPr>
            <w:tcW w:w="1061" w:type="dxa"/>
            <w:tcBorders>
              <w:top w:val="single" w:color="000000" w:sz="4" w:space="0"/>
              <w:left w:val="single" w:color="000000" w:sz="4" w:space="0"/>
              <w:right w:val="single" w:color="000000" w:sz="4" w:space="0"/>
            </w:tcBorders>
            <w:noWrap w:val="0"/>
            <w:vAlign w:val="center"/>
          </w:tcPr>
          <w:p w14:paraId="107EC8C8">
            <w:pPr>
              <w:spacing w:before="120" w:after="120" w:line="288" w:lineRule="auto"/>
              <w:ind w:left="0" w:leftChars="0"/>
              <w:jc w:val="center"/>
              <w:rPr>
                <w:rFonts w:hint="eastAsia" w:ascii="宋体" w:hAnsi="宋体" w:eastAsia="宋体" w:cs="宋体"/>
                <w:i w:val="0"/>
                <w:color w:val="000000"/>
                <w:sz w:val="21"/>
                <w:szCs w:val="21"/>
                <w:u w:val="none"/>
                <w:lang w:eastAsia="zh-CN"/>
              </w:rPr>
            </w:pPr>
            <w:r>
              <w:rPr>
                <w:rFonts w:hint="eastAsia" w:ascii="宋体" w:hAnsi="宋体" w:eastAsia="宋体" w:cs="宋体"/>
                <w:sz w:val="21"/>
                <w:szCs w:val="21"/>
                <w:lang w:val="en-US" w:eastAsia="zh-CN"/>
              </w:rPr>
              <w:t>个</w:t>
            </w:r>
          </w:p>
        </w:tc>
        <w:tc>
          <w:tcPr>
            <w:tcW w:w="938" w:type="dxa"/>
            <w:tcBorders>
              <w:top w:val="single" w:color="000000" w:sz="4" w:space="0"/>
              <w:left w:val="single" w:color="000000" w:sz="4" w:space="0"/>
              <w:right w:val="single" w:color="000000" w:sz="4" w:space="0"/>
            </w:tcBorders>
            <w:noWrap w:val="0"/>
            <w:vAlign w:val="center"/>
          </w:tcPr>
          <w:p w14:paraId="6D4D7908">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E2CCC40">
            <w:pPr>
              <w:spacing w:before="120" w:after="120" w:line="288" w:lineRule="auto"/>
              <w:ind w:left="0" w:leftChars="0"/>
              <w:jc w:val="center"/>
              <w:rPr>
                <w:rFonts w:hint="eastAsia" w:ascii="宋体" w:hAnsi="宋体" w:eastAsia="宋体" w:cs="宋体"/>
                <w:i w:val="0"/>
                <w:color w:val="000000"/>
                <w:sz w:val="21"/>
                <w:szCs w:val="21"/>
                <w:u w:val="none"/>
                <w:lang w:eastAsia="zh-CN"/>
              </w:rPr>
            </w:pPr>
            <w:r>
              <w:rPr>
                <w:rFonts w:hint="eastAsia" w:ascii="宋体" w:hAnsi="宋体" w:eastAsia="宋体" w:cs="宋体"/>
                <w:sz w:val="21"/>
                <w:szCs w:val="21"/>
                <w:lang w:val="en-US" w:eastAsia="zh-CN"/>
              </w:rPr>
              <w:t>3</w:t>
            </w:r>
          </w:p>
        </w:tc>
      </w:tr>
      <w:tr w14:paraId="5DFED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4"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4168DC8D">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29E5BE0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效益指标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345451C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经济效益</w:t>
            </w:r>
          </w:p>
          <w:p w14:paraId="2BDF88E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指标</w:t>
            </w:r>
          </w:p>
        </w:tc>
        <w:tc>
          <w:tcPr>
            <w:tcW w:w="1312" w:type="dxa"/>
            <w:tcBorders>
              <w:top w:val="single" w:color="000000" w:sz="4" w:space="0"/>
              <w:left w:val="single" w:color="000000" w:sz="4" w:space="0"/>
              <w:right w:val="single" w:color="000000" w:sz="4" w:space="0"/>
            </w:tcBorders>
            <w:noWrap w:val="0"/>
            <w:vAlign w:val="center"/>
          </w:tcPr>
          <w:p w14:paraId="72B4BCA4">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受地质灾害威胁群众生命安全保障率</w:t>
            </w:r>
          </w:p>
        </w:tc>
        <w:tc>
          <w:tcPr>
            <w:tcW w:w="1127" w:type="dxa"/>
            <w:tcBorders>
              <w:top w:val="single" w:color="000000" w:sz="4" w:space="0"/>
              <w:left w:val="single" w:color="000000" w:sz="4" w:space="0"/>
              <w:right w:val="single" w:color="000000" w:sz="4" w:space="0"/>
            </w:tcBorders>
            <w:noWrap w:val="0"/>
            <w:vAlign w:val="center"/>
          </w:tcPr>
          <w:p w14:paraId="7BA5C58E">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提升</w:t>
            </w:r>
          </w:p>
        </w:tc>
        <w:tc>
          <w:tcPr>
            <w:tcW w:w="971" w:type="dxa"/>
            <w:tcBorders>
              <w:top w:val="single" w:color="000000" w:sz="4" w:space="0"/>
              <w:left w:val="single" w:color="000000" w:sz="4" w:space="0"/>
              <w:right w:val="single" w:color="000000" w:sz="4" w:space="0"/>
            </w:tcBorders>
            <w:noWrap w:val="0"/>
            <w:vAlign w:val="center"/>
          </w:tcPr>
          <w:p w14:paraId="0069C6C9">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1061" w:type="dxa"/>
            <w:tcBorders>
              <w:top w:val="single" w:color="000000" w:sz="4" w:space="0"/>
              <w:left w:val="single" w:color="000000" w:sz="4" w:space="0"/>
              <w:right w:val="single" w:color="000000" w:sz="4" w:space="0"/>
            </w:tcBorders>
            <w:noWrap w:val="0"/>
            <w:vAlign w:val="center"/>
          </w:tcPr>
          <w:p w14:paraId="7485A577">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938" w:type="dxa"/>
            <w:tcBorders>
              <w:top w:val="single" w:color="000000" w:sz="4" w:space="0"/>
              <w:left w:val="single" w:color="000000" w:sz="4" w:space="0"/>
              <w:right w:val="single" w:color="000000" w:sz="4" w:space="0"/>
            </w:tcBorders>
            <w:noWrap w:val="0"/>
            <w:vAlign w:val="center"/>
          </w:tcPr>
          <w:p w14:paraId="20AEF2F1">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B6EA01A">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有效保障 14 户搬迁群众及区域内居民生命安全</w:t>
            </w:r>
          </w:p>
        </w:tc>
      </w:tr>
      <w:tr w14:paraId="4C928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692"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6FD87BCC">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A02F6C">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250" w:type="dxa"/>
            <w:tcBorders>
              <w:top w:val="single" w:color="000000" w:sz="4" w:space="0"/>
              <w:left w:val="single" w:color="000000" w:sz="4" w:space="0"/>
              <w:right w:val="single" w:color="000000" w:sz="4" w:space="0"/>
            </w:tcBorders>
            <w:noWrap w:val="0"/>
            <w:vAlign w:val="center"/>
          </w:tcPr>
          <w:p w14:paraId="23535E1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社会效益</w:t>
            </w:r>
          </w:p>
          <w:p w14:paraId="0906E27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指标</w:t>
            </w:r>
          </w:p>
        </w:tc>
        <w:tc>
          <w:tcPr>
            <w:tcW w:w="1312" w:type="dxa"/>
            <w:tcBorders>
              <w:top w:val="single" w:color="000000" w:sz="4" w:space="0"/>
              <w:left w:val="single" w:color="000000" w:sz="4" w:space="0"/>
              <w:right w:val="single" w:color="000000" w:sz="4" w:space="0"/>
            </w:tcBorders>
            <w:noWrap w:val="0"/>
            <w:vAlign w:val="center"/>
          </w:tcPr>
          <w:p w14:paraId="2779FCED">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区域地质灾害风险降低程度</w:t>
            </w:r>
          </w:p>
        </w:tc>
        <w:tc>
          <w:tcPr>
            <w:tcW w:w="1127" w:type="dxa"/>
            <w:tcBorders>
              <w:top w:val="single" w:color="000000" w:sz="4" w:space="0"/>
              <w:left w:val="single" w:color="000000" w:sz="4" w:space="0"/>
              <w:right w:val="single" w:color="000000" w:sz="4" w:space="0"/>
            </w:tcBorders>
            <w:noWrap w:val="0"/>
            <w:vAlign w:val="center"/>
          </w:tcPr>
          <w:p w14:paraId="1C13D92E">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降低</w:t>
            </w:r>
          </w:p>
        </w:tc>
        <w:tc>
          <w:tcPr>
            <w:tcW w:w="971" w:type="dxa"/>
            <w:tcBorders>
              <w:top w:val="single" w:color="000000" w:sz="4" w:space="0"/>
              <w:left w:val="single" w:color="000000" w:sz="4" w:space="0"/>
              <w:right w:val="single" w:color="000000" w:sz="4" w:space="0"/>
            </w:tcBorders>
            <w:noWrap w:val="0"/>
            <w:vAlign w:val="center"/>
          </w:tcPr>
          <w:p w14:paraId="2467891E">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显著</w:t>
            </w:r>
          </w:p>
        </w:tc>
        <w:tc>
          <w:tcPr>
            <w:tcW w:w="1061" w:type="dxa"/>
            <w:tcBorders>
              <w:top w:val="single" w:color="000000" w:sz="4" w:space="0"/>
              <w:left w:val="single" w:color="000000" w:sz="4" w:space="0"/>
              <w:right w:val="single" w:color="000000" w:sz="4" w:space="0"/>
            </w:tcBorders>
            <w:noWrap w:val="0"/>
            <w:vAlign w:val="center"/>
          </w:tcPr>
          <w:p w14:paraId="333EA2B8">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938" w:type="dxa"/>
            <w:tcBorders>
              <w:top w:val="single" w:color="000000" w:sz="4" w:space="0"/>
              <w:left w:val="single" w:color="000000" w:sz="4" w:space="0"/>
              <w:right w:val="single" w:color="000000" w:sz="4" w:space="0"/>
            </w:tcBorders>
            <w:noWrap w:val="0"/>
            <w:vAlign w:val="center"/>
          </w:tcPr>
          <w:p w14:paraId="64FD6FBB">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BC382E8">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区域地质灾害发生风险显著降低</w:t>
            </w:r>
          </w:p>
        </w:tc>
      </w:tr>
      <w:tr w14:paraId="1B164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28932CC7">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081" w:type="dxa"/>
            <w:tcBorders>
              <w:top w:val="single" w:color="000000" w:sz="4" w:space="0"/>
              <w:left w:val="single" w:color="000000" w:sz="4" w:space="0"/>
              <w:bottom w:val="single" w:color="auto" w:sz="4" w:space="0"/>
              <w:right w:val="single" w:color="000000" w:sz="4" w:space="0"/>
            </w:tcBorders>
            <w:noWrap w:val="0"/>
            <w:vAlign w:val="center"/>
          </w:tcPr>
          <w:p w14:paraId="3C1526A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满意度</w:t>
            </w:r>
          </w:p>
          <w:p w14:paraId="03644DC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指标</w:t>
            </w:r>
          </w:p>
        </w:tc>
        <w:tc>
          <w:tcPr>
            <w:tcW w:w="1250" w:type="dxa"/>
            <w:tcBorders>
              <w:top w:val="single" w:color="000000" w:sz="4" w:space="0"/>
              <w:left w:val="single" w:color="000000" w:sz="4" w:space="0"/>
              <w:bottom w:val="single" w:color="auto" w:sz="4" w:space="0"/>
              <w:right w:val="single" w:color="000000" w:sz="4" w:space="0"/>
            </w:tcBorders>
            <w:noWrap w:val="0"/>
            <w:vAlign w:val="center"/>
          </w:tcPr>
          <w:p w14:paraId="50117B2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服务对象</w:t>
            </w:r>
          </w:p>
          <w:p w14:paraId="09233E6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满意度指标</w:t>
            </w:r>
          </w:p>
        </w:tc>
        <w:tc>
          <w:tcPr>
            <w:tcW w:w="1312" w:type="dxa"/>
            <w:tcBorders>
              <w:top w:val="single" w:color="000000" w:sz="4" w:space="0"/>
              <w:left w:val="single" w:color="000000" w:sz="4" w:space="0"/>
              <w:bottom w:val="single" w:color="auto" w:sz="4" w:space="0"/>
              <w:right w:val="single" w:color="000000" w:sz="4" w:space="0"/>
            </w:tcBorders>
            <w:noWrap w:val="0"/>
            <w:vAlign w:val="center"/>
          </w:tcPr>
          <w:p w14:paraId="35583C02">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受影响群众满意度</w:t>
            </w:r>
          </w:p>
        </w:tc>
        <w:tc>
          <w:tcPr>
            <w:tcW w:w="1127" w:type="dxa"/>
            <w:tcBorders>
              <w:top w:val="single" w:color="000000" w:sz="4" w:space="0"/>
              <w:left w:val="single" w:color="000000" w:sz="4" w:space="0"/>
              <w:bottom w:val="single" w:color="auto" w:sz="4" w:space="0"/>
              <w:right w:val="single" w:color="000000" w:sz="4" w:space="0"/>
            </w:tcBorders>
            <w:noWrap w:val="0"/>
            <w:vAlign w:val="center"/>
          </w:tcPr>
          <w:p w14:paraId="099F0F27">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971" w:type="dxa"/>
            <w:tcBorders>
              <w:top w:val="single" w:color="000000" w:sz="4" w:space="0"/>
              <w:left w:val="single" w:color="000000" w:sz="4" w:space="0"/>
              <w:bottom w:val="single" w:color="auto" w:sz="4" w:space="0"/>
              <w:right w:val="single" w:color="000000" w:sz="4" w:space="0"/>
            </w:tcBorders>
            <w:noWrap w:val="0"/>
            <w:vAlign w:val="center"/>
          </w:tcPr>
          <w:p w14:paraId="2DE2FB09">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90%</w:t>
            </w:r>
          </w:p>
        </w:tc>
        <w:tc>
          <w:tcPr>
            <w:tcW w:w="1061" w:type="dxa"/>
            <w:tcBorders>
              <w:top w:val="single" w:color="000000" w:sz="4" w:space="0"/>
              <w:left w:val="single" w:color="000000" w:sz="4" w:space="0"/>
              <w:bottom w:val="single" w:color="auto" w:sz="4" w:space="0"/>
              <w:right w:val="single" w:color="000000" w:sz="4" w:space="0"/>
            </w:tcBorders>
            <w:noWrap w:val="0"/>
            <w:vAlign w:val="center"/>
          </w:tcPr>
          <w:p w14:paraId="0426A6C0">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938" w:type="dxa"/>
            <w:tcBorders>
              <w:top w:val="single" w:color="000000" w:sz="4" w:space="0"/>
              <w:left w:val="single" w:color="000000" w:sz="4" w:space="0"/>
              <w:bottom w:val="single" w:color="auto" w:sz="4" w:space="0"/>
              <w:right w:val="single" w:color="000000" w:sz="4" w:space="0"/>
            </w:tcBorders>
            <w:noWrap w:val="0"/>
            <w:vAlign w:val="center"/>
          </w:tcPr>
          <w:p w14:paraId="5D55A491">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1841" w:type="dxa"/>
            <w:tcBorders>
              <w:top w:val="single" w:color="000000" w:sz="4" w:space="0"/>
              <w:left w:val="single" w:color="000000" w:sz="4" w:space="0"/>
              <w:bottom w:val="single" w:color="auto" w:sz="4" w:space="0"/>
              <w:right w:val="single" w:color="000000" w:sz="4" w:space="0"/>
            </w:tcBorders>
            <w:noWrap w:val="0"/>
            <w:vAlign w:val="center"/>
          </w:tcPr>
          <w:p w14:paraId="4CCB3140">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≥90%</w:t>
            </w:r>
          </w:p>
        </w:tc>
      </w:tr>
      <w:tr w14:paraId="2BAEF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682" w:hRule="atLeast"/>
          <w:jc w:val="center"/>
        </w:trPr>
        <w:tc>
          <w:tcPr>
            <w:tcW w:w="652" w:type="dxa"/>
            <w:vMerge w:val="continue"/>
            <w:tcBorders>
              <w:top w:val="single" w:color="000000" w:sz="4" w:space="0"/>
              <w:left w:val="single" w:color="000000" w:sz="4" w:space="0"/>
              <w:bottom w:val="single" w:color="000000" w:sz="4" w:space="0"/>
              <w:right w:val="single" w:color="auto" w:sz="4" w:space="0"/>
            </w:tcBorders>
            <w:noWrap w:val="0"/>
            <w:vAlign w:val="center"/>
          </w:tcPr>
          <w:p w14:paraId="3D736E38">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248523D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成本指标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6828016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经济成本</w:t>
            </w:r>
          </w:p>
          <w:p w14:paraId="163A540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指标</w:t>
            </w:r>
          </w:p>
          <w:p w14:paraId="3B3D208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p>
        </w:tc>
        <w:tc>
          <w:tcPr>
            <w:tcW w:w="1312" w:type="dxa"/>
            <w:tcBorders>
              <w:top w:val="single" w:color="auto" w:sz="4" w:space="0"/>
              <w:left w:val="single" w:color="auto" w:sz="4" w:space="0"/>
              <w:bottom w:val="single" w:color="auto" w:sz="4" w:space="0"/>
              <w:right w:val="single" w:color="auto" w:sz="4" w:space="0"/>
            </w:tcBorders>
            <w:noWrap w:val="0"/>
            <w:vAlign w:val="center"/>
          </w:tcPr>
          <w:p w14:paraId="07E63F7B">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项目总预算控制率</w:t>
            </w:r>
          </w:p>
        </w:tc>
        <w:tc>
          <w:tcPr>
            <w:tcW w:w="1127" w:type="dxa"/>
            <w:tcBorders>
              <w:top w:val="single" w:color="auto" w:sz="4" w:space="0"/>
              <w:left w:val="single" w:color="auto" w:sz="4" w:space="0"/>
              <w:bottom w:val="single" w:color="auto" w:sz="4" w:space="0"/>
              <w:right w:val="single" w:color="auto" w:sz="4" w:space="0"/>
            </w:tcBorders>
            <w:noWrap w:val="0"/>
            <w:vAlign w:val="center"/>
          </w:tcPr>
          <w:p w14:paraId="34BF7C07">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971" w:type="dxa"/>
            <w:tcBorders>
              <w:top w:val="single" w:color="auto" w:sz="4" w:space="0"/>
              <w:left w:val="single" w:color="auto" w:sz="4" w:space="0"/>
              <w:bottom w:val="single" w:color="auto" w:sz="4" w:space="0"/>
              <w:right w:val="single" w:color="auto" w:sz="4" w:space="0"/>
            </w:tcBorders>
            <w:noWrap w:val="0"/>
            <w:vAlign w:val="center"/>
          </w:tcPr>
          <w:p w14:paraId="2ED657FF">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100%</w:t>
            </w:r>
          </w:p>
        </w:tc>
        <w:tc>
          <w:tcPr>
            <w:tcW w:w="1061" w:type="dxa"/>
            <w:tcBorders>
              <w:top w:val="single" w:color="auto" w:sz="4" w:space="0"/>
              <w:left w:val="single" w:color="auto" w:sz="4" w:space="0"/>
              <w:bottom w:val="single" w:color="auto" w:sz="4" w:space="0"/>
              <w:right w:val="single" w:color="auto" w:sz="4" w:space="0"/>
            </w:tcBorders>
            <w:noWrap w:val="0"/>
            <w:vAlign w:val="center"/>
          </w:tcPr>
          <w:p w14:paraId="520B2013">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938" w:type="dxa"/>
            <w:tcBorders>
              <w:top w:val="single" w:color="auto" w:sz="4" w:space="0"/>
              <w:left w:val="single" w:color="auto" w:sz="4" w:space="0"/>
              <w:bottom w:val="single" w:color="auto" w:sz="4" w:space="0"/>
              <w:right w:val="single" w:color="auto" w:sz="4" w:space="0"/>
            </w:tcBorders>
            <w:noWrap w:val="0"/>
            <w:vAlign w:val="center"/>
          </w:tcPr>
          <w:p w14:paraId="4B64E903">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1841" w:type="dxa"/>
            <w:tcBorders>
              <w:top w:val="single" w:color="auto" w:sz="4" w:space="0"/>
              <w:left w:val="single" w:color="auto" w:sz="4" w:space="0"/>
              <w:bottom w:val="single" w:color="auto" w:sz="4" w:space="0"/>
              <w:right w:val="single" w:color="auto" w:sz="4" w:space="0"/>
            </w:tcBorders>
            <w:noWrap w:val="0"/>
            <w:vAlign w:val="center"/>
          </w:tcPr>
          <w:p w14:paraId="23EC5949">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lang w:val="en-US" w:eastAsia="zh-CN"/>
              </w:rPr>
              <w:t>70.83</w:t>
            </w:r>
            <w:r>
              <w:rPr>
                <w:rFonts w:hint="eastAsia" w:ascii="宋体" w:hAnsi="宋体" w:eastAsia="宋体" w:cs="宋体"/>
                <w:sz w:val="21"/>
                <w:szCs w:val="21"/>
              </w:rPr>
              <w:t xml:space="preserve">%（总预算 </w:t>
            </w:r>
            <w:r>
              <w:rPr>
                <w:rFonts w:hint="eastAsia" w:ascii="宋体" w:hAnsi="宋体" w:eastAsia="宋体" w:cs="宋体"/>
                <w:sz w:val="21"/>
                <w:szCs w:val="21"/>
                <w:lang w:val="en-US" w:eastAsia="zh-CN"/>
              </w:rPr>
              <w:t>215.94</w:t>
            </w:r>
            <w:r>
              <w:rPr>
                <w:rFonts w:hint="eastAsia" w:ascii="宋体" w:hAnsi="宋体" w:eastAsia="宋体" w:cs="宋体"/>
                <w:sz w:val="21"/>
                <w:szCs w:val="21"/>
              </w:rPr>
              <w:t xml:space="preserve"> 万元</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实际完成152.94万元</w:t>
            </w:r>
            <w:r>
              <w:rPr>
                <w:rFonts w:hint="eastAsia" w:ascii="宋体" w:hAnsi="宋体" w:eastAsia="宋体" w:cs="宋体"/>
                <w:sz w:val="21"/>
                <w:szCs w:val="21"/>
              </w:rPr>
              <w:t>）</w:t>
            </w:r>
          </w:p>
        </w:tc>
      </w:tr>
    </w:tbl>
    <w:p w14:paraId="4105B446">
      <w:pPr>
        <w:pStyle w:val="2"/>
        <w:rPr>
          <w:rFonts w:hint="eastAsia"/>
          <w:lang w:val="en-US" w:eastAsia="zh-CN"/>
        </w:rPr>
      </w:pPr>
    </w:p>
    <w:p w14:paraId="4CD6BBB3">
      <w:pPr>
        <w:widowControl/>
        <w:jc w:val="center"/>
        <w:rPr>
          <w:rFonts w:hint="eastAsia" w:ascii="Times New Roman" w:hAnsi="Times New Roman" w:eastAsia="黑体"/>
          <w:color w:val="auto"/>
          <w:sz w:val="44"/>
          <w:szCs w:val="44"/>
          <w:highlight w:val="none"/>
        </w:rPr>
      </w:pPr>
    </w:p>
    <w:p w14:paraId="2E1D4B92">
      <w:pPr>
        <w:widowControl/>
        <w:jc w:val="center"/>
        <w:rPr>
          <w:rFonts w:hint="eastAsia" w:ascii="Times New Roman" w:hAnsi="Times New Roman" w:eastAsia="黑体"/>
          <w:color w:val="auto"/>
          <w:sz w:val="44"/>
          <w:szCs w:val="44"/>
          <w:highlight w:val="none"/>
        </w:rPr>
      </w:pPr>
    </w:p>
    <w:p w14:paraId="2476E93A">
      <w:pPr>
        <w:widowControl/>
        <w:jc w:val="center"/>
        <w:rPr>
          <w:rFonts w:hint="eastAsia" w:ascii="Times New Roman" w:hAnsi="Times New Roman" w:eastAsia="黑体"/>
          <w:color w:val="auto"/>
          <w:sz w:val="44"/>
          <w:szCs w:val="44"/>
          <w:highlight w:val="none"/>
        </w:rPr>
      </w:pPr>
    </w:p>
    <w:p w14:paraId="280F8761">
      <w:pPr>
        <w:widowControl/>
        <w:jc w:val="center"/>
        <w:rPr>
          <w:rFonts w:hint="eastAsia" w:ascii="Times New Roman" w:hAnsi="Times New Roman" w:eastAsia="黑体"/>
          <w:color w:val="auto"/>
          <w:sz w:val="44"/>
          <w:szCs w:val="44"/>
          <w:highlight w:val="none"/>
        </w:rPr>
      </w:pPr>
    </w:p>
    <w:p w14:paraId="7DA1D9B7">
      <w:pPr>
        <w:widowControl/>
        <w:jc w:val="center"/>
        <w:rPr>
          <w:rFonts w:hint="eastAsia" w:ascii="Times New Roman" w:hAnsi="Times New Roman" w:eastAsia="黑体"/>
          <w:color w:val="auto"/>
          <w:sz w:val="44"/>
          <w:szCs w:val="44"/>
          <w:highlight w:val="none"/>
        </w:rPr>
      </w:pPr>
    </w:p>
    <w:p w14:paraId="47B5A09D">
      <w:pPr>
        <w:widowControl/>
        <w:jc w:val="center"/>
        <w:rPr>
          <w:rFonts w:hint="eastAsia" w:ascii="Times New Roman" w:hAnsi="Times New Roman" w:eastAsia="黑体"/>
          <w:color w:val="auto"/>
          <w:sz w:val="44"/>
          <w:szCs w:val="44"/>
          <w:highlight w:val="none"/>
        </w:rPr>
      </w:pPr>
    </w:p>
    <w:p w14:paraId="5BEE8135">
      <w:pPr>
        <w:widowControl/>
        <w:jc w:val="center"/>
        <w:rPr>
          <w:rFonts w:hint="eastAsia" w:ascii="Times New Roman" w:hAnsi="Times New Roman" w:eastAsia="黑体"/>
          <w:color w:val="auto"/>
          <w:sz w:val="44"/>
          <w:szCs w:val="44"/>
          <w:highlight w:val="none"/>
        </w:rPr>
      </w:pPr>
    </w:p>
    <w:p w14:paraId="2FD44158">
      <w:pPr>
        <w:widowControl/>
        <w:jc w:val="center"/>
        <w:rPr>
          <w:rFonts w:hint="eastAsia" w:ascii="Times New Roman" w:hAnsi="Times New Roman" w:eastAsia="黑体"/>
          <w:color w:val="auto"/>
          <w:sz w:val="44"/>
          <w:szCs w:val="44"/>
          <w:highlight w:val="none"/>
        </w:rPr>
      </w:pPr>
    </w:p>
    <w:p w14:paraId="5022A965">
      <w:pPr>
        <w:widowControl/>
        <w:jc w:val="center"/>
        <w:rPr>
          <w:rFonts w:hint="eastAsia" w:ascii="Times New Roman" w:hAnsi="Times New Roman" w:eastAsia="黑体"/>
          <w:color w:val="auto"/>
          <w:sz w:val="44"/>
          <w:szCs w:val="44"/>
          <w:highlight w:val="none"/>
        </w:rPr>
      </w:pPr>
    </w:p>
    <w:p w14:paraId="4EB06E0B">
      <w:pPr>
        <w:widowControl/>
        <w:jc w:val="center"/>
        <w:rPr>
          <w:rFonts w:hint="eastAsia" w:ascii="Times New Roman" w:hAnsi="Times New Roman" w:eastAsia="黑体"/>
          <w:color w:val="auto"/>
          <w:sz w:val="44"/>
          <w:szCs w:val="44"/>
          <w:highlight w:val="none"/>
        </w:rPr>
      </w:pPr>
    </w:p>
    <w:p w14:paraId="45C12E50">
      <w:pPr>
        <w:pStyle w:val="2"/>
        <w:rPr>
          <w:rFonts w:hint="eastAsia"/>
        </w:rPr>
      </w:pPr>
    </w:p>
    <w:p w14:paraId="1ABB12F5">
      <w:pPr>
        <w:rPr>
          <w:rFonts w:hint="eastAsia"/>
        </w:rPr>
      </w:pPr>
    </w:p>
    <w:p w14:paraId="323E6753">
      <w:pPr>
        <w:pStyle w:val="2"/>
        <w:rPr>
          <w:rFonts w:hint="eastAsia"/>
        </w:rPr>
      </w:pPr>
    </w:p>
    <w:p w14:paraId="07B2140E">
      <w:pPr>
        <w:widowControl w:val="0"/>
        <w:spacing w:beforeLines="30"/>
        <w:jc w:val="both"/>
        <w:rPr>
          <w:rFonts w:hint="eastAsia" w:ascii="Times New Roman" w:hAnsi="Times New Roman" w:eastAsia="黑体" w:cs="黑体"/>
          <w:color w:val="auto"/>
          <w:kern w:val="0"/>
          <w:sz w:val="32"/>
          <w:szCs w:val="32"/>
          <w:highlight w:val="none"/>
          <w:lang w:val="en-US" w:eastAsia="zh-CN" w:bidi="ar-SA"/>
        </w:rPr>
      </w:pPr>
      <w:r>
        <w:rPr>
          <w:rFonts w:hint="eastAsia" w:ascii="Times New Roman" w:hAnsi="Times New Roman" w:eastAsia="黑体" w:cs="黑体"/>
          <w:color w:val="auto"/>
          <w:kern w:val="0"/>
          <w:sz w:val="32"/>
          <w:szCs w:val="32"/>
          <w:highlight w:val="none"/>
          <w:shd w:val="clear" w:color="auto" w:fill="FFFFFF"/>
          <w:lang w:val="zh-CN" w:eastAsia="zh-CN" w:bidi="ar-SA"/>
        </w:rPr>
        <w:t>附件</w:t>
      </w:r>
      <w:r>
        <w:rPr>
          <w:rFonts w:hint="eastAsia" w:ascii="Times New Roman" w:hAnsi="Times New Roman" w:eastAsia="黑体" w:cs="黑体"/>
          <w:color w:val="auto"/>
          <w:kern w:val="0"/>
          <w:sz w:val="32"/>
          <w:szCs w:val="32"/>
          <w:highlight w:val="none"/>
          <w:shd w:val="clear" w:color="auto" w:fill="FFFFFF"/>
          <w:lang w:val="en-US" w:eastAsia="zh-CN" w:bidi="ar-SA"/>
        </w:rPr>
        <w:t>3</w:t>
      </w:r>
    </w:p>
    <w:p w14:paraId="78AD0F5E">
      <w:pPr>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bidi="ar-SA"/>
        </w:rPr>
      </w:pPr>
    </w:p>
    <w:p w14:paraId="65DAAF28">
      <w:pPr>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bidi="ar-SA"/>
        </w:rPr>
      </w:pPr>
      <w:r>
        <w:rPr>
          <w:rFonts w:hint="eastAsia" w:ascii="Times New Roman" w:hAnsi="Times New Roman" w:eastAsia="方正小标宋简体" w:cs="方正小标宋简体"/>
          <w:color w:val="auto"/>
          <w:kern w:val="2"/>
          <w:sz w:val="44"/>
          <w:szCs w:val="44"/>
          <w:highlight w:val="none"/>
          <w:lang w:val="en-US" w:eastAsia="zh-CN" w:bidi="ar-SA"/>
        </w:rPr>
        <w:t>不动产中心房租费绩效自评报告</w:t>
      </w:r>
    </w:p>
    <w:p w14:paraId="07F9CBD5">
      <w:pPr>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eastAsia="宋体" w:cs="Times New Roman"/>
          <w:color w:val="auto"/>
          <w:kern w:val="2"/>
          <w:sz w:val="32"/>
          <w:szCs w:val="32"/>
          <w:highlight w:val="none"/>
          <w:lang w:val="zh-CN" w:eastAsia="zh-CN" w:bidi="ar-SA"/>
        </w:rPr>
      </w:pPr>
    </w:p>
    <w:p w14:paraId="31076A80">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eastAsia="黑体" w:cs="Times New Roman"/>
          <w:sz w:val="32"/>
          <w:szCs w:val="32"/>
          <w:highlight w:val="none"/>
          <w:lang w:val="zh-CN"/>
        </w:rPr>
      </w:pPr>
      <w:r>
        <w:rPr>
          <w:rFonts w:hint="eastAsia" w:ascii="Times New Roman" w:hAnsi="Times New Roman" w:eastAsia="黑体" w:cs="Times New Roman"/>
          <w:sz w:val="32"/>
          <w:szCs w:val="32"/>
          <w:highlight w:val="none"/>
        </w:rPr>
        <w:t>一、</w:t>
      </w:r>
      <w:r>
        <w:rPr>
          <w:rFonts w:hint="eastAsia" w:ascii="Times New Roman" w:hAnsi="Times New Roman" w:eastAsia="黑体" w:cs="Times New Roman"/>
          <w:sz w:val="32"/>
          <w:szCs w:val="32"/>
          <w:highlight w:val="none"/>
          <w:lang w:val="zh-CN"/>
        </w:rPr>
        <w:t>项目概况</w:t>
      </w:r>
    </w:p>
    <w:p w14:paraId="16CC5D67">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楷体_GB2312" w:cs="Times New Roman"/>
          <w:b/>
          <w:color w:val="auto"/>
          <w:sz w:val="32"/>
          <w:szCs w:val="32"/>
          <w:highlight w:val="none"/>
          <w:u w:val="none"/>
          <w:lang w:val="zh-CN"/>
        </w:rPr>
      </w:pPr>
      <w:r>
        <w:rPr>
          <w:rFonts w:hint="eastAsia" w:ascii="Times New Roman" w:hAnsi="Times New Roman" w:eastAsia="楷体_GB2312" w:cs="Times New Roman"/>
          <w:b/>
          <w:color w:val="auto"/>
          <w:sz w:val="32"/>
          <w:szCs w:val="32"/>
          <w:highlight w:val="none"/>
          <w:u w:val="none"/>
          <w:lang w:val="zh-CN"/>
        </w:rPr>
        <w:t>（一）基本情况。</w:t>
      </w:r>
    </w:p>
    <w:p w14:paraId="528D623F">
      <w:pPr>
        <w:widowControl w:val="0"/>
        <w:spacing w:before="103" w:beforeLines="30" w:line="219" w:lineRule="auto"/>
        <w:ind w:left="710"/>
        <w:jc w:val="both"/>
        <w:rPr>
          <w:rFonts w:hint="eastAsia" w:ascii="Times New Roman" w:hAnsi="Times New Roman" w:eastAsia="仿宋_GB2312" w:cs="仿宋_GB2312"/>
          <w:color w:val="auto"/>
          <w:kern w:val="0"/>
          <w:sz w:val="32"/>
          <w:szCs w:val="32"/>
          <w:highlight w:val="none"/>
          <w:u w:val="none"/>
          <w:shd w:val="clear" w:color="auto" w:fill="FFFFFF"/>
          <w:lang w:val="zh-CN" w:eastAsia="zh-CN" w:bidi="ar-SA"/>
        </w:rPr>
      </w:pPr>
      <w:r>
        <w:rPr>
          <w:rFonts w:hint="eastAsia" w:ascii="Times New Roman" w:hAnsi="Times New Roman" w:eastAsia="仿宋_GB2312" w:cs="仿宋_GB2312"/>
          <w:color w:val="auto"/>
          <w:kern w:val="0"/>
          <w:sz w:val="32"/>
          <w:szCs w:val="32"/>
          <w:highlight w:val="none"/>
          <w:u w:val="none"/>
          <w:shd w:val="clear" w:color="auto" w:fill="FFFFFF"/>
          <w:lang w:val="zh-CN" w:eastAsia="zh-CN" w:bidi="ar-SA"/>
        </w:rPr>
        <w:t>1.项目基本情况</w:t>
      </w:r>
    </w:p>
    <w:p w14:paraId="2796B6BF">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Times New Roman" w:hAnsi="Times New Roman" w:eastAsia="仿宋_GB2312" w:cs="仿宋_GB2312"/>
          <w:color w:val="auto"/>
          <w:kern w:val="0"/>
          <w:sz w:val="32"/>
          <w:szCs w:val="32"/>
          <w:highlight w:val="none"/>
          <w:u w:val="none"/>
          <w:shd w:val="clear" w:color="auto" w:fill="FFFFFF"/>
          <w:lang w:val="zh-CN"/>
        </w:rPr>
      </w:pPr>
      <w:r>
        <w:rPr>
          <w:rFonts w:hint="eastAsia" w:ascii="Times New Roman" w:hAnsi="Times New Roman" w:eastAsia="仿宋_GB2312" w:cs="仿宋_GB2312"/>
          <w:color w:val="auto"/>
          <w:kern w:val="0"/>
          <w:sz w:val="32"/>
          <w:szCs w:val="32"/>
          <w:highlight w:val="none"/>
          <w:u w:val="none"/>
          <w:shd w:val="clear" w:color="auto" w:fill="FFFFFF"/>
          <w:lang w:val="zh-CN"/>
        </w:rPr>
        <w:t>为保障沐川县不动产登记窗口办事、档案存放、内部办公业务正常运行经县政府同意（沐川县人民政府阅办文件批示单收文〔2021〕167号），县自然资源局于</w:t>
      </w:r>
      <w:r>
        <w:rPr>
          <w:rFonts w:hint="eastAsia" w:ascii="Times New Roman" w:hAnsi="Times New Roman" w:eastAsia="仿宋_GB2312" w:cs="仿宋_GB2312"/>
          <w:color w:val="auto"/>
          <w:kern w:val="0"/>
          <w:sz w:val="32"/>
          <w:szCs w:val="32"/>
          <w:highlight w:val="none"/>
          <w:u w:val="none"/>
          <w:shd w:val="clear" w:color="auto" w:fill="FFFFFF"/>
          <w:lang w:val="en-US" w:eastAsia="zh-CN"/>
        </w:rPr>
        <w:t>2021年4月与业主签订房屋租赁合同，租赁面积为696.14平方米，租期五年。根据该合同，沐川县自然资源局应在每年5月30日前支付业主租金150336元。因财政预算该租金为150300元，经与业主协商，业主同意县自然资源局支付2023年5月1日至2024年4月30日房租150300元。</w:t>
      </w:r>
      <w:r>
        <w:rPr>
          <w:rFonts w:hint="eastAsia" w:ascii="Times New Roman" w:hAnsi="Times New Roman" w:eastAsia="仿宋_GB2312" w:cs="仿宋_GB2312"/>
          <w:color w:val="auto"/>
          <w:kern w:val="0"/>
          <w:sz w:val="32"/>
          <w:szCs w:val="32"/>
          <w:highlight w:val="none"/>
          <w:u w:val="none"/>
          <w:shd w:val="clear" w:color="auto" w:fill="FFFFFF"/>
          <w:lang w:val="zh-CN"/>
        </w:rPr>
        <w:t>项目主要用于租赁办公大厅，由沐川县自然资源局履行预算及资金监管职责。</w:t>
      </w:r>
    </w:p>
    <w:p w14:paraId="27B1AC7B">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楷体_GB2312" w:cs="Times New Roman"/>
          <w:b/>
          <w:color w:val="auto"/>
          <w:sz w:val="32"/>
          <w:szCs w:val="32"/>
          <w:highlight w:val="none"/>
          <w:u w:val="none"/>
          <w:lang w:val="en-US" w:eastAsia="zh-CN"/>
        </w:rPr>
        <w:t>。</w:t>
      </w:r>
      <w:r>
        <w:rPr>
          <w:rFonts w:hint="eastAsia" w:ascii="Times New Roman" w:hAnsi="Times New Roman" w:eastAsia="仿宋_GB2312" w:cs="仿宋_GB2312"/>
          <w:b w:val="0"/>
          <w:bCs w:val="0"/>
          <w:kern w:val="0"/>
          <w:position w:val="0"/>
          <w:sz w:val="32"/>
          <w:szCs w:val="32"/>
          <w:highlight w:val="none"/>
          <w:lang w:val="zh-CN" w:eastAsia="zh-CN" w:bidi="ar-SA"/>
        </w:rPr>
        <w:t>落实行政单位房屋租赁资金管理相关规定，通过租赁办公场地，保障不动产登记业务、便民服务有序开展，主要任务为按合同履约、按期支付租金，保障场地安全合规使用。</w:t>
      </w:r>
    </w:p>
    <w:p w14:paraId="2DB01F77">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eastAsia" w:ascii="Times New Roman" w:hAnsi="Times New Roman" w:eastAsia="楷体_GB2312" w:cs="Times New Roman"/>
          <w:b/>
          <w:color w:val="auto"/>
          <w:sz w:val="32"/>
          <w:szCs w:val="32"/>
          <w:highlight w:val="none"/>
          <w:u w:val="none"/>
          <w:lang w:val="zh-CN" w:eastAsia="zh-CN"/>
        </w:rPr>
        <w:t>。</w:t>
      </w:r>
      <w:r>
        <w:rPr>
          <w:rFonts w:hint="eastAsia" w:ascii="Times New Roman" w:hAnsi="Times New Roman" w:eastAsia="仿宋_GB2312" w:cs="仿宋_GB2312"/>
          <w:b w:val="0"/>
          <w:bCs w:val="0"/>
          <w:kern w:val="0"/>
          <w:position w:val="0"/>
          <w:sz w:val="32"/>
          <w:szCs w:val="32"/>
          <w:highlight w:val="none"/>
          <w:lang w:val="zh-CN" w:eastAsia="zh-CN" w:bidi="ar-SA"/>
        </w:rPr>
        <w:t>年度预算</w:t>
      </w:r>
      <w:r>
        <w:rPr>
          <w:rFonts w:hint="eastAsia" w:ascii="Times New Roman" w:hAnsi="Times New Roman" w:eastAsia="仿宋_GB2312" w:cs="仿宋_GB2312"/>
          <w:b w:val="0"/>
          <w:bCs w:val="0"/>
          <w:kern w:val="0"/>
          <w:position w:val="0"/>
          <w:sz w:val="32"/>
          <w:szCs w:val="32"/>
          <w:highlight w:val="none"/>
          <w:lang w:val="en-US" w:eastAsia="zh-CN" w:bidi="ar-SA"/>
        </w:rPr>
        <w:t>150300</w:t>
      </w:r>
      <w:r>
        <w:rPr>
          <w:rFonts w:hint="eastAsia" w:ascii="Times New Roman" w:hAnsi="Times New Roman" w:eastAsia="仿宋_GB2312" w:cs="仿宋_GB2312"/>
          <w:b w:val="0"/>
          <w:bCs w:val="0"/>
          <w:kern w:val="0"/>
          <w:position w:val="0"/>
          <w:sz w:val="32"/>
          <w:szCs w:val="32"/>
          <w:highlight w:val="none"/>
          <w:lang w:val="zh-CN" w:eastAsia="zh-CN" w:bidi="ar-SA"/>
        </w:rPr>
        <w:t>万元，全部用于本单位办公用房租金，无向下级分配资金。资金严格按照租赁合同、财政支付规定据实拨付，专款专用。</w:t>
      </w:r>
    </w:p>
    <w:p w14:paraId="33D8CB40">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Times New Roman" w:hAnsi="Times New Roman" w:eastAsia="楷体_GB2312" w:cs="Times New Roman"/>
          <w:b/>
          <w:color w:val="auto"/>
          <w:sz w:val="32"/>
          <w:szCs w:val="32"/>
          <w:highlight w:val="none"/>
          <w:u w:val="none"/>
          <w:lang w:val="zh-CN" w:eastAsia="zh-CN"/>
        </w:rPr>
      </w:pPr>
      <w:r>
        <w:rPr>
          <w:rFonts w:hint="eastAsia" w:ascii="Times New Roman" w:hAnsi="Times New Roman" w:eastAsia="楷体_GB2312" w:cs="Times New Roman"/>
          <w:b/>
          <w:color w:val="auto"/>
          <w:sz w:val="32"/>
          <w:szCs w:val="32"/>
          <w:highlight w:val="none"/>
          <w:u w:val="none"/>
          <w:lang w:val="zh-CN" w:eastAsia="zh-CN"/>
        </w:rPr>
        <w:t>（四）项目绩效目标设置。</w:t>
      </w:r>
    </w:p>
    <w:p w14:paraId="27D66712">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整体目标：保障办公及服务场地稳定，满足登记业务、档案保管使用需求，资金使用合规，群众办事环境得到保障。</w:t>
      </w:r>
    </w:p>
    <w:p w14:paraId="7874191B">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具体目标：完成年度房屋租赁履约，保障业务全年正常运行，严格控制预算，提升办事群众体验。</w:t>
      </w:r>
    </w:p>
    <w:p w14:paraId="4A94352C">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黑体" w:cs="Times New Roman"/>
          <w:sz w:val="32"/>
          <w:szCs w:val="32"/>
          <w:highlight w:val="none"/>
          <w:lang w:eastAsia="zh-CN"/>
        </w:rPr>
      </w:pPr>
      <w:r>
        <w:rPr>
          <w:rFonts w:hint="eastAsia" w:ascii="Times New Roman" w:hAnsi="Times New Roman" w:eastAsia="黑体" w:cs="Times New Roman"/>
          <w:sz w:val="32"/>
          <w:szCs w:val="32"/>
          <w:highlight w:val="none"/>
        </w:rPr>
        <w:t>二、</w:t>
      </w:r>
      <w:r>
        <w:rPr>
          <w:rFonts w:hint="eastAsia" w:ascii="Times New Roman" w:hAnsi="Times New Roman" w:eastAsia="黑体" w:cs="Times New Roman"/>
          <w:sz w:val="32"/>
          <w:szCs w:val="32"/>
          <w:highlight w:val="none"/>
          <w:lang w:eastAsia="zh-CN"/>
        </w:rPr>
        <w:t>评价实施</w:t>
      </w:r>
    </w:p>
    <w:p w14:paraId="08A0C46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（一）评价目的。</w:t>
      </w:r>
      <w:r>
        <w:rPr>
          <w:rFonts w:hint="eastAsia" w:ascii="Times New Roman" w:hAnsi="Times New Roman" w:eastAsia="仿宋_GB2312" w:cs="仿宋_GB2312"/>
          <w:b w:val="0"/>
          <w:bCs w:val="0"/>
          <w:kern w:val="0"/>
          <w:position w:val="0"/>
          <w:sz w:val="32"/>
          <w:szCs w:val="32"/>
          <w:highlight w:val="none"/>
          <w:lang w:val="zh-CN" w:eastAsia="zh-CN" w:bidi="ar-SA"/>
        </w:rPr>
        <w:t>核查办公用房租赁项目预算执行、资金使用及实际保障效果。</w:t>
      </w:r>
    </w:p>
    <w:p w14:paraId="39F23F8E">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（二）预设问题及评价重点。</w:t>
      </w:r>
      <w:r>
        <w:rPr>
          <w:rFonts w:hint="eastAsia" w:ascii="Times New Roman" w:hAnsi="Times New Roman" w:eastAsia="仿宋_GB2312" w:cs="仿宋_GB2312"/>
          <w:b w:val="0"/>
          <w:bCs w:val="0"/>
          <w:color w:val="auto"/>
          <w:kern w:val="0"/>
          <w:position w:val="0"/>
          <w:sz w:val="32"/>
          <w:szCs w:val="32"/>
          <w:highlight w:val="none"/>
          <w:lang w:val="zh-CN" w:eastAsia="zh-CN" w:bidi="ar-SA"/>
        </w:rPr>
        <w:t>对照指标体系，重点评价项目立项程序、预算编制、资金支付合规性、租赁场地实际保障能力、绩效目标完成情况。</w:t>
      </w:r>
    </w:p>
    <w:p w14:paraId="1B768F6A">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（三）评价选点。</w:t>
      </w:r>
      <w:r>
        <w:rPr>
          <w:rFonts w:hint="eastAsia" w:ascii="Times New Roman" w:hAnsi="Times New Roman" w:eastAsia="仿宋_GB2312" w:cs="仿宋_GB2312"/>
          <w:b w:val="0"/>
          <w:bCs w:val="0"/>
          <w:color w:val="auto"/>
          <w:kern w:val="0"/>
          <w:position w:val="0"/>
          <w:sz w:val="32"/>
          <w:szCs w:val="32"/>
          <w:highlight w:val="none"/>
          <w:lang w:val="zh-CN" w:eastAsia="zh-CN" w:bidi="ar-SA"/>
        </w:rPr>
        <w:t>本项目为单位本级实施的行政运转项目，无下级资金分配，不开展市县点位抽样踏勘。</w:t>
      </w:r>
    </w:p>
    <w:p w14:paraId="61D43BC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（四）评价方法。</w:t>
      </w:r>
      <w:r>
        <w:rPr>
          <w:rFonts w:hint="eastAsia" w:ascii="Times New Roman" w:hAnsi="Times New Roman" w:eastAsia="仿宋_GB2312" w:cs="仿宋_GB2312"/>
          <w:b w:val="0"/>
          <w:bCs w:val="0"/>
          <w:color w:val="auto"/>
          <w:kern w:val="0"/>
          <w:position w:val="0"/>
          <w:sz w:val="32"/>
          <w:szCs w:val="32"/>
          <w:highlight w:val="none"/>
          <w:lang w:val="zh-CN" w:eastAsia="zh-CN" w:bidi="ar-SA"/>
        </w:rPr>
        <w:t>采用单位自评法，查阅预算资料、租赁合同、会计凭证，结合业务实际开展内部评价。</w:t>
      </w:r>
    </w:p>
    <w:p w14:paraId="28CFFA76">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Times New Roman" w:hAnsi="Times New Roman" w:eastAsia="宋体" w:cs="Times New Roman"/>
          <w:color w:val="auto"/>
          <w:sz w:val="32"/>
          <w:szCs w:val="32"/>
          <w:highlight w:val="none"/>
          <w:u w:val="none"/>
          <w:lang w:val="zh-CN"/>
        </w:rPr>
      </w:pPr>
      <w:r>
        <w:rPr>
          <w:rFonts w:hint="eastAsia" w:ascii="Times New Roman" w:hAnsi="Times New Roman" w:eastAsia="黑体" w:cs="Times New Roman"/>
          <w:color w:val="auto"/>
          <w:sz w:val="32"/>
          <w:szCs w:val="32"/>
          <w:highlight w:val="none"/>
          <w:u w:val="none"/>
        </w:rPr>
        <w:t>三、</w:t>
      </w:r>
      <w:r>
        <w:rPr>
          <w:rFonts w:hint="eastAsia" w:ascii="Times New Roman" w:hAnsi="Times New Roman" w:eastAsia="黑体" w:cs="Times New Roman"/>
          <w:color w:val="auto"/>
          <w:sz w:val="32"/>
          <w:szCs w:val="32"/>
          <w:highlight w:val="none"/>
          <w:u w:val="none"/>
          <w:lang w:eastAsia="zh-CN"/>
        </w:rPr>
        <w:t>绩效分析</w:t>
      </w:r>
      <w:r>
        <w:rPr>
          <w:rFonts w:hint="eastAsia" w:ascii="Times New Roman" w:hAnsi="Times New Roman" w:eastAsia="宋体" w:cs="Times New Roman"/>
          <w:color w:val="auto"/>
          <w:sz w:val="32"/>
          <w:szCs w:val="32"/>
          <w:highlight w:val="none"/>
          <w:u w:val="none"/>
          <w:lang w:val="zh-CN"/>
        </w:rPr>
        <w:tab/>
      </w:r>
    </w:p>
    <w:p w14:paraId="00A87024">
      <w:pPr>
        <w:keepNext w:val="0"/>
        <w:keepLines w:val="0"/>
        <w:pageBreakBefore w:val="0"/>
        <w:kinsoku/>
        <w:wordWrap/>
        <w:overflowPunct/>
        <w:topLinePunct w:val="0"/>
        <w:autoSpaceDE/>
        <w:autoSpaceDN/>
        <w:bidi w:val="0"/>
        <w:adjustRightInd w:val="0"/>
        <w:snapToGrid w:val="0"/>
        <w:spacing w:line="578" w:lineRule="exact"/>
        <w:ind w:firstLine="643" w:firstLineChars="200"/>
        <w:textAlignment w:val="auto"/>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zh-CN"/>
        </w:rPr>
        <w:t>（一）</w:t>
      </w:r>
      <w:r>
        <w:rPr>
          <w:rFonts w:hint="eastAsia"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0DAE6C6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w:t>
      </w:r>
      <w:r>
        <w:rPr>
          <w:rFonts w:hint="eastAsia" w:ascii="Times New Roman" w:hAnsi="Times New Roman" w:eastAsia="仿宋_GB2312" w:cs="仿宋_GB2312"/>
          <w:b w:val="0"/>
          <w:bCs w:val="0"/>
          <w:kern w:val="0"/>
          <w:position w:val="0"/>
          <w:sz w:val="32"/>
          <w:szCs w:val="32"/>
          <w:highlight w:val="none"/>
          <w:lang w:val="zh-CN" w:eastAsia="zh-CN" w:bidi="ar-SA"/>
        </w:rPr>
        <w:t>项目决策。</w:t>
      </w:r>
      <w:r>
        <w:rPr>
          <w:rFonts w:hint="eastAsia" w:ascii="Times New Roman" w:hAnsi="Times New Roman" w:eastAsia="仿宋_GB2312" w:cs="仿宋_GB2312"/>
          <w:b w:val="0"/>
          <w:bCs w:val="0"/>
          <w:color w:val="auto"/>
          <w:kern w:val="0"/>
          <w:position w:val="0"/>
          <w:sz w:val="32"/>
          <w:szCs w:val="32"/>
          <w:highlight w:val="none"/>
          <w:lang w:val="zh-CN" w:eastAsia="zh-CN" w:bidi="ar-SA"/>
        </w:rPr>
        <w:t>项目经县政府批示同意，履行内部决策程序；续租租金按原合同标准执行，并经与出租人反复磋商，论证充分；资金全部用于房屋租金，投向合规，无挤占挪用。</w:t>
      </w:r>
    </w:p>
    <w:p w14:paraId="0645736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项目管理。</w:t>
      </w:r>
      <w:r>
        <w:rPr>
          <w:rFonts w:hint="eastAsia" w:ascii="Times New Roman" w:hAnsi="Times New Roman" w:eastAsia="仿宋_GB2312" w:cs="仿宋_GB2312"/>
          <w:b w:val="0"/>
          <w:bCs w:val="0"/>
          <w:color w:val="auto"/>
          <w:kern w:val="0"/>
          <w:position w:val="0"/>
          <w:sz w:val="32"/>
          <w:szCs w:val="32"/>
          <w:highlight w:val="none"/>
          <w:lang w:val="zh-CN" w:eastAsia="zh-CN" w:bidi="ar-SA"/>
        </w:rPr>
        <w:t>严格执行行政单位财务、房屋租赁管理制度；资金专款专用，绩效监控按要求开展。</w:t>
      </w:r>
    </w:p>
    <w:p w14:paraId="5088350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3.项目实施。</w:t>
      </w:r>
      <w:r>
        <w:rPr>
          <w:rFonts w:hint="eastAsia" w:ascii="Times New Roman" w:hAnsi="Times New Roman" w:eastAsia="仿宋_GB2312" w:cs="仿宋_GB2312"/>
          <w:b w:val="0"/>
          <w:bCs w:val="0"/>
          <w:kern w:val="0"/>
          <w:position w:val="0"/>
          <w:sz w:val="32"/>
          <w:szCs w:val="32"/>
          <w:highlight w:val="none"/>
          <w:lang w:val="zh-CN" w:eastAsia="zh-CN" w:bidi="ar-SA"/>
        </w:rPr>
        <w:t>预算执行基本到位，租金按合同约定</w:t>
      </w:r>
      <w:r>
        <w:rPr>
          <w:rFonts w:hint="eastAsia" w:ascii="Times New Roman" w:hAnsi="Times New Roman" w:eastAsia="仿宋_GB2312" w:cs="仿宋_GB2312"/>
          <w:b w:val="0"/>
          <w:bCs w:val="0"/>
          <w:color w:val="auto"/>
          <w:kern w:val="0"/>
          <w:position w:val="0"/>
          <w:sz w:val="32"/>
          <w:szCs w:val="32"/>
          <w:highlight w:val="none"/>
          <w:lang w:val="zh-CN" w:eastAsia="zh-CN" w:bidi="ar-SA"/>
        </w:rPr>
        <w:t>分期</w:t>
      </w:r>
      <w:r>
        <w:rPr>
          <w:rFonts w:hint="eastAsia" w:ascii="Times New Roman" w:hAnsi="Times New Roman" w:eastAsia="仿宋_GB2312" w:cs="仿宋_GB2312"/>
          <w:b w:val="0"/>
          <w:bCs w:val="0"/>
          <w:kern w:val="0"/>
          <w:position w:val="0"/>
          <w:sz w:val="32"/>
          <w:szCs w:val="32"/>
          <w:highlight w:val="none"/>
          <w:lang w:val="zh-CN" w:eastAsia="zh-CN" w:bidi="ar-SA"/>
        </w:rPr>
        <w:t>支付，财务手续完备，资金使用规范。</w:t>
      </w:r>
    </w:p>
    <w:p w14:paraId="52DA3CF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4.项目结果。</w:t>
      </w:r>
      <w:r>
        <w:rPr>
          <w:rFonts w:hint="eastAsia" w:ascii="Times New Roman" w:hAnsi="Times New Roman" w:eastAsia="仿宋_GB2312" w:cs="仿宋_GB2312"/>
          <w:b w:val="0"/>
          <w:bCs w:val="0"/>
          <w:kern w:val="0"/>
          <w:position w:val="0"/>
          <w:sz w:val="32"/>
          <w:szCs w:val="32"/>
          <w:highlight w:val="none"/>
          <w:lang w:val="zh-CN" w:eastAsia="zh-CN" w:bidi="ar-SA"/>
        </w:rPr>
        <w:t>完成年度租赁履约，办公、窗口、档案存放地正常投入使用，保障不动产登记业务持续运转，达成既定绩效目标。</w:t>
      </w:r>
    </w:p>
    <w:p w14:paraId="259334F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FF000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（二）</w:t>
      </w:r>
      <w:r>
        <w:rPr>
          <w:rFonts w:hint="eastAsia"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27A6670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1.</w:t>
      </w:r>
      <w:r>
        <w:rPr>
          <w:rFonts w:hint="eastAsia" w:ascii="Times New Roman" w:hAnsi="Times New Roman" w:eastAsia="仿宋_GB2312" w:cs="仿宋_GB2312"/>
          <w:b w:val="0"/>
          <w:bCs w:val="0"/>
          <w:color w:val="auto"/>
          <w:kern w:val="0"/>
          <w:position w:val="0"/>
          <w:sz w:val="32"/>
          <w:szCs w:val="32"/>
          <w:highlight w:val="none"/>
          <w:lang w:val="zh-CN" w:eastAsia="zh-CN" w:bidi="ar-SA"/>
        </w:rPr>
        <w:t>经济性分析。</w:t>
      </w:r>
    </w:p>
    <w:p w14:paraId="1A304BD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（1）项目成本（预算）控制情况。</w:t>
      </w:r>
    </w:p>
    <w:p w14:paraId="42D0AFA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项目全年预算财政资金</w:t>
      </w:r>
      <w:r>
        <w:rPr>
          <w:rFonts w:hint="eastAsia" w:ascii="Times New Roman" w:hAnsi="Times New Roman" w:eastAsia="仿宋_GB2312" w:cs="仿宋_GB2312"/>
          <w:b w:val="0"/>
          <w:bCs w:val="0"/>
          <w:color w:val="auto"/>
          <w:kern w:val="0"/>
          <w:position w:val="0"/>
          <w:sz w:val="32"/>
          <w:szCs w:val="32"/>
          <w:highlight w:val="none"/>
          <w:lang w:val="en-US" w:eastAsia="zh-CN" w:bidi="ar-SA"/>
        </w:rPr>
        <w:t>150300</w:t>
      </w:r>
      <w:r>
        <w:rPr>
          <w:rFonts w:hint="eastAsia" w:ascii="Times New Roman" w:hAnsi="Times New Roman" w:eastAsia="仿宋_GB2312" w:cs="仿宋_GB2312"/>
          <w:b w:val="0"/>
          <w:bCs w:val="0"/>
          <w:color w:val="auto"/>
          <w:kern w:val="0"/>
          <w:position w:val="0"/>
          <w:sz w:val="32"/>
          <w:szCs w:val="32"/>
          <w:highlight w:val="none"/>
          <w:lang w:val="zh-CN" w:eastAsia="zh-CN" w:bidi="ar-SA"/>
        </w:rPr>
        <w:t>元，资金实际执行数</w:t>
      </w:r>
      <w:r>
        <w:rPr>
          <w:rFonts w:hint="eastAsia" w:ascii="Times New Roman" w:hAnsi="Times New Roman" w:eastAsia="仿宋_GB2312" w:cs="仿宋_GB2312"/>
          <w:b w:val="0"/>
          <w:bCs w:val="0"/>
          <w:color w:val="auto"/>
          <w:kern w:val="0"/>
          <w:position w:val="0"/>
          <w:sz w:val="32"/>
          <w:szCs w:val="32"/>
          <w:highlight w:val="none"/>
          <w:lang w:val="en-US" w:eastAsia="zh-CN" w:bidi="ar-SA"/>
        </w:rPr>
        <w:t>150300</w:t>
      </w:r>
      <w:r>
        <w:rPr>
          <w:rFonts w:hint="eastAsia" w:ascii="Times New Roman" w:hAnsi="Times New Roman" w:eastAsia="仿宋_GB2312" w:cs="仿宋_GB2312"/>
          <w:b w:val="0"/>
          <w:bCs w:val="0"/>
          <w:color w:val="auto"/>
          <w:kern w:val="0"/>
          <w:position w:val="0"/>
          <w:sz w:val="32"/>
          <w:szCs w:val="32"/>
          <w:highlight w:val="none"/>
          <w:lang w:val="zh-CN" w:eastAsia="zh-CN" w:bidi="ar-SA"/>
        </w:rPr>
        <w:t>元，执行率100%。</w:t>
      </w:r>
    </w:p>
    <w:p w14:paraId="74AB2DB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（2）项目成本（预算）节约情况</w:t>
      </w:r>
    </w:p>
    <w:p w14:paraId="01BBDA9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该项目实际支出</w:t>
      </w:r>
      <w:r>
        <w:rPr>
          <w:rFonts w:hint="eastAsia" w:ascii="Times New Roman" w:hAnsi="Times New Roman" w:eastAsia="仿宋_GB2312" w:cs="仿宋_GB2312"/>
          <w:b w:val="0"/>
          <w:bCs w:val="0"/>
          <w:color w:val="auto"/>
          <w:kern w:val="0"/>
          <w:position w:val="0"/>
          <w:sz w:val="32"/>
          <w:szCs w:val="32"/>
          <w:highlight w:val="none"/>
          <w:lang w:val="en-US" w:eastAsia="zh-CN" w:bidi="ar-SA"/>
        </w:rPr>
        <w:t>150300</w:t>
      </w:r>
      <w:r>
        <w:rPr>
          <w:rFonts w:hint="eastAsia" w:ascii="Times New Roman" w:hAnsi="Times New Roman" w:eastAsia="仿宋_GB2312" w:cs="仿宋_GB2312"/>
          <w:b w:val="0"/>
          <w:bCs w:val="0"/>
          <w:color w:val="auto"/>
          <w:kern w:val="0"/>
          <w:position w:val="0"/>
          <w:sz w:val="32"/>
          <w:szCs w:val="32"/>
          <w:highlight w:val="none"/>
          <w:lang w:val="zh-CN" w:eastAsia="zh-CN" w:bidi="ar-SA"/>
        </w:rPr>
        <w:t>元，没有结余资金。</w:t>
      </w:r>
    </w:p>
    <w:p w14:paraId="2BF3F0B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2.效率性分析。</w:t>
      </w:r>
    </w:p>
    <w:p w14:paraId="75B16FD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（1）实施进度</w:t>
      </w:r>
    </w:p>
    <w:p w14:paraId="14877CF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办公场所房屋租金项目工作任务均在202</w:t>
      </w:r>
      <w:r>
        <w:rPr>
          <w:rFonts w:hint="eastAsia" w:ascii="Times New Roman" w:hAnsi="Times New Roman" w:eastAsia="仿宋_GB2312" w:cs="仿宋_GB2312"/>
          <w:b w:val="0"/>
          <w:bCs w:val="0"/>
          <w:color w:val="auto"/>
          <w:kern w:val="0"/>
          <w:position w:val="0"/>
          <w:sz w:val="32"/>
          <w:szCs w:val="32"/>
          <w:highlight w:val="none"/>
          <w:lang w:val="en-US" w:eastAsia="zh-CN" w:bidi="ar-SA"/>
        </w:rPr>
        <w:t>5</w:t>
      </w:r>
      <w:r>
        <w:rPr>
          <w:rFonts w:hint="eastAsia" w:ascii="Times New Roman" w:hAnsi="Times New Roman" w:eastAsia="仿宋_GB2312" w:cs="仿宋_GB2312"/>
          <w:b w:val="0"/>
          <w:bCs w:val="0"/>
          <w:color w:val="auto"/>
          <w:kern w:val="0"/>
          <w:position w:val="0"/>
          <w:sz w:val="32"/>
          <w:szCs w:val="32"/>
          <w:highlight w:val="none"/>
          <w:lang w:val="zh-CN" w:eastAsia="zh-CN" w:bidi="ar-SA"/>
        </w:rPr>
        <w:t>年度完成。</w:t>
      </w:r>
    </w:p>
    <w:p w14:paraId="6E5729E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（2）完成质量</w:t>
      </w:r>
    </w:p>
    <w:p w14:paraId="614C52E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该项目保障了不动产登记工作办公场所需求，使各项工作有序开展，提高群众办理不动产登记效率，方便群众办事。</w:t>
      </w:r>
    </w:p>
    <w:p w14:paraId="1770E86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3.效益性分析。</w:t>
      </w:r>
    </w:p>
    <w:p w14:paraId="218E219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（1）项目预期目标完成程度</w:t>
      </w:r>
    </w:p>
    <w:p w14:paraId="351868E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办公场所房屋租金项目顺利实施，并全面完成各项工 作任务。</w:t>
      </w:r>
    </w:p>
    <w:p w14:paraId="7619B38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（2）项目实施对经济和社会的影响。</w:t>
      </w:r>
    </w:p>
    <w:p w14:paraId="68A5076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办公场所房屋租金项目有利于维持沐川县不动产登记中心办公场所需要，提高群众办理不动产登记效率，方便群众办事。因此，该项目的实施对经济和社会的影响较好。</w:t>
      </w:r>
    </w:p>
    <w:p w14:paraId="4DCFEAD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 xml:space="preserve">4 </w:t>
      </w:r>
      <w:r>
        <w:rPr>
          <w:rFonts w:hint="eastAsia" w:ascii="Times New Roman" w:hAnsi="Times New Roman" w:eastAsia="仿宋_GB2312" w:cs="仿宋_GB2312"/>
          <w:b w:val="0"/>
          <w:bCs w:val="0"/>
          <w:color w:val="auto"/>
          <w:kern w:val="0"/>
          <w:position w:val="0"/>
          <w:sz w:val="32"/>
          <w:szCs w:val="32"/>
          <w:highlight w:val="none"/>
          <w:lang w:val="en-US" w:eastAsia="zh-CN" w:bidi="ar-SA"/>
        </w:rPr>
        <w:t>.</w:t>
      </w:r>
      <w:r>
        <w:rPr>
          <w:rFonts w:hint="eastAsia" w:ascii="Times New Roman" w:hAnsi="Times New Roman" w:eastAsia="仿宋_GB2312" w:cs="仿宋_GB2312"/>
          <w:b w:val="0"/>
          <w:bCs w:val="0"/>
          <w:color w:val="auto"/>
          <w:kern w:val="0"/>
          <w:position w:val="0"/>
          <w:sz w:val="32"/>
          <w:szCs w:val="32"/>
          <w:highlight w:val="none"/>
          <w:lang w:val="zh-CN" w:eastAsia="zh-CN" w:bidi="ar-SA"/>
        </w:rPr>
        <w:t>可持续性分析。</w:t>
      </w:r>
    </w:p>
    <w:p w14:paraId="760C6D7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该项目属于经常性项目，每年财政都会安排一定资金 支付沐川县不动产登记中心的办公场所租金，因此，该项目可持续发展。</w:t>
      </w:r>
    </w:p>
    <w:p w14:paraId="1F6E5837">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color w:val="0000FF"/>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（三）</w:t>
      </w:r>
      <w:r>
        <w:rPr>
          <w:rFonts w:hint="eastAsia"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458CD15B">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项目预算批复的绩效指标完成情况分析。</w:t>
      </w:r>
    </w:p>
    <w:p w14:paraId="69278892">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1</w:t>
      </w:r>
      <w:r>
        <w:rPr>
          <w:rFonts w:hint="eastAsia" w:ascii="Times New Roman" w:hAnsi="Times New Roman" w:eastAsia="仿宋_GB2312" w:cs="仿宋_GB2312"/>
          <w:b w:val="0"/>
          <w:bCs w:val="0"/>
          <w:color w:val="auto"/>
          <w:kern w:val="0"/>
          <w:position w:val="0"/>
          <w:sz w:val="32"/>
          <w:szCs w:val="32"/>
          <w:highlight w:val="none"/>
          <w:lang w:val="en-US" w:eastAsia="zh-CN" w:bidi="ar-SA"/>
        </w:rPr>
        <w:t>.</w:t>
      </w:r>
      <w:r>
        <w:rPr>
          <w:rFonts w:hint="eastAsia" w:ascii="Times New Roman" w:hAnsi="Times New Roman" w:eastAsia="仿宋_GB2312" w:cs="仿宋_GB2312"/>
          <w:b w:val="0"/>
          <w:bCs w:val="0"/>
          <w:color w:val="auto"/>
          <w:kern w:val="0"/>
          <w:position w:val="0"/>
          <w:sz w:val="32"/>
          <w:szCs w:val="32"/>
          <w:highlight w:val="none"/>
          <w:lang w:val="zh-CN" w:eastAsia="zh-CN" w:bidi="ar-SA"/>
        </w:rPr>
        <w:t>数量指标分析</w:t>
      </w:r>
    </w:p>
    <w:p w14:paraId="06AA3999">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该数量指标，租赁办公场所面积，年度指标为</w:t>
      </w:r>
      <w:r>
        <w:rPr>
          <w:rFonts w:hint="eastAsia" w:ascii="Times New Roman" w:hAnsi="Times New Roman" w:eastAsia="仿宋_GB2312" w:cs="仿宋_GB2312"/>
          <w:b w:val="0"/>
          <w:bCs w:val="0"/>
          <w:color w:val="auto"/>
          <w:kern w:val="0"/>
          <w:position w:val="0"/>
          <w:sz w:val="32"/>
          <w:szCs w:val="32"/>
          <w:highlight w:val="none"/>
          <w:lang w:val="en-US" w:eastAsia="zh-CN" w:bidi="ar-SA"/>
        </w:rPr>
        <w:t>694.14</w:t>
      </w:r>
      <w:r>
        <w:rPr>
          <w:rFonts w:hint="eastAsia" w:ascii="Times New Roman" w:hAnsi="Times New Roman" w:eastAsia="仿宋_GB2312" w:cs="仿宋_GB2312"/>
          <w:b w:val="0"/>
          <w:bCs w:val="0"/>
          <w:color w:val="auto"/>
          <w:kern w:val="0"/>
          <w:position w:val="0"/>
          <w:sz w:val="32"/>
          <w:szCs w:val="32"/>
          <w:highlight w:val="none"/>
          <w:lang w:val="zh-CN" w:eastAsia="zh-CN" w:bidi="ar-SA"/>
        </w:rPr>
        <w:t>平方米，分值20分。实际租赁办公场所面积等于</w:t>
      </w:r>
      <w:r>
        <w:rPr>
          <w:rFonts w:hint="eastAsia" w:ascii="Times New Roman" w:hAnsi="Times New Roman" w:eastAsia="仿宋_GB2312" w:cs="仿宋_GB2312"/>
          <w:b w:val="0"/>
          <w:bCs w:val="0"/>
          <w:color w:val="auto"/>
          <w:kern w:val="0"/>
          <w:position w:val="0"/>
          <w:sz w:val="32"/>
          <w:szCs w:val="32"/>
          <w:highlight w:val="none"/>
          <w:lang w:val="en-US" w:eastAsia="zh-CN" w:bidi="ar-SA"/>
        </w:rPr>
        <w:t>694.14</w:t>
      </w:r>
      <w:r>
        <w:rPr>
          <w:rFonts w:hint="eastAsia" w:ascii="Times New Roman" w:hAnsi="Times New Roman" w:eastAsia="仿宋_GB2312" w:cs="仿宋_GB2312"/>
          <w:b w:val="0"/>
          <w:bCs w:val="0"/>
          <w:color w:val="auto"/>
          <w:kern w:val="0"/>
          <w:position w:val="0"/>
          <w:sz w:val="32"/>
          <w:szCs w:val="32"/>
          <w:highlight w:val="none"/>
          <w:lang w:val="zh-CN" w:eastAsia="zh-CN" w:bidi="ar-SA"/>
        </w:rPr>
        <w:t>平方米，该绩效目标完成，该指标得分</w:t>
      </w:r>
      <w:r>
        <w:rPr>
          <w:rFonts w:hint="eastAsia" w:ascii="Times New Roman" w:hAnsi="Times New Roman" w:eastAsia="仿宋_GB2312" w:cs="仿宋_GB2312"/>
          <w:b w:val="0"/>
          <w:bCs w:val="0"/>
          <w:color w:val="auto"/>
          <w:kern w:val="0"/>
          <w:position w:val="0"/>
          <w:sz w:val="32"/>
          <w:szCs w:val="32"/>
          <w:highlight w:val="none"/>
          <w:lang w:val="en-US" w:eastAsia="zh-CN" w:bidi="ar-SA"/>
        </w:rPr>
        <w:t>25</w:t>
      </w:r>
      <w:r>
        <w:rPr>
          <w:rFonts w:hint="eastAsia" w:ascii="Times New Roman" w:hAnsi="Times New Roman" w:eastAsia="仿宋_GB2312" w:cs="仿宋_GB2312"/>
          <w:b w:val="0"/>
          <w:bCs w:val="0"/>
          <w:color w:val="auto"/>
          <w:kern w:val="0"/>
          <w:position w:val="0"/>
          <w:sz w:val="32"/>
          <w:szCs w:val="32"/>
          <w:highlight w:val="none"/>
          <w:lang w:val="zh-CN" w:eastAsia="zh-CN" w:bidi="ar-SA"/>
        </w:rPr>
        <w:t>分。</w:t>
      </w:r>
    </w:p>
    <w:p w14:paraId="06488151">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 xml:space="preserve">2 </w:t>
      </w:r>
      <w:r>
        <w:rPr>
          <w:rFonts w:hint="eastAsia" w:ascii="Times New Roman" w:hAnsi="Times New Roman" w:eastAsia="仿宋_GB2312" w:cs="仿宋_GB2312"/>
          <w:b w:val="0"/>
          <w:bCs w:val="0"/>
          <w:color w:val="auto"/>
          <w:kern w:val="0"/>
          <w:position w:val="0"/>
          <w:sz w:val="32"/>
          <w:szCs w:val="32"/>
          <w:highlight w:val="none"/>
          <w:lang w:val="en-US" w:eastAsia="zh-CN" w:bidi="ar-SA"/>
        </w:rPr>
        <w:t>.</w:t>
      </w:r>
      <w:r>
        <w:rPr>
          <w:rFonts w:hint="eastAsia" w:ascii="Times New Roman" w:hAnsi="Times New Roman" w:eastAsia="仿宋_GB2312" w:cs="仿宋_GB2312"/>
          <w:b w:val="0"/>
          <w:bCs w:val="0"/>
          <w:color w:val="auto"/>
          <w:kern w:val="0"/>
          <w:position w:val="0"/>
          <w:sz w:val="32"/>
          <w:szCs w:val="32"/>
          <w:highlight w:val="none"/>
          <w:lang w:val="zh-CN" w:eastAsia="zh-CN" w:bidi="ar-SA"/>
        </w:rPr>
        <w:t>时效指标分析</w:t>
      </w:r>
    </w:p>
    <w:p w14:paraId="29F1E2BC">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该时效指标，租赁办公场所合同期限，年度指标</w:t>
      </w:r>
      <w:r>
        <w:rPr>
          <w:rFonts w:hint="eastAsia" w:ascii="Times New Roman" w:hAnsi="Times New Roman" w:eastAsia="仿宋_GB2312" w:cs="仿宋_GB2312"/>
          <w:b w:val="0"/>
          <w:bCs w:val="0"/>
          <w:color w:val="auto"/>
          <w:kern w:val="0"/>
          <w:position w:val="0"/>
          <w:sz w:val="32"/>
          <w:szCs w:val="32"/>
          <w:highlight w:val="none"/>
          <w:lang w:val="en-US" w:eastAsia="zh-CN" w:bidi="ar-SA"/>
        </w:rPr>
        <w:t>=1</w:t>
      </w:r>
      <w:r>
        <w:rPr>
          <w:rFonts w:hint="eastAsia" w:ascii="Times New Roman" w:hAnsi="Times New Roman" w:eastAsia="仿宋_GB2312" w:cs="仿宋_GB2312"/>
          <w:b w:val="0"/>
          <w:bCs w:val="0"/>
          <w:color w:val="auto"/>
          <w:kern w:val="0"/>
          <w:position w:val="0"/>
          <w:sz w:val="32"/>
          <w:szCs w:val="32"/>
          <w:highlight w:val="none"/>
          <w:lang w:val="zh-CN" w:eastAsia="zh-CN" w:bidi="ar-SA"/>
        </w:rPr>
        <w:t>年，分值20分。实际签订租赁办公场所合同1年，目标完成100%，该绩效目标完成，该指标得分</w:t>
      </w:r>
      <w:r>
        <w:rPr>
          <w:rFonts w:hint="eastAsia" w:ascii="Times New Roman" w:hAnsi="Times New Roman" w:eastAsia="仿宋_GB2312" w:cs="仿宋_GB2312"/>
          <w:b w:val="0"/>
          <w:bCs w:val="0"/>
          <w:color w:val="auto"/>
          <w:kern w:val="0"/>
          <w:position w:val="0"/>
          <w:sz w:val="32"/>
          <w:szCs w:val="32"/>
          <w:highlight w:val="none"/>
          <w:lang w:val="en-US" w:eastAsia="zh-CN" w:bidi="ar-SA"/>
        </w:rPr>
        <w:t>25</w:t>
      </w:r>
      <w:r>
        <w:rPr>
          <w:rFonts w:hint="eastAsia" w:ascii="Times New Roman" w:hAnsi="Times New Roman" w:eastAsia="仿宋_GB2312" w:cs="仿宋_GB2312"/>
          <w:b w:val="0"/>
          <w:bCs w:val="0"/>
          <w:color w:val="auto"/>
          <w:kern w:val="0"/>
          <w:position w:val="0"/>
          <w:sz w:val="32"/>
          <w:szCs w:val="32"/>
          <w:highlight w:val="none"/>
          <w:lang w:val="zh-CN" w:eastAsia="zh-CN" w:bidi="ar-SA"/>
        </w:rPr>
        <w:t>分。</w:t>
      </w:r>
    </w:p>
    <w:p w14:paraId="49D2D88A">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3</w:t>
      </w:r>
      <w:r>
        <w:rPr>
          <w:rFonts w:hint="eastAsia" w:ascii="Times New Roman" w:hAnsi="Times New Roman" w:eastAsia="仿宋_GB2312" w:cs="仿宋_GB2312"/>
          <w:b w:val="0"/>
          <w:bCs w:val="0"/>
          <w:color w:val="auto"/>
          <w:kern w:val="0"/>
          <w:position w:val="0"/>
          <w:sz w:val="32"/>
          <w:szCs w:val="32"/>
          <w:highlight w:val="none"/>
          <w:lang w:val="en-US" w:eastAsia="zh-CN" w:bidi="ar-SA"/>
        </w:rPr>
        <w:t>.</w:t>
      </w:r>
      <w:r>
        <w:rPr>
          <w:rFonts w:hint="eastAsia" w:ascii="Times New Roman" w:hAnsi="Times New Roman" w:eastAsia="仿宋_GB2312" w:cs="仿宋_GB2312"/>
          <w:b w:val="0"/>
          <w:bCs w:val="0"/>
          <w:color w:val="auto"/>
          <w:kern w:val="0"/>
          <w:position w:val="0"/>
          <w:sz w:val="32"/>
          <w:szCs w:val="32"/>
          <w:highlight w:val="none"/>
          <w:lang w:val="zh-CN" w:eastAsia="zh-CN" w:bidi="ar-SA"/>
        </w:rPr>
        <w:t>社会效益指标分析</w:t>
      </w:r>
    </w:p>
    <w:p w14:paraId="3E0FDBF8">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该社会效益指标，提高群众办理不动产登记效益率，年度指标≥90%，分值</w:t>
      </w:r>
      <w:r>
        <w:rPr>
          <w:rFonts w:hint="eastAsia" w:ascii="Times New Roman" w:hAnsi="Times New Roman" w:eastAsia="仿宋_GB2312" w:cs="仿宋_GB2312"/>
          <w:b w:val="0"/>
          <w:bCs w:val="0"/>
          <w:color w:val="auto"/>
          <w:kern w:val="0"/>
          <w:position w:val="0"/>
          <w:sz w:val="32"/>
          <w:szCs w:val="32"/>
          <w:highlight w:val="none"/>
          <w:lang w:val="en-US" w:eastAsia="zh-CN" w:bidi="ar-SA"/>
        </w:rPr>
        <w:t>3</w:t>
      </w:r>
      <w:r>
        <w:rPr>
          <w:rFonts w:hint="eastAsia" w:ascii="Times New Roman" w:hAnsi="Times New Roman" w:eastAsia="仿宋_GB2312" w:cs="仿宋_GB2312"/>
          <w:b w:val="0"/>
          <w:bCs w:val="0"/>
          <w:color w:val="auto"/>
          <w:kern w:val="0"/>
          <w:position w:val="0"/>
          <w:sz w:val="32"/>
          <w:szCs w:val="32"/>
          <w:highlight w:val="none"/>
          <w:lang w:val="zh-CN" w:eastAsia="zh-CN" w:bidi="ar-SA"/>
        </w:rPr>
        <w:t>0分。办公场所设立“一窗受理，并行办理”，推行系列便民服务，实现不动产登记一体化服务。有效提高了不动产确权办事效率、使群众少跑腿，方便群众办事。提高群众办理不动产登记效益率95%，该绩效目标完成，该指标得分</w:t>
      </w:r>
      <w:r>
        <w:rPr>
          <w:rFonts w:hint="eastAsia" w:ascii="Times New Roman" w:hAnsi="Times New Roman" w:eastAsia="仿宋_GB2312" w:cs="仿宋_GB2312"/>
          <w:b w:val="0"/>
          <w:bCs w:val="0"/>
          <w:color w:val="auto"/>
          <w:kern w:val="0"/>
          <w:position w:val="0"/>
          <w:sz w:val="32"/>
          <w:szCs w:val="32"/>
          <w:highlight w:val="none"/>
          <w:lang w:val="en-US" w:eastAsia="zh-CN" w:bidi="ar-SA"/>
        </w:rPr>
        <w:t>3</w:t>
      </w:r>
      <w:r>
        <w:rPr>
          <w:rFonts w:hint="eastAsia" w:ascii="Times New Roman" w:hAnsi="Times New Roman" w:eastAsia="仿宋_GB2312" w:cs="仿宋_GB2312"/>
          <w:b w:val="0"/>
          <w:bCs w:val="0"/>
          <w:color w:val="auto"/>
          <w:kern w:val="0"/>
          <w:position w:val="0"/>
          <w:sz w:val="32"/>
          <w:szCs w:val="32"/>
          <w:highlight w:val="none"/>
          <w:lang w:val="zh-CN" w:eastAsia="zh-CN" w:bidi="ar-SA"/>
        </w:rPr>
        <w:t>0 分。</w:t>
      </w:r>
    </w:p>
    <w:p w14:paraId="0EE7798B">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 xml:space="preserve">4 </w:t>
      </w:r>
      <w:r>
        <w:rPr>
          <w:rFonts w:hint="eastAsia" w:ascii="Times New Roman" w:hAnsi="Times New Roman" w:eastAsia="仿宋_GB2312" w:cs="仿宋_GB2312"/>
          <w:b w:val="0"/>
          <w:bCs w:val="0"/>
          <w:color w:val="auto"/>
          <w:kern w:val="0"/>
          <w:position w:val="0"/>
          <w:sz w:val="32"/>
          <w:szCs w:val="32"/>
          <w:highlight w:val="none"/>
          <w:lang w:val="en-US" w:eastAsia="zh-CN" w:bidi="ar-SA"/>
        </w:rPr>
        <w:t>.</w:t>
      </w:r>
      <w:r>
        <w:rPr>
          <w:rFonts w:hint="eastAsia" w:ascii="Times New Roman" w:hAnsi="Times New Roman" w:eastAsia="仿宋_GB2312" w:cs="仿宋_GB2312"/>
          <w:b w:val="0"/>
          <w:bCs w:val="0"/>
          <w:color w:val="auto"/>
          <w:kern w:val="0"/>
          <w:position w:val="0"/>
          <w:sz w:val="32"/>
          <w:szCs w:val="32"/>
          <w:highlight w:val="none"/>
          <w:lang w:val="zh-CN" w:eastAsia="zh-CN" w:bidi="ar-SA"/>
        </w:rPr>
        <w:t>经济成本指标分析</w:t>
      </w:r>
    </w:p>
    <w:p w14:paraId="4F5C993E">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该经济成本指标，租赁办公场所租金成本，年度指标 =</w:t>
      </w:r>
      <w:r>
        <w:rPr>
          <w:rFonts w:hint="eastAsia" w:ascii="Times New Roman" w:hAnsi="Times New Roman" w:eastAsia="仿宋_GB2312" w:cs="仿宋_GB2312"/>
          <w:b w:val="0"/>
          <w:bCs w:val="0"/>
          <w:color w:val="auto"/>
          <w:kern w:val="0"/>
          <w:position w:val="0"/>
          <w:sz w:val="32"/>
          <w:szCs w:val="32"/>
          <w:highlight w:val="none"/>
          <w:lang w:val="en-US" w:eastAsia="zh-CN" w:bidi="ar-SA"/>
        </w:rPr>
        <w:t>150300</w:t>
      </w:r>
      <w:r>
        <w:rPr>
          <w:rFonts w:hint="eastAsia" w:ascii="Times New Roman" w:hAnsi="Times New Roman" w:eastAsia="仿宋_GB2312" w:cs="仿宋_GB2312"/>
          <w:b w:val="0"/>
          <w:bCs w:val="0"/>
          <w:color w:val="auto"/>
          <w:kern w:val="0"/>
          <w:position w:val="0"/>
          <w:sz w:val="32"/>
          <w:szCs w:val="32"/>
          <w:highlight w:val="none"/>
          <w:lang w:val="zh-CN" w:eastAsia="zh-CN" w:bidi="ar-SA"/>
        </w:rPr>
        <w:t>元/年，分值</w:t>
      </w:r>
      <w:r>
        <w:rPr>
          <w:rFonts w:hint="eastAsia" w:ascii="Times New Roman" w:hAnsi="Times New Roman" w:eastAsia="仿宋_GB2312" w:cs="仿宋_GB2312"/>
          <w:b w:val="0"/>
          <w:bCs w:val="0"/>
          <w:color w:val="auto"/>
          <w:kern w:val="0"/>
          <w:position w:val="0"/>
          <w:sz w:val="32"/>
          <w:szCs w:val="32"/>
          <w:highlight w:val="none"/>
          <w:lang w:val="en-US" w:eastAsia="zh-CN" w:bidi="ar-SA"/>
        </w:rPr>
        <w:t>2</w:t>
      </w:r>
      <w:r>
        <w:rPr>
          <w:rFonts w:hint="eastAsia" w:ascii="Times New Roman" w:hAnsi="Times New Roman" w:eastAsia="仿宋_GB2312" w:cs="仿宋_GB2312"/>
          <w:b w:val="0"/>
          <w:bCs w:val="0"/>
          <w:color w:val="auto"/>
          <w:kern w:val="0"/>
          <w:position w:val="0"/>
          <w:sz w:val="32"/>
          <w:szCs w:val="32"/>
          <w:highlight w:val="none"/>
          <w:lang w:val="zh-CN" w:eastAsia="zh-CN" w:bidi="ar-SA"/>
        </w:rPr>
        <w:t xml:space="preserve">0分。签订合同租金一年为 </w:t>
      </w:r>
      <w:r>
        <w:rPr>
          <w:rFonts w:hint="eastAsia" w:ascii="Times New Roman" w:hAnsi="Times New Roman" w:eastAsia="仿宋_GB2312" w:cs="仿宋_GB2312"/>
          <w:b w:val="0"/>
          <w:bCs w:val="0"/>
          <w:color w:val="auto"/>
          <w:kern w:val="0"/>
          <w:position w:val="0"/>
          <w:sz w:val="32"/>
          <w:szCs w:val="32"/>
          <w:highlight w:val="none"/>
          <w:lang w:val="en-US" w:eastAsia="zh-CN" w:bidi="ar-SA"/>
        </w:rPr>
        <w:t>150336</w:t>
      </w:r>
      <w:r>
        <w:rPr>
          <w:rFonts w:hint="eastAsia" w:ascii="Times New Roman" w:hAnsi="Times New Roman" w:eastAsia="仿宋_GB2312" w:cs="仿宋_GB2312"/>
          <w:b w:val="0"/>
          <w:bCs w:val="0"/>
          <w:color w:val="auto"/>
          <w:kern w:val="0"/>
          <w:position w:val="0"/>
          <w:sz w:val="32"/>
          <w:szCs w:val="32"/>
          <w:highlight w:val="none"/>
          <w:lang w:val="zh-CN" w:eastAsia="zh-CN" w:bidi="ar-SA"/>
        </w:rPr>
        <w:t>元，经与业主友好协商，租金达成一致为</w:t>
      </w:r>
      <w:r>
        <w:rPr>
          <w:rFonts w:hint="eastAsia" w:ascii="Times New Roman" w:hAnsi="Times New Roman" w:eastAsia="仿宋_GB2312" w:cs="仿宋_GB2312"/>
          <w:b w:val="0"/>
          <w:bCs w:val="0"/>
          <w:color w:val="auto"/>
          <w:kern w:val="0"/>
          <w:position w:val="0"/>
          <w:sz w:val="32"/>
          <w:szCs w:val="32"/>
          <w:highlight w:val="none"/>
          <w:lang w:val="en-US" w:eastAsia="zh-CN" w:bidi="ar-SA"/>
        </w:rPr>
        <w:t>150300元。</w:t>
      </w:r>
      <w:r>
        <w:rPr>
          <w:rFonts w:hint="eastAsia" w:ascii="Times New Roman" w:hAnsi="Times New Roman" w:eastAsia="仿宋_GB2312" w:cs="仿宋_GB2312"/>
          <w:b w:val="0"/>
          <w:bCs w:val="0"/>
          <w:color w:val="auto"/>
          <w:kern w:val="0"/>
          <w:position w:val="0"/>
          <w:sz w:val="32"/>
          <w:szCs w:val="32"/>
          <w:highlight w:val="none"/>
          <w:lang w:val="zh-CN" w:eastAsia="zh-CN" w:bidi="ar-SA"/>
        </w:rPr>
        <w:t>该绩效目标完成，该指标得分</w:t>
      </w:r>
      <w:r>
        <w:rPr>
          <w:rFonts w:hint="eastAsia" w:ascii="Times New Roman" w:hAnsi="Times New Roman" w:eastAsia="仿宋_GB2312" w:cs="仿宋_GB2312"/>
          <w:b w:val="0"/>
          <w:bCs w:val="0"/>
          <w:color w:val="auto"/>
          <w:kern w:val="0"/>
          <w:position w:val="0"/>
          <w:sz w:val="32"/>
          <w:szCs w:val="32"/>
          <w:highlight w:val="none"/>
          <w:lang w:val="en-US" w:eastAsia="zh-CN" w:bidi="ar-SA"/>
        </w:rPr>
        <w:t>2</w:t>
      </w:r>
      <w:r>
        <w:rPr>
          <w:rFonts w:hint="eastAsia" w:ascii="Times New Roman" w:hAnsi="Times New Roman" w:eastAsia="仿宋_GB2312" w:cs="仿宋_GB2312"/>
          <w:b w:val="0"/>
          <w:bCs w:val="0"/>
          <w:color w:val="auto"/>
          <w:kern w:val="0"/>
          <w:position w:val="0"/>
          <w:sz w:val="32"/>
          <w:szCs w:val="32"/>
          <w:highlight w:val="none"/>
          <w:lang w:val="zh-CN" w:eastAsia="zh-CN" w:bidi="ar-SA"/>
        </w:rPr>
        <w:t>0分。</w:t>
      </w:r>
    </w:p>
    <w:p w14:paraId="17F4E82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14:paraId="2D7B490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本项目自评总分</w:t>
      </w:r>
      <w:r>
        <w:rPr>
          <w:rFonts w:hint="eastAsia" w:ascii="Times New Roman" w:hAnsi="Times New Roman" w:eastAsia="仿宋_GB2312" w:cs="仿宋_GB2312"/>
          <w:b w:val="0"/>
          <w:bCs w:val="0"/>
          <w:color w:val="auto"/>
          <w:kern w:val="0"/>
          <w:position w:val="0"/>
          <w:sz w:val="32"/>
          <w:szCs w:val="32"/>
          <w:highlight w:val="none"/>
          <w:lang w:val="en-US" w:eastAsia="zh-CN" w:bidi="ar-SA"/>
        </w:rPr>
        <w:t>100</w:t>
      </w:r>
      <w:r>
        <w:rPr>
          <w:rFonts w:hint="eastAsia" w:ascii="Times New Roman" w:hAnsi="Times New Roman" w:eastAsia="仿宋_GB2312" w:cs="仿宋_GB2312"/>
          <w:b w:val="0"/>
          <w:bCs w:val="0"/>
          <w:color w:val="auto"/>
          <w:kern w:val="0"/>
          <w:position w:val="0"/>
          <w:sz w:val="32"/>
          <w:szCs w:val="32"/>
          <w:highlight w:val="none"/>
          <w:lang w:val="zh-CN" w:eastAsia="zh-CN" w:bidi="ar-SA"/>
        </w:rPr>
        <w:t>分。办公用房租赁项目实施到位，预算执行总体较好，资金使用合规，租赁场地有效保障不动产登记窗口服务、档案保管及内部办公履职需求，较好实现项目预期绩效目标。</w:t>
      </w:r>
    </w:p>
    <w:p w14:paraId="4AEF26F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57BD80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B510B4C">
      <w:pPr>
        <w:widowControl w:val="0"/>
        <w:ind w:firstLine="640" w:firstLineChars="200"/>
        <w:jc w:val="both"/>
        <w:rPr>
          <w:rFonts w:hint="eastAsia" w:ascii="Times New Roman" w:hAnsi="Times New Roman" w:eastAsia="黑体"/>
          <w:color w:val="auto"/>
          <w:sz w:val="44"/>
          <w:szCs w:val="44"/>
          <w:highlight w:val="none"/>
        </w:rPr>
      </w:pPr>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72A3B5C2">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0"/>
          <w:rFonts w:hint="eastAsia" w:ascii="Times New Roman" w:hAnsi="Times New Roman" w:eastAsia="黑体"/>
          <w:b w:val="0"/>
          <w:color w:val="auto"/>
          <w:highlight w:val="none"/>
        </w:rPr>
        <w:t>五部分 附表</w:t>
      </w:r>
      <w:bookmarkEnd w:id="45"/>
      <w:bookmarkEnd w:id="47"/>
      <w:bookmarkStart w:id="48" w:name="_Toc15396619"/>
    </w:p>
    <w:p w14:paraId="53B62D4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09C11D8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8"/>
    </w:p>
    <w:p w14:paraId="2F27468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9" w:name="_Toc15396620"/>
      <w:r>
        <w:rPr>
          <w:rFonts w:hint="eastAsia" w:ascii="Times New Roman" w:hAnsi="Times New Roman" w:eastAsia="仿宋_GB2312" w:cs="仿宋_GB2312"/>
          <w:color w:val="auto"/>
          <w:sz w:val="32"/>
          <w:szCs w:val="32"/>
          <w:highlight w:val="none"/>
        </w:rPr>
        <w:t>二、收入决算表</w:t>
      </w:r>
      <w:bookmarkEnd w:id="49"/>
    </w:p>
    <w:p w14:paraId="0B5B3EB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1"/>
      <w:r>
        <w:rPr>
          <w:rFonts w:hint="eastAsia" w:ascii="Times New Roman" w:hAnsi="Times New Roman" w:eastAsia="仿宋_GB2312" w:cs="仿宋_GB2312"/>
          <w:color w:val="auto"/>
          <w:sz w:val="32"/>
          <w:szCs w:val="32"/>
          <w:highlight w:val="none"/>
        </w:rPr>
        <w:t>三、支出决算表</w:t>
      </w:r>
      <w:bookmarkEnd w:id="50"/>
    </w:p>
    <w:p w14:paraId="3DA3DB4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2"/>
      <w:r>
        <w:rPr>
          <w:rFonts w:hint="eastAsia" w:ascii="Times New Roman" w:hAnsi="Times New Roman" w:eastAsia="仿宋_GB2312" w:cs="仿宋_GB2312"/>
          <w:color w:val="auto"/>
          <w:sz w:val="32"/>
          <w:szCs w:val="32"/>
          <w:highlight w:val="none"/>
        </w:rPr>
        <w:t>四、财政拨款收入支出决算总表</w:t>
      </w:r>
      <w:bookmarkEnd w:id="51"/>
    </w:p>
    <w:p w14:paraId="332408A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3"/>
      <w:r>
        <w:rPr>
          <w:rFonts w:hint="eastAsia" w:ascii="Times New Roman" w:hAnsi="Times New Roman" w:eastAsia="仿宋_GB2312" w:cs="仿宋_GB2312"/>
          <w:color w:val="auto"/>
          <w:sz w:val="32"/>
          <w:szCs w:val="32"/>
          <w:highlight w:val="none"/>
        </w:rPr>
        <w:t>五、财政拨款支出决算明细表</w:t>
      </w:r>
      <w:bookmarkEnd w:id="52"/>
      <w:bookmarkStart w:id="53" w:name="_Toc15396624"/>
    </w:p>
    <w:p w14:paraId="5B6D8DE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3"/>
    </w:p>
    <w:p w14:paraId="38CEE80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5"/>
      <w:r>
        <w:rPr>
          <w:rFonts w:hint="eastAsia" w:ascii="Times New Roman" w:hAnsi="Times New Roman" w:eastAsia="仿宋_GB2312" w:cs="仿宋_GB2312"/>
          <w:color w:val="auto"/>
          <w:sz w:val="32"/>
          <w:szCs w:val="32"/>
          <w:highlight w:val="none"/>
        </w:rPr>
        <w:t>七、一般公共预算财政拨款支出决算明细表</w:t>
      </w:r>
      <w:bookmarkEnd w:id="54"/>
    </w:p>
    <w:p w14:paraId="459B0C1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6"/>
      <w:r>
        <w:rPr>
          <w:rFonts w:hint="eastAsia" w:ascii="Times New Roman" w:hAnsi="Times New Roman" w:eastAsia="仿宋_GB2312" w:cs="仿宋_GB2312"/>
          <w:color w:val="auto"/>
          <w:sz w:val="32"/>
          <w:szCs w:val="32"/>
          <w:highlight w:val="none"/>
        </w:rPr>
        <w:t>八、一般公共预算财政拨款基本支出决算表</w:t>
      </w:r>
      <w:bookmarkEnd w:id="55"/>
    </w:p>
    <w:p w14:paraId="0C5560B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7"/>
      <w:r>
        <w:rPr>
          <w:rFonts w:hint="eastAsia" w:ascii="Times New Roman" w:hAnsi="Times New Roman" w:eastAsia="仿宋_GB2312" w:cs="仿宋_GB2312"/>
          <w:color w:val="auto"/>
          <w:sz w:val="32"/>
          <w:szCs w:val="32"/>
          <w:highlight w:val="none"/>
        </w:rPr>
        <w:t>九、一般公共预算财政拨款项目支出决算表</w:t>
      </w:r>
      <w:bookmarkEnd w:id="56"/>
    </w:p>
    <w:p w14:paraId="55D3435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8"/>
      <w:r>
        <w:rPr>
          <w:rFonts w:hint="eastAsia" w:ascii="Times New Roman" w:hAnsi="Times New Roman" w:eastAsia="仿宋_GB2312" w:cs="仿宋_GB2312"/>
          <w:color w:val="auto"/>
          <w:sz w:val="32"/>
          <w:szCs w:val="32"/>
          <w:highlight w:val="none"/>
        </w:rPr>
        <w:t>十、</w:t>
      </w:r>
      <w:bookmarkEnd w:id="57"/>
      <w:r>
        <w:rPr>
          <w:rFonts w:hint="eastAsia" w:ascii="Times New Roman" w:hAnsi="Times New Roman" w:eastAsia="仿宋_GB2312" w:cs="仿宋_GB2312"/>
          <w:color w:val="auto"/>
          <w:sz w:val="32"/>
          <w:szCs w:val="32"/>
          <w:highlight w:val="none"/>
        </w:rPr>
        <w:t>政府性基金预算财政拨款收入支出决算表</w:t>
      </w:r>
    </w:p>
    <w:p w14:paraId="10B78AC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9"/>
      <w:r>
        <w:rPr>
          <w:rFonts w:hint="eastAsia" w:ascii="Times New Roman" w:hAnsi="Times New Roman" w:eastAsia="仿宋_GB2312" w:cs="仿宋_GB2312"/>
          <w:color w:val="auto"/>
          <w:sz w:val="32"/>
          <w:szCs w:val="32"/>
          <w:highlight w:val="none"/>
        </w:rPr>
        <w:t>十一、</w:t>
      </w:r>
      <w:bookmarkEnd w:id="5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02058F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30"/>
      <w:r>
        <w:rPr>
          <w:rFonts w:hint="eastAsia" w:ascii="Times New Roman" w:hAnsi="Times New Roman" w:eastAsia="仿宋_GB2312" w:cs="仿宋_GB2312"/>
          <w:color w:val="auto"/>
          <w:sz w:val="32"/>
          <w:szCs w:val="32"/>
          <w:highlight w:val="none"/>
        </w:rPr>
        <w:t>十二、</w:t>
      </w:r>
      <w:bookmarkEnd w:id="59"/>
      <w:r>
        <w:rPr>
          <w:rFonts w:hint="eastAsia" w:ascii="Times New Roman" w:hAnsi="Times New Roman" w:eastAsia="仿宋_GB2312" w:cs="仿宋_GB2312"/>
          <w:color w:val="auto"/>
          <w:sz w:val="32"/>
          <w:szCs w:val="32"/>
          <w:highlight w:val="none"/>
          <w:lang w:eastAsia="zh-CN"/>
        </w:rPr>
        <w:t>国有资本经营预算财政拨款支出决算表</w:t>
      </w:r>
    </w:p>
    <w:p w14:paraId="09CFB2B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0" w:name="_Toc15396631"/>
      <w:r>
        <w:rPr>
          <w:rFonts w:hint="eastAsia" w:ascii="Times New Roman" w:hAnsi="Times New Roman" w:eastAsia="仿宋_GB2312" w:cs="仿宋_GB2312"/>
          <w:color w:val="auto"/>
          <w:sz w:val="32"/>
          <w:szCs w:val="32"/>
          <w:highlight w:val="none"/>
        </w:rPr>
        <w:t>十三、</w:t>
      </w:r>
      <w:bookmarkEnd w:id="60"/>
      <w:r>
        <w:rPr>
          <w:rFonts w:hint="eastAsia" w:ascii="Times New Roman" w:hAnsi="Times New Roman" w:eastAsia="仿宋_GB2312" w:cs="仿宋_GB2312"/>
          <w:color w:val="auto"/>
          <w:sz w:val="32"/>
          <w:szCs w:val="32"/>
          <w:highlight w:val="none"/>
          <w:lang w:eastAsia="zh-CN"/>
        </w:rPr>
        <w:t>财政拨款“三公”经费支出决算表</w:t>
      </w:r>
    </w:p>
    <w:p w14:paraId="3572A075">
      <w:pPr>
        <w:rPr>
          <w:rFonts w:hint="eastAsia" w:ascii="Times New Roman" w:hAnsi="Times New Roman"/>
          <w:lang w:eastAsia="zh-CN"/>
        </w:rPr>
      </w:pPr>
    </w:p>
    <w:sectPr>
      <w:footerReference r:id="rId8"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FangSong_GB2312">
    <w:altName w:val="仿宋_GB2312"/>
    <w:panose1 w:val="02010609060101010101"/>
    <w:charset w:val="00"/>
    <w:family w:val="roman"/>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53BD8">
    <w:pPr>
      <w:pStyle w:val="11"/>
      <w:jc w:val="center"/>
    </w:pPr>
  </w:p>
  <w:p w14:paraId="072386E7">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7A526">
    <w:pPr>
      <w:pStyle w:val="11"/>
      <w:jc w:val="center"/>
    </w:pPr>
  </w:p>
  <w:p w14:paraId="25C760FD">
    <w:pPr>
      <w:pStyle w:val="11"/>
      <w:suppressAutoHyphens/>
      <w:bidi w:val="0"/>
      <w:rPr>
        <w:color w:val="auto"/>
      </w:rPr>
    </w:pPr>
  </w:p>
  <w:p w14:paraId="6C89DD8D">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64D5B">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741541">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B741541">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9D1DB">
    <w:pPr>
      <w:pStyle w:val="11"/>
      <w:jc w:val="center"/>
    </w:pPr>
  </w:p>
  <w:p w14:paraId="230FB495">
    <w:pPr>
      <w:pStyle w:val="11"/>
      <w:suppressAutoHyphens/>
      <w:bidi w:val="0"/>
      <w:rPr>
        <w:color w:val="auto"/>
      </w:rPr>
    </w:pPr>
  </w:p>
  <w:p w14:paraId="36439ED8">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20438">
    <w:pPr>
      <w:pStyle w:val="11"/>
      <w:suppressAutoHyphens/>
      <w:bidi w:val="0"/>
      <w:rPr>
        <w:color w:val="auto"/>
      </w:rPr>
    </w:pPr>
    <w:r>
      <w:rPr>
        <w:color w:val="auto"/>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51FFDB">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2D51FFDB">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79839F23">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DE0FE">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160F7C"/>
    <w:multiLevelType w:val="singleLevel"/>
    <w:tmpl w:val="A9160F7C"/>
    <w:lvl w:ilvl="0" w:tentative="0">
      <w:start w:val="2"/>
      <w:numFmt w:val="chineseCounting"/>
      <w:suff w:val="nothing"/>
      <w:lvlText w:val="（%1）"/>
      <w:lvlJc w:val="left"/>
      <w:rPr>
        <w:rFonts w:hint="eastAsia"/>
      </w:rPr>
    </w:lvl>
  </w:abstractNum>
  <w:abstractNum w:abstractNumId="1">
    <w:nsid w:val="D171DE21"/>
    <w:multiLevelType w:val="singleLevel"/>
    <w:tmpl w:val="D171DE21"/>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1B7D"/>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C22B3"/>
    <w:rsid w:val="015975B8"/>
    <w:rsid w:val="01A23516"/>
    <w:rsid w:val="02317B1B"/>
    <w:rsid w:val="02344AD7"/>
    <w:rsid w:val="02D257CE"/>
    <w:rsid w:val="02FEBE30"/>
    <w:rsid w:val="061E35DE"/>
    <w:rsid w:val="066E0107"/>
    <w:rsid w:val="07996F6E"/>
    <w:rsid w:val="07DFD8BA"/>
    <w:rsid w:val="07E85A2F"/>
    <w:rsid w:val="08DB07E4"/>
    <w:rsid w:val="08F82577"/>
    <w:rsid w:val="09867E8F"/>
    <w:rsid w:val="0A2032A3"/>
    <w:rsid w:val="0A6F29B5"/>
    <w:rsid w:val="0AA6270A"/>
    <w:rsid w:val="0C0A51FF"/>
    <w:rsid w:val="0C6C4794"/>
    <w:rsid w:val="0C7809D9"/>
    <w:rsid w:val="0CA8290A"/>
    <w:rsid w:val="0D35B1ED"/>
    <w:rsid w:val="0DCB0FA0"/>
    <w:rsid w:val="0DE07E2B"/>
    <w:rsid w:val="0E22113F"/>
    <w:rsid w:val="0F98263C"/>
    <w:rsid w:val="101860EC"/>
    <w:rsid w:val="10C055FF"/>
    <w:rsid w:val="10E370E8"/>
    <w:rsid w:val="11772AA4"/>
    <w:rsid w:val="118107EC"/>
    <w:rsid w:val="13755A31"/>
    <w:rsid w:val="13957196"/>
    <w:rsid w:val="13D50BC4"/>
    <w:rsid w:val="14022904"/>
    <w:rsid w:val="152F2A07"/>
    <w:rsid w:val="165E0673"/>
    <w:rsid w:val="16BB723D"/>
    <w:rsid w:val="16F13FCB"/>
    <w:rsid w:val="186504BB"/>
    <w:rsid w:val="18F2462F"/>
    <w:rsid w:val="19060F45"/>
    <w:rsid w:val="1938089F"/>
    <w:rsid w:val="198E6934"/>
    <w:rsid w:val="19A445FC"/>
    <w:rsid w:val="1B630F0E"/>
    <w:rsid w:val="1B7D550C"/>
    <w:rsid w:val="1BE8440E"/>
    <w:rsid w:val="1CDF1DB3"/>
    <w:rsid w:val="1D155CEE"/>
    <w:rsid w:val="1DE178F3"/>
    <w:rsid w:val="1E6455F3"/>
    <w:rsid w:val="1E740ACF"/>
    <w:rsid w:val="1ECA6A0E"/>
    <w:rsid w:val="1FF35744"/>
    <w:rsid w:val="1FF6BC77"/>
    <w:rsid w:val="21962A9E"/>
    <w:rsid w:val="21AE7C77"/>
    <w:rsid w:val="22BC3C41"/>
    <w:rsid w:val="234B45A0"/>
    <w:rsid w:val="23860B96"/>
    <w:rsid w:val="240371BF"/>
    <w:rsid w:val="24E801F8"/>
    <w:rsid w:val="25536A50"/>
    <w:rsid w:val="260F557C"/>
    <w:rsid w:val="281408E2"/>
    <w:rsid w:val="29FD04D3"/>
    <w:rsid w:val="2AD35CD5"/>
    <w:rsid w:val="2B6F7E7E"/>
    <w:rsid w:val="2BFF7BC6"/>
    <w:rsid w:val="2C8A61B5"/>
    <w:rsid w:val="2D2E01CF"/>
    <w:rsid w:val="2DAA4B56"/>
    <w:rsid w:val="2DF04E50"/>
    <w:rsid w:val="2E9545B0"/>
    <w:rsid w:val="2F040D46"/>
    <w:rsid w:val="2F747B9D"/>
    <w:rsid w:val="2F8C6508"/>
    <w:rsid w:val="2FAE5751"/>
    <w:rsid w:val="2FB1A395"/>
    <w:rsid w:val="2FD9A7D8"/>
    <w:rsid w:val="30025A3D"/>
    <w:rsid w:val="30551C94"/>
    <w:rsid w:val="319F7F4E"/>
    <w:rsid w:val="320A5AF4"/>
    <w:rsid w:val="321B2544"/>
    <w:rsid w:val="324D58B9"/>
    <w:rsid w:val="328E6C13"/>
    <w:rsid w:val="3304709D"/>
    <w:rsid w:val="34281836"/>
    <w:rsid w:val="34935860"/>
    <w:rsid w:val="349D6851"/>
    <w:rsid w:val="35BA6CAF"/>
    <w:rsid w:val="35D37231"/>
    <w:rsid w:val="35E800DA"/>
    <w:rsid w:val="35FB0348"/>
    <w:rsid w:val="364D14C1"/>
    <w:rsid w:val="36AA5135"/>
    <w:rsid w:val="36BE0DA7"/>
    <w:rsid w:val="376105ED"/>
    <w:rsid w:val="376B6AA6"/>
    <w:rsid w:val="376D39B2"/>
    <w:rsid w:val="37E16F03"/>
    <w:rsid w:val="37E8214B"/>
    <w:rsid w:val="37F53A3B"/>
    <w:rsid w:val="38657280"/>
    <w:rsid w:val="389B6C89"/>
    <w:rsid w:val="38BC25DC"/>
    <w:rsid w:val="38D469F0"/>
    <w:rsid w:val="391F0E08"/>
    <w:rsid w:val="392D3F0D"/>
    <w:rsid w:val="39627CCD"/>
    <w:rsid w:val="397BAF1F"/>
    <w:rsid w:val="3AB79AF3"/>
    <w:rsid w:val="3B7EF35A"/>
    <w:rsid w:val="3B9FDB6C"/>
    <w:rsid w:val="3BF5BC2F"/>
    <w:rsid w:val="3C1D3B53"/>
    <w:rsid w:val="3CEBA265"/>
    <w:rsid w:val="3D98207C"/>
    <w:rsid w:val="3D9B0D99"/>
    <w:rsid w:val="3DEE7CF3"/>
    <w:rsid w:val="3DF02244"/>
    <w:rsid w:val="3E78745D"/>
    <w:rsid w:val="3FF4CAE0"/>
    <w:rsid w:val="3FF7B227"/>
    <w:rsid w:val="40781C1C"/>
    <w:rsid w:val="40E54C45"/>
    <w:rsid w:val="41313393"/>
    <w:rsid w:val="43A407DF"/>
    <w:rsid w:val="44515BEA"/>
    <w:rsid w:val="44E268DA"/>
    <w:rsid w:val="452B7428"/>
    <w:rsid w:val="4538391E"/>
    <w:rsid w:val="453F7E5B"/>
    <w:rsid w:val="486A6C7A"/>
    <w:rsid w:val="49176D9B"/>
    <w:rsid w:val="494006BD"/>
    <w:rsid w:val="497F0C32"/>
    <w:rsid w:val="4A627F82"/>
    <w:rsid w:val="4A6621F3"/>
    <w:rsid w:val="4B0E749A"/>
    <w:rsid w:val="4B4F25DA"/>
    <w:rsid w:val="4BDA0CFB"/>
    <w:rsid w:val="4BE068DB"/>
    <w:rsid w:val="4C221180"/>
    <w:rsid w:val="4C8060E2"/>
    <w:rsid w:val="4CB60A02"/>
    <w:rsid w:val="4CB82C53"/>
    <w:rsid w:val="4D3C0CCC"/>
    <w:rsid w:val="4D577224"/>
    <w:rsid w:val="4D5F2EFF"/>
    <w:rsid w:val="4DBF1CEB"/>
    <w:rsid w:val="4EAB630A"/>
    <w:rsid w:val="4ECE2238"/>
    <w:rsid w:val="4F833267"/>
    <w:rsid w:val="4FE9BD67"/>
    <w:rsid w:val="4FFB052F"/>
    <w:rsid w:val="50C82C60"/>
    <w:rsid w:val="53083A92"/>
    <w:rsid w:val="532929E2"/>
    <w:rsid w:val="537E6D0A"/>
    <w:rsid w:val="53AF27A2"/>
    <w:rsid w:val="53F74C96"/>
    <w:rsid w:val="56C92DC6"/>
    <w:rsid w:val="56E47B74"/>
    <w:rsid w:val="570011D1"/>
    <w:rsid w:val="57615ECD"/>
    <w:rsid w:val="57897DAE"/>
    <w:rsid w:val="57BD3DD4"/>
    <w:rsid w:val="5ABA77E4"/>
    <w:rsid w:val="5AF92295"/>
    <w:rsid w:val="5B256A6B"/>
    <w:rsid w:val="5B444925"/>
    <w:rsid w:val="5B7D357F"/>
    <w:rsid w:val="5BDD79E6"/>
    <w:rsid w:val="5BF561CA"/>
    <w:rsid w:val="5BFF5DFC"/>
    <w:rsid w:val="5C3F26AF"/>
    <w:rsid w:val="5CD71FC4"/>
    <w:rsid w:val="5D1F11B5"/>
    <w:rsid w:val="5DAE1B18"/>
    <w:rsid w:val="5DE7D9E5"/>
    <w:rsid w:val="5E3E55D4"/>
    <w:rsid w:val="5ECEC941"/>
    <w:rsid w:val="5F493CB7"/>
    <w:rsid w:val="5FBF9FF3"/>
    <w:rsid w:val="5FCD4E2C"/>
    <w:rsid w:val="5FD15F49"/>
    <w:rsid w:val="5FEF394A"/>
    <w:rsid w:val="5FF67715"/>
    <w:rsid w:val="62BF3928"/>
    <w:rsid w:val="635A426B"/>
    <w:rsid w:val="6403578D"/>
    <w:rsid w:val="646D705D"/>
    <w:rsid w:val="647F5392"/>
    <w:rsid w:val="664B1D71"/>
    <w:rsid w:val="670C015D"/>
    <w:rsid w:val="67626104"/>
    <w:rsid w:val="67AA3209"/>
    <w:rsid w:val="681C4F0D"/>
    <w:rsid w:val="69046D0F"/>
    <w:rsid w:val="698D0931"/>
    <w:rsid w:val="6A006457"/>
    <w:rsid w:val="6A993CED"/>
    <w:rsid w:val="6AD8105C"/>
    <w:rsid w:val="6B053271"/>
    <w:rsid w:val="6BCE6674"/>
    <w:rsid w:val="6C4A05C8"/>
    <w:rsid w:val="6C8742B8"/>
    <w:rsid w:val="6C8A170F"/>
    <w:rsid w:val="6CB54609"/>
    <w:rsid w:val="6DBF5E93"/>
    <w:rsid w:val="6DFF077E"/>
    <w:rsid w:val="6E7E3605"/>
    <w:rsid w:val="6E7FDCC7"/>
    <w:rsid w:val="6E885FB5"/>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1CA02A6"/>
    <w:rsid w:val="72233669"/>
    <w:rsid w:val="72734D90"/>
    <w:rsid w:val="727F7D5B"/>
    <w:rsid w:val="73183EF9"/>
    <w:rsid w:val="7332FE48"/>
    <w:rsid w:val="73AB61DA"/>
    <w:rsid w:val="73AD73D5"/>
    <w:rsid w:val="73AF6F46"/>
    <w:rsid w:val="73B6EB34"/>
    <w:rsid w:val="73FA497D"/>
    <w:rsid w:val="73FC7C3B"/>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9FC004D"/>
    <w:rsid w:val="7A321E43"/>
    <w:rsid w:val="7A894339"/>
    <w:rsid w:val="7AAB3A25"/>
    <w:rsid w:val="7AFF7572"/>
    <w:rsid w:val="7B6C7DFB"/>
    <w:rsid w:val="7BBFBED0"/>
    <w:rsid w:val="7BC3E394"/>
    <w:rsid w:val="7C1F3737"/>
    <w:rsid w:val="7C384864"/>
    <w:rsid w:val="7CBFC87B"/>
    <w:rsid w:val="7CF23AEA"/>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正文-公1"/>
    <w:next w:val="1"/>
    <w:qFormat/>
    <w:uiPriority w:val="0"/>
    <w:pPr>
      <w:widowControl w:val="0"/>
      <w:ind w:firstLine="200" w:firstLineChars="200"/>
      <w:jc w:val="both"/>
    </w:pPr>
    <w:rPr>
      <w:rFonts w:ascii="Times New Roman" w:hAnsi="Times New Roman" w:eastAsia="宋体" w:cs="Times New Roman"/>
      <w:kern w:val="2"/>
      <w:sz w:val="21"/>
      <w:lang w:val="en-US" w:eastAsia="zh-CN"/>
    </w:rPr>
  </w:style>
  <w:style w:type="paragraph" w:styleId="6">
    <w:name w:val="Body Text"/>
    <w:basedOn w:val="1"/>
    <w:link w:val="27"/>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next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table" w:styleId="17">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6"/>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3"/>
    <w:qFormat/>
    <w:uiPriority w:val="9"/>
    <w:rPr>
      <w:rFonts w:ascii="Times New Roman" w:hAnsi="Times New Roman"/>
      <w:b/>
      <w:bCs/>
      <w:kern w:val="44"/>
      <w:sz w:val="44"/>
      <w:szCs w:val="44"/>
    </w:rPr>
  </w:style>
  <w:style w:type="character" w:customStyle="1" w:styleId="31">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0"/>
    <w:semiHidden/>
    <w:qFormat/>
    <w:uiPriority w:val="99"/>
    <w:rPr>
      <w:rFonts w:ascii="Times New Roman" w:hAnsi="Times New Roman"/>
      <w:kern w:val="2"/>
      <w:sz w:val="18"/>
      <w:szCs w:val="18"/>
    </w:rPr>
  </w:style>
  <w:style w:type="character" w:customStyle="1" w:styleId="34">
    <w:name w:val="标题 3 Char"/>
    <w:basedOn w:val="18"/>
    <w:link w:val="5"/>
    <w:qFormat/>
    <w:uiPriority w:val="9"/>
    <w:rPr>
      <w:rFonts w:ascii="Times New Roman" w:hAnsi="Times New Roman"/>
      <w:b/>
      <w:bCs/>
      <w:kern w:val="2"/>
      <w:sz w:val="32"/>
      <w:szCs w:val="32"/>
    </w:rPr>
  </w:style>
  <w:style w:type="paragraph" w:customStyle="1" w:styleId="35">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7">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7.emf"/><Relationship Id="rId22" Type="http://schemas.openxmlformats.org/officeDocument/2006/relationships/oleObject" Target="embeddings/oleObject7.bin"/><Relationship Id="rId21" Type="http://schemas.openxmlformats.org/officeDocument/2006/relationships/image" Target="media/image6.emf"/><Relationship Id="rId20" Type="http://schemas.openxmlformats.org/officeDocument/2006/relationships/oleObject" Target="embeddings/oleObject6.bin"/><Relationship Id="rId2" Type="http://schemas.openxmlformats.org/officeDocument/2006/relationships/settings" Target="settings.xml"/><Relationship Id="rId19" Type="http://schemas.openxmlformats.org/officeDocument/2006/relationships/image" Target="media/image5.emf"/><Relationship Id="rId18" Type="http://schemas.openxmlformats.org/officeDocument/2006/relationships/oleObject" Target="embeddings/oleObject5.bin"/><Relationship Id="rId17" Type="http://schemas.openxmlformats.org/officeDocument/2006/relationships/image" Target="media/image4.emf"/><Relationship Id="rId16" Type="http://schemas.openxmlformats.org/officeDocument/2006/relationships/oleObject" Target="embeddings/oleObject4.bin"/><Relationship Id="rId15" Type="http://schemas.openxmlformats.org/officeDocument/2006/relationships/image" Target="media/image3.emf"/><Relationship Id="rId14" Type="http://schemas.openxmlformats.org/officeDocument/2006/relationships/oleObject" Target="embeddings/oleObject3.bin"/><Relationship Id="rId13" Type="http://schemas.openxmlformats.org/officeDocument/2006/relationships/image" Target="media/image2.emf"/><Relationship Id="rId12" Type="http://schemas.openxmlformats.org/officeDocument/2006/relationships/oleObject" Target="embeddings/oleObject2.bin"/><Relationship Id="rId11" Type="http://schemas.openxmlformats.org/officeDocument/2006/relationships/image" Target="media/image1.emf"/><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91ec9a50-4b74-43a9-a724-b7abbd4748a3</errorID>
      <errorWord>(</errorWord>
      <group>L1_Format</group>
      <groupName>格式问题</groupName>
      <ability>L2_HalfPunc_CN</ability>
      <abilityName>全半角问题</abilityName>
      <candidateList>
        <item>（</item>
      </candidateList>
      <explain>文本全半角错误。</explain>
      <paraID>210EE4E6</paraID>
      <start>52</start>
      <end>53</end>
      <status>modified</status>
      <modifiedWord>（</modifiedWord>
      <trackRevisions>false</trackRevisions>
    </reviewItem>
    <reviewItem>
      <errorID>38c82acb-e841-4551-8622-cd744c87eed1</errorID>
      <errorWord>巩固脱贫攻坚成果</errorWord>
      <group>L1_Word</group>
      <groupName>字词问题</groupName>
      <ability>L2_Typo</ability>
      <abilityName>字词错误</abilityName>
      <candidateList>
        <item>巩固拓展脱贫攻坚成果</item>
      </candidateList>
      <explain/>
      <paraID>78662A22</paraID>
      <start>10</start>
      <end>18</end>
      <status>ignored</status>
      <modifiedWord/>
      <trackRevisions>false</trackRevisions>
    </reviewItem>
    <reviewItem>
      <errorID>1921e3be-6e3d-458c-b146-f760fbd27036</errorID>
      <errorWord>巩固脱贫攻坚成果</errorWord>
      <group>L1_Word</group>
      <groupName>字词问题</groupName>
      <ability>L2_Typo</ability>
      <abilityName>字词错误</abilityName>
      <candidateList>
        <item>巩固拓展脱贫攻坚成果</item>
      </candidateList>
      <explain/>
      <paraID>3563066A</paraID>
      <start>10</start>
      <end>18</end>
      <status>ignored</status>
      <modifiedWord/>
      <trackRevisions>false</trackRevisions>
    </reviewItem>
    <reviewItem>
      <errorID>6673cf9e-3139-492b-ac3e-2b363c2095a7</errorID>
      <errorWord>指用</errorWord>
      <group>L1_Word</group>
      <groupName>字词问题</groupName>
      <ability>L2_Typo</ability>
      <abilityName>字词错误</abilityName>
      <candidateList>
        <item>指</item>
      </candidateList>
      <explain/>
      <paraID>3563066A</paraID>
      <start>39</start>
      <end>41</end>
      <status>ignored</status>
      <modifiedWord/>
      <trackRevisions>false</trackRevisions>
    </reviewItem>
    <reviewItem>
      <errorID>48040148-eff8-4d3d-ae29-419456f41f46</errorID>
      <errorWord>预算法</errorWord>
      <group>L1_Knowledge</group>
      <groupName>知识性问题</groupName>
      <ability>L2_Knowledge</ability>
      <abilityName>其他知识</abilityName>
      <candidateList>
        <item>中华人民共和国预算法</item>
      </candidateList>
      <explain>当前法律法规名称使用简称，请注意是否应当使用全称。</explain>
      <paraID>2A9450A4</paraID>
      <start>33</start>
      <end>36</end>
      <status>ignored</status>
      <modifiedWord/>
      <trackRevisions>false</trackRevisions>
    </reviewItem>
    <reviewItem>
      <errorID>3a632da3-8e8e-4163-86db-f8f84f8c29c5</errorID>
      <errorWord>指标指标</errorWord>
      <group>L1_Word</group>
      <groupName>字词问题</groupName>
      <ability>L2_Typo</ability>
      <abilityName>字词错误</abilityName>
      <candidateList>
        <item>指标</item>
      </candidateList>
      <explain/>
      <paraID>21720B46</paraID>
      <start>4</start>
      <end>8</end>
      <status>ignored</status>
      <modifiedWord/>
      <trackRevisions>false</trackRevisions>
    </reviewItem>
    <reviewItem>
      <errorID>49026a34-ffb9-4f71-8e0f-c3b4f969a899</errorID>
      <errorWord>制</errorWord>
      <group>L1_Word</group>
      <groupName>字词问题</groupName>
      <ability>L2_Typo</ability>
      <abilityName>字词错误</abilityName>
      <candidateList>
        <item>制等</item>
      </candidateList>
      <explain/>
      <paraID>2914B5B8</paraID>
      <start>54</start>
      <end>55</end>
      <status>ignored</status>
      <modifiedWord/>
      <trackRevisions>false</trackRevisions>
    </reviewItem>
    <reviewItem>
      <errorID>99430528-c827-40d5-b09d-42550603887a</errorID>
      <errorWord>间</errorWord>
      <group>L1_Word</group>
      <groupName>字词问题</groupName>
      <ability>L2_Typo</ability>
      <abilityName>字词错误</abilityName>
      <candidateList>
        <item>间内</item>
      </candidateList>
      <explain/>
      <paraID>4E9357DE</paraID>
      <start>12</start>
      <end>13</end>
      <status>ignored</status>
      <modifiedWord/>
      <trackRevisions>false</trackRevisions>
    </reviewItem>
    <reviewItem>
      <errorID>c31c94ec-3317-4510-94fe-88ce40a0bb6f</errorID>
      <errorWord>使用范围</errorWord>
      <group>L1_Word</group>
      <groupName>字词问题</groupName>
      <ability>L2_Typo</ability>
      <abilityName>字词错误</abilityName>
      <candidateList>
        <item>适用范围</item>
      </candidateList>
      <explain>存在发音相同字词的误用。</explain>
      <paraID>5BC48510</paraID>
      <start>0</start>
      <end>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3c8f4de-6705-402b-843c-0cf793e7ac52}">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49</Pages>
  <Words>9714</Words>
  <Characters>11356</Characters>
  <Lines>61</Lines>
  <Paragraphs>17</Paragraphs>
  <TotalTime>251</TotalTime>
  <ScaleCrop>false</ScaleCrop>
  <LinksUpToDate>false</LinksUpToDate>
  <CharactersWithSpaces>11379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不穿邱裤</cp:lastModifiedBy>
  <cp:lastPrinted>2026-09-20T07:28:00Z</cp:lastPrinted>
  <dcterms:modified xsi:type="dcterms:W3CDTF">2026-09-22T07:14:44Z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400D301575C74348A5277D00A7902E06</vt:lpwstr>
  </property>
  <property fmtid="{D5CDD505-2E9C-101B-9397-08002B2CF9AE}" pid="4" name="KSOTemplateDocerSaveRecord">
    <vt:lpwstr>eyJoZGlkIjoiZTExMzQyNTMyOGI4ZWUyNDJlZTNmMTE1MjQxY2VjOGMiLCJ1c2VySWQiOiIzMDc2OTg3NDAifQ==</vt:lpwstr>
  </property>
</Properties>
</file>