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Override PartName="/word/theme/themeOverride5.xml" ContentType="application/vnd.openxmlformats-officedocument.themeOverride+xml"/>
  <Override PartName="/word/theme/themeOverride6.xml" ContentType="application/vnd.openxmlformats-officedocument.themeOverride+xml"/>
  <Override PartName="/word/theme/themeOverride7.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rPr>
      </w:pPr>
      <w:bookmarkStart w:id="0" w:name="_Toc15396475"/>
      <w:bookmarkStart w:id="1" w:name="_Toc15377193"/>
      <w:bookmarkStart w:id="2" w:name="_Toc15378441"/>
      <w:bookmarkStart w:id="3" w:name="_Toc15396597"/>
      <w:bookmarkStart w:id="4" w:name="_Toc15377425"/>
      <w:bookmarkStart w:id="5" w:name="_Toc15306267"/>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bookmarkStart w:id="6" w:name="_Toc15396476"/>
      <w:bookmarkStart w:id="7" w:name="_Toc15377194"/>
      <w:bookmarkStart w:id="8" w:name="_Toc15377426"/>
      <w:bookmarkStart w:id="9" w:name="_Toc15396598"/>
      <w:bookmarkStart w:id="10" w:name="_Toc15378442"/>
      <w:r>
        <w:rPr>
          <w:rFonts w:hint="default" w:ascii="Times New Roman" w:eastAsia="方正小标宋简体" w:cs="Times New Roman"/>
          <w:color w:val="auto"/>
          <w:kern w:val="2"/>
          <w:sz w:val="44"/>
          <w:szCs w:val="44"/>
          <w:highlight w:val="none"/>
          <w:lang w:val="en-US" w:eastAsia="zh-CN" w:bidi="ar-SA"/>
        </w:rPr>
        <w:t>2025年度</w:t>
      </w:r>
      <w:bookmarkEnd w:id="5"/>
      <w:bookmarkStart w:id="11" w:name="_Toc15306268"/>
      <w:r>
        <w:rPr>
          <w:rFonts w:hint="default" w:ascii="Times New Roman" w:eastAsia="方正小标宋简体" w:cs="Times New Roman"/>
          <w:color w:val="auto"/>
          <w:kern w:val="2"/>
          <w:sz w:val="44"/>
          <w:szCs w:val="44"/>
          <w:highlight w:val="none"/>
          <w:lang w:val="en-US" w:eastAsia="zh-CN" w:bidi="ar-SA"/>
        </w:rPr>
        <w:t>沐川县审计局</w:t>
      </w:r>
      <w:r>
        <w:rPr>
          <w:rFonts w:hint="default"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pPr>
        <w:widowControl/>
        <w:jc w:val="center"/>
        <w:rPr>
          <w:rFonts w:hint="default" w:ascii="Times New Roman" w:hAnsi="Times New Roman" w:eastAsia="黑体" w:cs="Times New Roman"/>
          <w:color w:val="auto"/>
          <w:sz w:val="48"/>
          <w:szCs w:val="48"/>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hint="default" w:ascii="Times New Roman" w:hAnsi="Times New Roman" w:eastAsia="黑体" w:cs="Times New Roman"/>
          <w:color w:val="auto"/>
          <w:sz w:val="28"/>
          <w:szCs w:val="28"/>
          <w:highlight w:val="none"/>
        </w:rPr>
      </w:pPr>
      <w:bookmarkStart w:id="12" w:name="_Toc15377196"/>
      <w:bookmarkStart w:id="13" w:name="_Toc15396599"/>
      <w:r>
        <w:rPr>
          <w:rFonts w:hint="default" w:ascii="Times New Roman" w:hAnsi="Times New Roman" w:eastAsia="黑体" w:cs="Times New Roman"/>
          <w:color w:val="auto"/>
          <w:sz w:val="48"/>
          <w:szCs w:val="48"/>
          <w:highlight w:val="none"/>
        </w:rPr>
        <w:t>目录</w:t>
      </w:r>
    </w:p>
    <w:p>
      <w:pPr>
        <w:pStyle w:val="13"/>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公开时间：20</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rPr>
        <w:t>月</w:t>
      </w:r>
      <w:r>
        <w:rPr>
          <w:rFonts w:hint="eastAsia" w:ascii="Times New Roman" w:hAnsi="Times New Roman" w:eastAsia="仿宋_GB2312" w:cs="Times New Roman"/>
          <w:color w:val="auto"/>
          <w:sz w:val="32"/>
          <w:szCs w:val="32"/>
          <w:highlight w:val="none"/>
          <w:lang w:val="en-US" w:eastAsia="zh-CN"/>
        </w:rPr>
        <w:t>22</w:t>
      </w:r>
      <w:bookmarkStart w:id="65" w:name="_GoBack"/>
      <w:bookmarkEnd w:id="65"/>
      <w:r>
        <w:rPr>
          <w:rFonts w:hint="default" w:ascii="Times New Roman" w:hAnsi="Times New Roman" w:eastAsia="仿宋_GB2312" w:cs="Times New Roman"/>
          <w:color w:val="auto"/>
          <w:sz w:val="32"/>
          <w:szCs w:val="32"/>
          <w:highlight w:val="none"/>
        </w:rPr>
        <w:t>日</w:t>
      </w:r>
    </w:p>
    <w:p>
      <w:pPr>
        <w:rPr>
          <w:rFonts w:hint="default" w:ascii="Times New Roman" w:hAnsi="Times New Roman" w:cs="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第一部分 部门概况</w:t>
      </w:r>
      <w:r>
        <w:rPr>
          <w:rFonts w:hint="default" w:ascii="Times New Roman" w:hAnsi="Times New Roman" w:eastAsia="黑体" w:cs="Times New Roman"/>
          <w:color w:val="auto"/>
          <w:sz w:val="32"/>
          <w:szCs w:val="32"/>
          <w:highlight w:val="none"/>
          <w:lang w:val="en-US" w:eastAsia="zh-CN"/>
        </w:rPr>
        <w:t>...................................................................1</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rPr>
        <w:t>一、</w:t>
      </w:r>
      <w:r>
        <w:rPr>
          <w:rFonts w:hint="default" w:ascii="Times New Roman" w:hAnsi="Times New Roman" w:eastAsia="仿宋_GB2312" w:cs="Times New Roman"/>
          <w:color w:val="auto"/>
          <w:sz w:val="32"/>
          <w:szCs w:val="32"/>
          <w:highlight w:val="none"/>
          <w:lang w:eastAsia="zh-CN"/>
        </w:rPr>
        <w:t>部门职责</w:t>
      </w:r>
      <w:r>
        <w:rPr>
          <w:rFonts w:hint="default"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..1</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二、机构设置</w:t>
      </w:r>
      <w:r>
        <w:rPr>
          <w:rFonts w:hint="default" w:ascii="Times New Roman" w:hAnsi="Times New Roman" w:eastAsia="仿宋_GB2312" w:cs="Times New Roman"/>
          <w:color w:val="auto"/>
          <w:sz w:val="32"/>
          <w:szCs w:val="32"/>
          <w:highlight w:val="none"/>
          <w:lang w:val="en-US" w:eastAsia="zh-CN"/>
        </w:rPr>
        <w:t>.....................................................................</w:t>
      </w:r>
      <w:r>
        <w:rPr>
          <w:rFonts w:hint="default" w:eastAsia="仿宋_GB2312" w:cs="Times New Roman"/>
          <w:color w:val="auto"/>
          <w:sz w:val="32"/>
          <w:szCs w:val="32"/>
          <w:highlight w:val="none"/>
          <w:lang w:val="en-US" w:eastAsia="zh-CN"/>
        </w:rPr>
        <w:t>4</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第二部分</w:t>
      </w:r>
      <w:r>
        <w:rPr>
          <w:rFonts w:hint="default" w:ascii="Times New Roman" w:hAnsi="Times New Roman" w:eastAsia="黑体" w:cs="Times New Roman"/>
          <w:color w:val="auto"/>
          <w:sz w:val="32"/>
          <w:szCs w:val="32"/>
          <w:highlight w:val="none"/>
          <w:lang w:val="en-US" w:eastAsia="zh-CN"/>
        </w:rPr>
        <w:t xml:space="preserve"> 2025年度</w:t>
      </w:r>
      <w:r>
        <w:rPr>
          <w:rFonts w:hint="default" w:ascii="Times New Roman" w:hAnsi="Times New Roman" w:eastAsia="黑体" w:cs="Times New Roman"/>
          <w:color w:val="auto"/>
          <w:sz w:val="32"/>
          <w:szCs w:val="32"/>
          <w:highlight w:val="none"/>
        </w:rPr>
        <w:t>部门决算情况说明</w:t>
      </w:r>
      <w:r>
        <w:rPr>
          <w:rFonts w:hint="default" w:ascii="Times New Roman" w:hAnsi="Times New Roman" w:eastAsia="黑体" w:cs="Times New Roman"/>
          <w:color w:val="auto"/>
          <w:sz w:val="32"/>
          <w:szCs w:val="32"/>
          <w:highlight w:val="none"/>
          <w:lang w:val="en-US" w:eastAsia="zh-CN"/>
        </w:rPr>
        <w:t>..................................5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一、收入支出决算总体情况说明</w:t>
      </w:r>
      <w:r>
        <w:rPr>
          <w:rFonts w:hint="default" w:ascii="Times New Roman" w:hAnsi="Times New Roman" w:eastAsia="仿宋_GB2312" w:cs="Times New Roman"/>
          <w:color w:val="auto"/>
          <w:sz w:val="32"/>
          <w:szCs w:val="32"/>
          <w:highlight w:val="none"/>
          <w:lang w:val="en-US" w:eastAsia="zh-CN"/>
        </w:rPr>
        <w:t>.....................................5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二、收入决算情况说明</w:t>
      </w:r>
      <w:r>
        <w:rPr>
          <w:rFonts w:hint="default" w:ascii="Times New Roman" w:hAnsi="Times New Roman" w:eastAsia="仿宋_GB2312" w:cs="Times New Roman"/>
          <w:color w:val="auto"/>
          <w:sz w:val="32"/>
          <w:szCs w:val="32"/>
          <w:highlight w:val="none"/>
          <w:lang w:val="en-US" w:eastAsia="zh-CN"/>
        </w:rPr>
        <w:t>.....................................................5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三、支出决算情况说明</w:t>
      </w:r>
      <w:r>
        <w:rPr>
          <w:rFonts w:hint="default" w:ascii="Times New Roman" w:hAnsi="Times New Roman" w:eastAsia="仿宋_GB2312" w:cs="Times New Roman"/>
          <w:color w:val="auto"/>
          <w:sz w:val="32"/>
          <w:szCs w:val="32"/>
          <w:highlight w:val="none"/>
          <w:lang w:val="en-US" w:eastAsia="zh-CN"/>
        </w:rPr>
        <w:t>.....................................................6</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四、财政拨款收入支出决算总体情况说明</w:t>
      </w:r>
      <w:r>
        <w:rPr>
          <w:rFonts w:hint="default" w:ascii="Times New Roman" w:hAnsi="Times New Roman" w:eastAsia="仿宋_GB2312" w:cs="Times New Roman"/>
          <w:color w:val="auto"/>
          <w:sz w:val="32"/>
          <w:szCs w:val="32"/>
          <w:highlight w:val="none"/>
          <w:lang w:val="en-US" w:eastAsia="zh-CN"/>
        </w:rPr>
        <w:t>.....................6</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五、一般公共预算财政拨款支出决算情况说明</w:t>
      </w:r>
      <w:r>
        <w:rPr>
          <w:rFonts w:hint="default" w:ascii="Times New Roman" w:hAnsi="Times New Roman" w:eastAsia="仿宋_GB2312" w:cs="Times New Roman"/>
          <w:color w:val="auto"/>
          <w:sz w:val="32"/>
          <w:szCs w:val="32"/>
          <w:highlight w:val="none"/>
          <w:lang w:val="en-US" w:eastAsia="zh-CN"/>
        </w:rPr>
        <w:t>.............7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六、一般公共预算财政拨款基本支出决算情况说明</w:t>
      </w:r>
      <w:r>
        <w:rPr>
          <w:rFonts w:hint="default" w:ascii="Times New Roman" w:hAnsi="Times New Roman" w:eastAsia="仿宋_GB2312" w:cs="Times New Roman"/>
          <w:color w:val="auto"/>
          <w:sz w:val="32"/>
          <w:szCs w:val="32"/>
          <w:highlight w:val="none"/>
          <w:lang w:val="en-US" w:eastAsia="zh-CN"/>
        </w:rPr>
        <w:t>.....9</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七、财政拨款</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三公”经费支出决算情况说明</w:t>
      </w:r>
      <w:r>
        <w:rPr>
          <w:rFonts w:hint="default" w:ascii="Times New Roman" w:hAnsi="Times New Roman" w:eastAsia="仿宋_GB2312" w:cs="Times New Roman"/>
          <w:color w:val="auto"/>
          <w:sz w:val="32"/>
          <w:szCs w:val="32"/>
          <w:highlight w:val="none"/>
          <w:lang w:val="en-US" w:eastAsia="zh-CN"/>
        </w:rPr>
        <w:t>................10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八、政府性基金预算支出决算情况说明</w:t>
      </w:r>
      <w:r>
        <w:rPr>
          <w:rFonts w:hint="default" w:ascii="Times New Roman" w:hAnsi="Times New Roman" w:eastAsia="仿宋_GB2312" w:cs="Times New Roman"/>
          <w:color w:val="auto"/>
          <w:sz w:val="32"/>
          <w:szCs w:val="32"/>
          <w:highlight w:val="none"/>
          <w:lang w:val="en-US" w:eastAsia="zh-CN"/>
        </w:rPr>
        <w:t>........................11</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九、</w:t>
      </w:r>
      <w:r>
        <w:rPr>
          <w:rFonts w:hint="default" w:ascii="Times New Roman" w:hAnsi="Times New Roman" w:eastAsia="仿宋_GB2312" w:cs="Times New Roman"/>
          <w:color w:val="auto"/>
          <w:sz w:val="32"/>
          <w:szCs w:val="32"/>
          <w:highlight w:val="none"/>
          <w:lang w:eastAsia="zh-CN"/>
        </w:rPr>
        <w:t>国</w:t>
      </w:r>
      <w:r>
        <w:rPr>
          <w:rFonts w:hint="default" w:ascii="Times New Roman" w:hAnsi="Times New Roman" w:eastAsia="仿宋_GB2312" w:cs="Times New Roman"/>
          <w:color w:val="auto"/>
          <w:sz w:val="32"/>
          <w:szCs w:val="32"/>
          <w:highlight w:val="none"/>
        </w:rPr>
        <w:t>有资本经营预算支出决算情况说明</w:t>
      </w:r>
      <w:r>
        <w:rPr>
          <w:rFonts w:hint="default" w:ascii="Times New Roman" w:hAnsi="Times New Roman" w:eastAsia="仿宋_GB2312" w:cs="Times New Roman"/>
          <w:color w:val="auto"/>
          <w:sz w:val="32"/>
          <w:szCs w:val="32"/>
          <w:highlight w:val="none"/>
          <w:lang w:val="en-US" w:eastAsia="zh-CN"/>
        </w:rPr>
        <w:t>....................11</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t>十</w:t>
      </w:r>
      <w:r>
        <w:rPr>
          <w:rFonts w:hint="default" w:ascii="Times New Roman" w:hAnsi="Times New Roman" w:eastAsia="仿宋_GB2312" w:cs="Times New Roman"/>
          <w:color w:val="auto"/>
          <w:sz w:val="32"/>
          <w:szCs w:val="32"/>
          <w:highlight w:val="none"/>
        </w:rPr>
        <w:t>、其他重要事项的情况说明</w:t>
      </w:r>
      <w:r>
        <w:rPr>
          <w:rFonts w:hint="default" w:ascii="Times New Roman" w:hAnsi="Times New Roman" w:eastAsia="仿宋_GB2312" w:cs="Times New Roman"/>
          <w:color w:val="auto"/>
          <w:sz w:val="32"/>
          <w:szCs w:val="32"/>
          <w:highlight w:val="none"/>
          <w:lang w:val="en-US" w:eastAsia="zh-CN"/>
        </w:rPr>
        <w:t>........................................11</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第三部分 名词解释</w:t>
      </w:r>
      <w:r>
        <w:rPr>
          <w:rFonts w:hint="default" w:ascii="Times New Roman" w:hAnsi="Times New Roman" w:eastAsia="黑体" w:cs="Times New Roman"/>
          <w:color w:val="auto"/>
          <w:sz w:val="32"/>
          <w:szCs w:val="32"/>
          <w:highlight w:val="none"/>
          <w:lang w:val="en-US" w:eastAsia="zh-CN"/>
        </w:rPr>
        <w:t>..................................................................14</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第四部分 附件</w:t>
      </w:r>
      <w:r>
        <w:rPr>
          <w:rFonts w:hint="default" w:ascii="Times New Roman" w:hAnsi="Times New Roman" w:eastAsia="黑体" w:cs="Times New Roman"/>
          <w:color w:val="auto"/>
          <w:sz w:val="32"/>
          <w:szCs w:val="32"/>
          <w:highlight w:val="none"/>
          <w:lang w:val="en-US" w:eastAsia="zh-CN"/>
        </w:rPr>
        <w:t>..........................................................................1</w:t>
      </w:r>
      <w:r>
        <w:rPr>
          <w:rFonts w:hint="eastAsia" w:ascii="Times New Roman" w:hAnsi="Times New Roman" w:eastAsia="黑体" w:cs="Times New Roman"/>
          <w:color w:val="auto"/>
          <w:sz w:val="32"/>
          <w:szCs w:val="32"/>
          <w:highlight w:val="none"/>
          <w:lang w:val="en-US" w:eastAsia="zh-CN"/>
        </w:rPr>
        <w:t>7</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第五部分 附表</w:t>
      </w:r>
      <w:r>
        <w:rPr>
          <w:rFonts w:hint="default" w:ascii="Times New Roman" w:hAnsi="Times New Roman" w:eastAsia="黑体" w:cs="Times New Roman"/>
          <w:color w:val="auto"/>
          <w:sz w:val="32"/>
          <w:szCs w:val="32"/>
          <w:highlight w:val="none"/>
          <w:lang w:val="en-US" w:eastAsia="zh-CN"/>
        </w:rPr>
        <w:t>..........................................................................3</w:t>
      </w:r>
      <w:r>
        <w:rPr>
          <w:rFonts w:hint="eastAsia" w:ascii="Times New Roman" w:hAnsi="Times New Roman" w:eastAsia="黑体" w:cs="Times New Roman"/>
          <w:color w:val="auto"/>
          <w:sz w:val="32"/>
          <w:szCs w:val="32"/>
          <w:highlight w:val="none"/>
          <w:lang w:val="en-US" w:eastAsia="zh-CN"/>
        </w:rPr>
        <w:t>1</w:t>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r>
        <w:rPr>
          <w:rFonts w:hint="default" w:ascii="Times New Roman" w:hAnsi="Times New Roman" w:eastAsia="黑体" w:cs="Times New Roman"/>
          <w:color w:val="auto"/>
          <w:sz w:val="32"/>
          <w:szCs w:val="32"/>
          <w:highlight w:val="none"/>
          <w:lang w:val="en-US" w:eastAsia="zh-CN"/>
        </w:rPr>
        <w:t>....................................................3</w:t>
      </w:r>
      <w:r>
        <w:rPr>
          <w:rFonts w:hint="eastAsia" w:ascii="Times New Roman" w:hAnsi="Times New Roman" w:eastAsia="黑体" w:cs="Times New Roman"/>
          <w:color w:val="auto"/>
          <w:sz w:val="32"/>
          <w:szCs w:val="32"/>
          <w:highlight w:val="none"/>
          <w:lang w:val="en-US" w:eastAsia="zh-CN"/>
        </w:rPr>
        <w:t>1</w:t>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二、收入决算表</w:t>
      </w:r>
      <w:r>
        <w:rPr>
          <w:rFonts w:hint="default" w:ascii="Times New Roman" w:hAnsi="Times New Roman" w:eastAsia="黑体" w:cs="Times New Roman"/>
          <w:color w:val="auto"/>
          <w:sz w:val="32"/>
          <w:szCs w:val="32"/>
          <w:highlight w:val="none"/>
          <w:lang w:val="en-US" w:eastAsia="zh-CN"/>
        </w:rPr>
        <w:t>................................................................3</w:t>
      </w:r>
      <w:r>
        <w:rPr>
          <w:rFonts w:hint="eastAsia" w:ascii="Times New Roman" w:hAnsi="Times New Roman" w:eastAsia="黑体" w:cs="Times New Roman"/>
          <w:color w:val="auto"/>
          <w:sz w:val="32"/>
          <w:szCs w:val="32"/>
          <w:highlight w:val="none"/>
          <w:lang w:val="en-US" w:eastAsia="zh-CN"/>
        </w:rPr>
        <w:t>1</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仿宋_GB2312" w:cs="Times New Roman"/>
          <w:color w:val="auto"/>
          <w:sz w:val="32"/>
          <w:szCs w:val="32"/>
          <w:highlight w:val="none"/>
        </w:rPr>
        <w:sectPr>
          <w:footerReference r:id="rId6" w:type="first"/>
          <w:footerReference r:id="rId5" w:type="default"/>
          <w:pgSz w:w="11906" w:h="16838"/>
          <w:pgMar w:top="2041" w:right="1468" w:bottom="1587" w:left="1468" w:header="851" w:footer="992" w:gutter="0"/>
          <w:pgNumType w:fmt="decimal" w:start="1"/>
          <w:cols w:space="0" w:num="1"/>
          <w:rtlGutter w:val="0"/>
          <w:docGrid w:type="lines" w:linePitch="312" w:charSpace="0"/>
        </w:sectPr>
      </w:pP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三、支出决算表</w:t>
      </w:r>
      <w:r>
        <w:rPr>
          <w:rFonts w:hint="default" w:ascii="Times New Roman" w:hAnsi="Times New Roman" w:eastAsia="黑体" w:cs="Times New Roman"/>
          <w:color w:val="auto"/>
          <w:sz w:val="32"/>
          <w:szCs w:val="32"/>
          <w:highlight w:val="none"/>
          <w:lang w:val="en-US" w:eastAsia="zh-CN"/>
        </w:rPr>
        <w:t>................................................................3</w:t>
      </w:r>
      <w:r>
        <w:rPr>
          <w:rFonts w:hint="eastAsia" w:ascii="Times New Roman" w:hAnsi="Times New Roman" w:eastAsia="黑体" w:cs="Times New Roman"/>
          <w:color w:val="auto"/>
          <w:sz w:val="32"/>
          <w:szCs w:val="32"/>
          <w:highlight w:val="none"/>
          <w:lang w:val="en-US" w:eastAsia="zh-CN"/>
        </w:rPr>
        <w:t>1</w:t>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四、财政拨款收入支出决算总表</w:t>
      </w:r>
      <w:r>
        <w:rPr>
          <w:rFonts w:hint="default" w:ascii="Times New Roman" w:hAnsi="Times New Roman" w:eastAsia="黑体" w:cs="Times New Roman"/>
          <w:color w:val="auto"/>
          <w:sz w:val="32"/>
          <w:szCs w:val="32"/>
          <w:highlight w:val="none"/>
          <w:lang w:val="en-US" w:eastAsia="zh-CN"/>
        </w:rPr>
        <w:t>....................................3</w:t>
      </w:r>
      <w:r>
        <w:rPr>
          <w:rFonts w:hint="eastAsia" w:ascii="Times New Roman" w:hAnsi="Times New Roman" w:eastAsia="黑体" w:cs="Times New Roman"/>
          <w:color w:val="auto"/>
          <w:sz w:val="32"/>
          <w:szCs w:val="32"/>
          <w:highlight w:val="none"/>
          <w:lang w:val="en-US" w:eastAsia="zh-CN"/>
        </w:rPr>
        <w:t>1</w:t>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五、财政拨款支出决算明细表</w:t>
      </w:r>
      <w:r>
        <w:rPr>
          <w:rFonts w:hint="default" w:ascii="Times New Roman" w:hAnsi="Times New Roman" w:eastAsia="黑体" w:cs="Times New Roman"/>
          <w:color w:val="auto"/>
          <w:sz w:val="32"/>
          <w:szCs w:val="32"/>
          <w:highlight w:val="none"/>
          <w:lang w:val="en-US" w:eastAsia="zh-CN"/>
        </w:rPr>
        <w:t>........................................3</w:t>
      </w:r>
      <w:r>
        <w:rPr>
          <w:rFonts w:hint="eastAsia" w:ascii="Times New Roman" w:hAnsi="Times New Roman" w:eastAsia="黑体" w:cs="Times New Roman"/>
          <w:color w:val="auto"/>
          <w:sz w:val="32"/>
          <w:szCs w:val="32"/>
          <w:highlight w:val="none"/>
          <w:lang w:val="en-US" w:eastAsia="zh-CN"/>
        </w:rPr>
        <w:t>1</w:t>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六、一般公共预算财政拨款支出决算表</w:t>
      </w:r>
      <w:r>
        <w:rPr>
          <w:rFonts w:hint="default" w:ascii="Times New Roman" w:hAnsi="Times New Roman" w:eastAsia="黑体" w:cs="Times New Roman"/>
          <w:color w:val="auto"/>
          <w:sz w:val="32"/>
          <w:szCs w:val="32"/>
          <w:highlight w:val="none"/>
          <w:lang w:val="en-US" w:eastAsia="zh-CN"/>
        </w:rPr>
        <w:t>........................3</w:t>
      </w:r>
      <w:r>
        <w:rPr>
          <w:rFonts w:hint="eastAsia" w:ascii="Times New Roman" w:hAnsi="Times New Roman" w:eastAsia="黑体" w:cs="Times New Roman"/>
          <w:color w:val="auto"/>
          <w:sz w:val="32"/>
          <w:szCs w:val="32"/>
          <w:highlight w:val="none"/>
          <w:lang w:val="en-US" w:eastAsia="zh-CN"/>
        </w:rPr>
        <w:t>1</w:t>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七、一般公共预算财政拨款支出决算明细表</w:t>
      </w:r>
      <w:r>
        <w:rPr>
          <w:rFonts w:hint="default" w:ascii="Times New Roman" w:hAnsi="Times New Roman" w:eastAsia="黑体" w:cs="Times New Roman"/>
          <w:color w:val="auto"/>
          <w:sz w:val="32"/>
          <w:szCs w:val="32"/>
          <w:highlight w:val="none"/>
          <w:lang w:val="en-US" w:eastAsia="zh-CN"/>
        </w:rPr>
        <w:t>................3</w:t>
      </w:r>
      <w:r>
        <w:rPr>
          <w:rFonts w:hint="eastAsia" w:ascii="Times New Roman" w:hAnsi="Times New Roman" w:eastAsia="黑体" w:cs="Times New Roman"/>
          <w:color w:val="auto"/>
          <w:sz w:val="32"/>
          <w:szCs w:val="32"/>
          <w:highlight w:val="none"/>
          <w:lang w:val="en-US" w:eastAsia="zh-CN"/>
        </w:rPr>
        <w:t>1</w:t>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八、一般公共预算财政拨款基本支出决算</w:t>
      </w:r>
      <w:r>
        <w:rPr>
          <w:rFonts w:hint="default" w:ascii="Times New Roman" w:hAnsi="Times New Roman" w:eastAsia="仿宋_GB2312" w:cs="Times New Roman"/>
          <w:color w:val="auto"/>
          <w:sz w:val="32"/>
          <w:szCs w:val="32"/>
          <w:highlight w:val="none"/>
          <w:lang w:eastAsia="zh-CN"/>
        </w:rPr>
        <w:t>明细</w:t>
      </w:r>
      <w:r>
        <w:rPr>
          <w:rFonts w:hint="default" w:ascii="Times New Roman" w:hAnsi="Times New Roman" w:eastAsia="仿宋_GB2312" w:cs="Times New Roman"/>
          <w:color w:val="auto"/>
          <w:sz w:val="32"/>
          <w:szCs w:val="32"/>
          <w:highlight w:val="none"/>
        </w:rPr>
        <w:t>表</w:t>
      </w:r>
      <w:r>
        <w:rPr>
          <w:rFonts w:hint="default" w:ascii="Times New Roman" w:hAnsi="Times New Roman" w:eastAsia="黑体" w:cs="Times New Roman"/>
          <w:color w:val="auto"/>
          <w:sz w:val="32"/>
          <w:szCs w:val="32"/>
          <w:highlight w:val="none"/>
          <w:lang w:val="en-US" w:eastAsia="zh-CN"/>
        </w:rPr>
        <w:t>........3</w:t>
      </w:r>
      <w:r>
        <w:rPr>
          <w:rFonts w:hint="eastAsia" w:ascii="Times New Roman" w:hAnsi="Times New Roman" w:eastAsia="黑体" w:cs="Times New Roman"/>
          <w:color w:val="auto"/>
          <w:sz w:val="32"/>
          <w:szCs w:val="32"/>
          <w:highlight w:val="none"/>
          <w:lang w:val="en-US" w:eastAsia="zh-CN"/>
        </w:rPr>
        <w:t>1</w:t>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九、一般公共预算财政拨款项目支出决算表</w:t>
      </w:r>
      <w:r>
        <w:rPr>
          <w:rFonts w:hint="default" w:ascii="Times New Roman" w:hAnsi="Times New Roman" w:eastAsia="黑体" w:cs="Times New Roman"/>
          <w:color w:val="auto"/>
          <w:sz w:val="32"/>
          <w:szCs w:val="32"/>
          <w:highlight w:val="none"/>
          <w:lang w:val="en-US" w:eastAsia="zh-CN"/>
        </w:rPr>
        <w:t>................3</w:t>
      </w:r>
      <w:r>
        <w:rPr>
          <w:rFonts w:hint="eastAsia" w:ascii="Times New Roman" w:hAnsi="Times New Roman" w:eastAsia="黑体" w:cs="Times New Roman"/>
          <w:color w:val="auto"/>
          <w:sz w:val="32"/>
          <w:szCs w:val="32"/>
          <w:highlight w:val="none"/>
          <w:lang w:val="en-US" w:eastAsia="zh-CN"/>
        </w:rPr>
        <w:t>1</w:t>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十、政府性基金预算财政拨款收入支出决算表</w:t>
      </w:r>
      <w:r>
        <w:rPr>
          <w:rFonts w:hint="default" w:ascii="Times New Roman" w:hAnsi="Times New Roman" w:eastAsia="黑体" w:cs="Times New Roman"/>
          <w:color w:val="auto"/>
          <w:sz w:val="32"/>
          <w:szCs w:val="32"/>
          <w:highlight w:val="none"/>
          <w:lang w:val="en-US" w:eastAsia="zh-CN"/>
        </w:rPr>
        <w:t>............3</w:t>
      </w:r>
      <w:r>
        <w:rPr>
          <w:rFonts w:hint="eastAsia" w:ascii="Times New Roman" w:hAnsi="Times New Roman" w:eastAsia="黑体" w:cs="Times New Roman"/>
          <w:color w:val="auto"/>
          <w:sz w:val="32"/>
          <w:szCs w:val="32"/>
          <w:highlight w:val="none"/>
          <w:lang w:val="en-US" w:eastAsia="zh-CN"/>
        </w:rPr>
        <w:t>1</w:t>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十一、国有资本经营预算财政拨款收入支出决算表</w:t>
      </w:r>
      <w:r>
        <w:rPr>
          <w:rFonts w:hint="default" w:ascii="Times New Roman" w:hAnsi="Times New Roman" w:eastAsia="黑体" w:cs="Times New Roman"/>
          <w:color w:val="auto"/>
          <w:sz w:val="32"/>
          <w:szCs w:val="32"/>
          <w:highlight w:val="none"/>
          <w:lang w:val="en-US" w:eastAsia="zh-CN"/>
        </w:rPr>
        <w:t>....3</w:t>
      </w:r>
      <w:r>
        <w:rPr>
          <w:rFonts w:hint="eastAsia" w:ascii="Times New Roman" w:hAnsi="Times New Roman" w:eastAsia="黑体" w:cs="Times New Roman"/>
          <w:color w:val="auto"/>
          <w:sz w:val="32"/>
          <w:szCs w:val="32"/>
          <w:highlight w:val="none"/>
          <w:lang w:val="en-US" w:eastAsia="zh-CN"/>
        </w:rPr>
        <w:t>1</w:t>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十二、</w:t>
      </w:r>
      <w:r>
        <w:rPr>
          <w:rFonts w:hint="default" w:ascii="Times New Roman" w:hAnsi="Times New Roman" w:eastAsia="仿宋_GB2312" w:cs="Times New Roman"/>
          <w:color w:val="auto"/>
          <w:sz w:val="32"/>
          <w:szCs w:val="32"/>
          <w:highlight w:val="none"/>
          <w:lang w:val="en-US" w:eastAsia="zh-CN"/>
        </w:rPr>
        <w:t>国有资本经营预算财政拨款支出决算表</w:t>
      </w:r>
      <w:r>
        <w:rPr>
          <w:rFonts w:hint="default" w:ascii="Times New Roman" w:hAnsi="Times New Roman" w:eastAsia="黑体" w:cs="Times New Roman"/>
          <w:color w:val="auto"/>
          <w:sz w:val="32"/>
          <w:szCs w:val="32"/>
          <w:highlight w:val="none"/>
          <w:lang w:val="en-US" w:eastAsia="zh-CN"/>
        </w:rPr>
        <w:t>............3</w:t>
      </w:r>
      <w:r>
        <w:rPr>
          <w:rFonts w:hint="eastAsia" w:ascii="Times New Roman" w:hAnsi="Times New Roman" w:eastAsia="黑体" w:cs="Times New Roman"/>
          <w:color w:val="auto"/>
          <w:sz w:val="32"/>
          <w:szCs w:val="32"/>
          <w:highlight w:val="none"/>
          <w:lang w:val="en-US" w:eastAsia="zh-CN"/>
        </w:rPr>
        <w:t>1</w:t>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十三、财政拨款“三公”经费支出决算表</w:t>
      </w:r>
      <w:r>
        <w:rPr>
          <w:rFonts w:hint="default" w:ascii="Times New Roman" w:hAnsi="Times New Roman" w:eastAsia="黑体" w:cs="Times New Roman"/>
          <w:color w:val="auto"/>
          <w:sz w:val="32"/>
          <w:szCs w:val="32"/>
          <w:highlight w:val="none"/>
          <w:lang w:val="en-US" w:eastAsia="zh-CN"/>
        </w:rPr>
        <w:t>.........................3</w:t>
      </w:r>
      <w:r>
        <w:rPr>
          <w:rFonts w:hint="eastAsia" w:ascii="Times New Roman" w:hAnsi="Times New Roman" w:eastAsia="黑体" w:cs="Times New Roman"/>
          <w:color w:val="auto"/>
          <w:sz w:val="32"/>
          <w:szCs w:val="32"/>
          <w:highlight w:val="none"/>
          <w:lang w:val="en-US" w:eastAsia="zh-CN"/>
        </w:rPr>
        <w:t>1</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p>
    <w:p>
      <w:pPr>
        <w:pStyle w:val="3"/>
        <w:pageBreakBefore w:val="0"/>
        <w:numPr>
          <w:ilvl w:val="0"/>
          <w:numId w:val="1"/>
        </w:numPr>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 w:val="0"/>
          <w:bCs/>
          <w:lang w:eastAsia="zh-CN"/>
        </w:rPr>
        <w:sectPr>
          <w:footerReference r:id="rId7" w:type="default"/>
          <w:pgSz w:w="11906" w:h="16838"/>
          <w:pgMar w:top="2041" w:right="1468" w:bottom="1587" w:left="1468" w:header="851" w:footer="992" w:gutter="0"/>
          <w:pgNumType w:fmt="decimal" w:start="1"/>
          <w:cols w:space="0" w:num="1"/>
          <w:rtlGutter w:val="0"/>
          <w:docGrid w:type="lines" w:linePitch="312" w:charSpace="0"/>
        </w:sectPr>
      </w:pPr>
    </w:p>
    <w:p>
      <w:pPr>
        <w:pStyle w:val="3"/>
        <w:jc w:val="center"/>
        <w:rPr>
          <w:rFonts w:ascii="Times New Roman" w:hAnsi="Times New Roman" w:eastAsia="黑体"/>
          <w:color w:val="auto"/>
          <w:sz w:val="32"/>
          <w:szCs w:val="32"/>
          <w:highlight w:val="none"/>
        </w:rPr>
      </w:pPr>
      <w:r>
        <w:rPr>
          <w:rFonts w:hint="default" w:ascii="Times New Roman" w:hAnsi="Times New Roman" w:eastAsia="方正小标宋简体" w:cs="Times New Roman"/>
          <w:b w:val="0"/>
          <w:color w:val="auto"/>
          <w:highlight w:val="none"/>
        </w:rPr>
        <w:t>第一部分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Style w:val="29"/>
          <w:rFonts w:hint="default" w:ascii="Times New Roman" w:hAnsi="Times New Roman" w:eastAsia="方正小标宋简体" w:cs="Times New Roman"/>
          <w:b w:val="0"/>
          <w:bCs w:val="0"/>
          <w:color w:val="auto"/>
          <w:highlight w:val="none"/>
        </w:rPr>
        <w:t>部门概况</w:t>
      </w:r>
      <w:bookmarkEnd w:id="12"/>
      <w:bookmarkEnd w:id="13"/>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黑体" w:cs="Times New Roman"/>
          <w:b w:val="0"/>
          <w:color w:val="auto"/>
          <w:sz w:val="32"/>
          <w:szCs w:val="32"/>
          <w:highlight w:val="none"/>
          <w:lang w:eastAsia="zh-CN"/>
        </w:rPr>
      </w:pPr>
      <w:bookmarkStart w:id="14" w:name="_Toc15396602"/>
      <w:bookmarkStart w:id="15" w:name="_Toc15377204"/>
      <w:r>
        <w:rPr>
          <w:rFonts w:hint="default" w:ascii="Times New Roman" w:hAnsi="Times New Roman" w:eastAsia="黑体" w:cs="Times New Roman"/>
          <w:b w:val="0"/>
          <w:color w:val="auto"/>
          <w:sz w:val="32"/>
          <w:szCs w:val="32"/>
          <w:highlight w:val="none"/>
          <w:lang w:val="en-US" w:eastAsia="zh-CN"/>
        </w:rPr>
        <w:t>一、</w:t>
      </w:r>
      <w:r>
        <w:rPr>
          <w:rFonts w:hint="default" w:ascii="Times New Roman" w:hAnsi="Times New Roman" w:eastAsia="黑体" w:cs="Times New Roman"/>
          <w:b w:val="0"/>
          <w:color w:val="auto"/>
          <w:sz w:val="32"/>
          <w:szCs w:val="32"/>
          <w:highlight w:val="none"/>
          <w:lang w:eastAsia="zh-CN"/>
        </w:rPr>
        <w:t>部门职责</w:t>
      </w:r>
    </w:p>
    <w:p>
      <w:pPr>
        <w:keepNext w:val="0"/>
        <w:keepLines w:val="0"/>
        <w:widowControl w:val="0"/>
        <w:suppressLineNumbers w:val="0"/>
        <w:suppressAutoHyphens/>
        <w:autoSpaceDE w:val="0"/>
        <w:autoSpaceDN/>
        <w:spacing w:before="0" w:beforeAutospacing="0" w:after="0" w:afterAutospacing="0" w:line="600" w:lineRule="exact"/>
        <w:ind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沐川县审计局为县政府工作部门，主要履行如下职能：</w:t>
      </w:r>
    </w:p>
    <w:p>
      <w:pPr>
        <w:keepNext w:val="0"/>
        <w:keepLines w:val="0"/>
        <w:widowControl w:val="0"/>
        <w:suppressLineNumbers w:val="0"/>
        <w:suppressAutoHyphens/>
        <w:autoSpaceDE w:val="0"/>
        <w:autoSpaceDN/>
        <w:spacing w:before="0" w:beforeAutospacing="0" w:after="0" w:afterAutospacing="0" w:line="60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楷体_GB2312" w:cs="Times New Roman"/>
          <w:kern w:val="2"/>
          <w:sz w:val="32"/>
          <w:szCs w:val="32"/>
          <w:lang w:val="en-US" w:eastAsia="zh-CN" w:bidi="ar"/>
        </w:rPr>
        <w:t>（一）主管全县审计工作。</w:t>
      </w:r>
      <w:r>
        <w:rPr>
          <w:rFonts w:hint="default" w:ascii="Times New Roman" w:hAnsi="Times New Roman" w:eastAsia="仿宋_GB2312" w:cs="Times New Roman"/>
          <w:kern w:val="2"/>
          <w:sz w:val="32"/>
          <w:szCs w:val="32"/>
          <w:lang w:val="en-US" w:eastAsia="zh-CN" w:bidi="ar"/>
        </w:rPr>
        <w:t>负责对县级财政收支和法律法规规定属于审计监督范围的财务收支的真实、合法和效益进行审计监督。对公共资金、国有资产、国有资源和领导干部履行经济责任情况实行审计全覆盖，对领导干部实行自然资源资产离任审计。对国家、省、市、县有关重大政策措施贯彻落实情况进行跟踪审计。对审计、专项审计调查和核查社会审计机构相关审计报告的结果承担责任，并负有督促被审计单位整改的责任。</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w:t>
      </w:r>
      <w:r>
        <w:rPr>
          <w:rFonts w:hint="default" w:ascii="Times New Roman" w:hAnsi="Times New Roman" w:eastAsia="楷体_GB2312" w:cs="Times New Roman"/>
          <w:kern w:val="2"/>
          <w:sz w:val="32"/>
          <w:szCs w:val="32"/>
          <w:lang w:val="en-US" w:eastAsia="zh-CN" w:bidi="ar"/>
        </w:rPr>
        <w:t>（二）贯彻执行国家、省、市有关审计工作的方针、政策和法律法规。</w:t>
      </w:r>
      <w:r>
        <w:rPr>
          <w:rFonts w:hint="default" w:ascii="Times New Roman" w:hAnsi="Times New Roman" w:eastAsia="仿宋_GB2312" w:cs="Times New Roman"/>
          <w:kern w:val="2"/>
          <w:sz w:val="32"/>
          <w:szCs w:val="32"/>
          <w:lang w:val="en-US" w:eastAsia="zh-CN" w:bidi="ar"/>
        </w:rPr>
        <w:t>拟</w:t>
      </w:r>
      <w:r>
        <w:rPr>
          <w:rFonts w:hint="default" w:ascii="Times New Roman" w:eastAsia="仿宋_GB2312" w:cs="Times New Roman"/>
          <w:kern w:val="2"/>
          <w:sz w:val="32"/>
          <w:szCs w:val="32"/>
          <w:lang w:val="en-US" w:eastAsia="zh-CN" w:bidi="ar"/>
        </w:rPr>
        <w:t>定</w:t>
      </w:r>
      <w:r>
        <w:rPr>
          <w:rFonts w:hint="default" w:ascii="Times New Roman" w:hAnsi="Times New Roman" w:eastAsia="仿宋_GB2312" w:cs="Times New Roman"/>
          <w:kern w:val="2"/>
          <w:sz w:val="32"/>
          <w:szCs w:val="32"/>
          <w:lang w:val="en-US" w:eastAsia="zh-CN" w:bidi="ar"/>
        </w:rPr>
        <w:t>全县有关审计工作规范性文件。制定并组织实施全县专业领域审计工作规划。参与拟</w:t>
      </w:r>
      <w:r>
        <w:rPr>
          <w:rFonts w:hint="default" w:ascii="Times New Roman" w:eastAsia="仿宋_GB2312" w:cs="Times New Roman"/>
          <w:kern w:val="2"/>
          <w:sz w:val="32"/>
          <w:szCs w:val="32"/>
          <w:lang w:val="en-US" w:eastAsia="zh-CN" w:bidi="ar"/>
        </w:rPr>
        <w:t>定</w:t>
      </w:r>
      <w:r>
        <w:rPr>
          <w:rFonts w:hint="default" w:ascii="Times New Roman" w:hAnsi="Times New Roman" w:eastAsia="仿宋_GB2312" w:cs="Times New Roman"/>
          <w:kern w:val="2"/>
          <w:sz w:val="32"/>
          <w:szCs w:val="32"/>
          <w:lang w:val="en-US" w:eastAsia="zh-CN" w:bidi="ar"/>
        </w:rPr>
        <w:t>财政经济及相关规范性文件。对直接审计、调查和核查的事项依法进行审计评价，作出审计决定或提出审计建议。</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w:t>
      </w:r>
      <w:r>
        <w:rPr>
          <w:rFonts w:hint="default" w:ascii="Times New Roman" w:hAnsi="Times New Roman" w:eastAsia="楷体_GB2312" w:cs="Times New Roman"/>
          <w:kern w:val="2"/>
          <w:sz w:val="32"/>
          <w:szCs w:val="32"/>
          <w:lang w:val="en-US" w:eastAsia="zh-CN" w:bidi="ar"/>
        </w:rPr>
        <w:t xml:space="preserve">  （三）向县委审计委员会</w:t>
      </w:r>
      <w:r>
        <w:rPr>
          <w:rFonts w:hint="default" w:ascii="Times New Roman" w:eastAsia="楷体_GB2312" w:cs="Times New Roman"/>
          <w:kern w:val="2"/>
          <w:sz w:val="32"/>
          <w:szCs w:val="32"/>
          <w:lang w:val="en-US" w:eastAsia="zh-CN" w:bidi="ar"/>
        </w:rPr>
        <w:t>汇报</w:t>
      </w:r>
      <w:r>
        <w:rPr>
          <w:rFonts w:hint="default" w:ascii="Times New Roman" w:hAnsi="Times New Roman" w:eastAsia="楷体_GB2312" w:cs="Times New Roman"/>
          <w:kern w:val="2"/>
          <w:sz w:val="32"/>
          <w:szCs w:val="32"/>
          <w:lang w:val="en-US" w:eastAsia="zh-CN" w:bidi="ar"/>
        </w:rPr>
        <w:t>年度县级预算执行和其他财政支出情况</w:t>
      </w:r>
      <w:r>
        <w:rPr>
          <w:rFonts w:hint="default" w:ascii="Times New Roman" w:eastAsia="楷体_GB2312" w:cs="Times New Roman"/>
          <w:kern w:val="2"/>
          <w:sz w:val="32"/>
          <w:szCs w:val="32"/>
          <w:lang w:val="en-US" w:eastAsia="zh-CN" w:bidi="ar"/>
        </w:rPr>
        <w:t>的</w:t>
      </w:r>
      <w:r>
        <w:rPr>
          <w:rFonts w:hint="default" w:ascii="Times New Roman" w:hAnsi="Times New Roman" w:eastAsia="楷体_GB2312" w:cs="Times New Roman"/>
          <w:kern w:val="2"/>
          <w:sz w:val="32"/>
          <w:szCs w:val="32"/>
          <w:lang w:val="en-US" w:eastAsia="zh-CN" w:bidi="ar"/>
        </w:rPr>
        <w:t>审计报告</w:t>
      </w:r>
      <w:r>
        <w:rPr>
          <w:rFonts w:hint="default" w:ascii="Times New Roman" w:hAnsi="Times New Roman" w:eastAsia="楷体_GB2312" w:cs="Times New Roman"/>
          <w:color w:val="000000" w:themeColor="text1"/>
          <w:kern w:val="2"/>
          <w:sz w:val="32"/>
          <w:szCs w:val="32"/>
          <w:lang w:val="en-US" w:eastAsia="zh-CN" w:bidi="ar"/>
          <w14:textFill>
            <w14:solidFill>
              <w14:schemeClr w14:val="tx1"/>
            </w14:solidFill>
          </w14:textFill>
        </w:rPr>
        <w:t>。</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向县政府和市审计局提出年度县级预算执行和其他财政收支情况的审计结果报告。受</w:t>
      </w:r>
      <w:r>
        <w:rPr>
          <w:rFonts w:hint="default" w:ascii="Times New Roman" w:hAnsi="Times New Roman" w:eastAsia="仿宋_GB2312" w:cs="Times New Roman"/>
          <w:kern w:val="2"/>
          <w:sz w:val="32"/>
          <w:szCs w:val="32"/>
          <w:lang w:val="en-US" w:eastAsia="zh-CN" w:bidi="ar"/>
        </w:rPr>
        <w:t>县政府委托向县人大常委会提出县级预算执行和其他财政收支情况的审计工作报告、审计查出问题整改情况报告。向县委、县政府报告对其他事项的审计和专项审计调查情况及结果。依法向社会公布审计结果。向县委和县政府有关部门、乡（镇）党委和政府通报审计情况和审计结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kern w:val="2"/>
          <w:sz w:val="32"/>
          <w:szCs w:val="32"/>
          <w:lang w:val="en-US" w:eastAsia="zh-CN" w:bidi="ar"/>
        </w:rPr>
        <w:t>（四）直接审计下列事项，出具审计报告，在法定职权范围内作出审计决定，包括:</w:t>
      </w:r>
      <w:r>
        <w:rPr>
          <w:rFonts w:hint="default" w:ascii="Times New Roman" w:hAnsi="Times New Roman" w:eastAsia="楷体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1</w:t>
      </w:r>
      <w:r>
        <w:rPr>
          <w:rFonts w:hint="default" w:ascii="Times New Roman" w:eastAsia="仿宋_GB2312" w:cs="Times New Roman"/>
          <w:kern w:val="2"/>
          <w:sz w:val="32"/>
          <w:szCs w:val="32"/>
          <w:highlight w:val="none"/>
          <w:lang w:val="en-US" w:eastAsia="zh-CN" w:bidi="ar"/>
        </w:rPr>
        <w:t>.</w:t>
      </w:r>
      <w:r>
        <w:rPr>
          <w:rFonts w:hint="default" w:ascii="Times New Roman" w:eastAsia="仿宋_GB2312" w:cs="Times New Roman"/>
          <w:kern w:val="2"/>
          <w:sz w:val="32"/>
          <w:szCs w:val="32"/>
          <w:lang w:val="en-US" w:eastAsia="zh-CN" w:bidi="ar"/>
        </w:rPr>
        <w:t>中央</w:t>
      </w:r>
      <w:r>
        <w:rPr>
          <w:rFonts w:hint="default" w:ascii="Times New Roman" w:hAnsi="Times New Roman" w:eastAsia="仿宋_GB2312" w:cs="Times New Roman"/>
          <w:kern w:val="2"/>
          <w:sz w:val="32"/>
          <w:szCs w:val="32"/>
          <w:lang w:val="en-US" w:eastAsia="zh-CN" w:bidi="ar"/>
        </w:rPr>
        <w:t>、省、市、县有关重大政策措施贯彻落实情况。</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2</w:t>
      </w:r>
      <w:r>
        <w:rPr>
          <w:rFonts w:hint="default" w:ascii="Times New Roman" w:eastAsia="仿宋_GB2312" w:cs="Times New Roman"/>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县级预算执行情况和其他财政收支，县委和县政府各部门（含直属单位）预算执行情况、决算草案和其他财政收支。</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3</w:t>
      </w:r>
      <w:r>
        <w:rPr>
          <w:rFonts w:hint="default" w:ascii="Times New Roman" w:eastAsia="仿宋_GB2312" w:cs="Times New Roman"/>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乡（镇）人民政府预算的执行情况、决算草案和其他财政收支，县级财政转移支付资金。</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4</w:t>
      </w:r>
      <w:r>
        <w:rPr>
          <w:rFonts w:hint="default" w:ascii="Times New Roman" w:eastAsia="仿宋_GB2312" w:cs="Times New Roman"/>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使用县级财政资金的事业单位（含直属单位）和社会团体的财务收支。</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5</w:t>
      </w:r>
      <w:r>
        <w:rPr>
          <w:rFonts w:hint="default" w:ascii="Times New Roman" w:eastAsia="仿宋_GB2312" w:cs="Times New Roman"/>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县级政府投资和以县级政府投资为主的建设项目的预算执行情况和决算，县级重大公共工程项目的资金管理使用和建设运营情况。</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6</w:t>
      </w:r>
      <w:r>
        <w:rPr>
          <w:rFonts w:hint="default" w:ascii="Times New Roman" w:eastAsia="仿宋_GB2312" w:cs="Times New Roman"/>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自然资源管理</w:t>
      </w:r>
      <w:r>
        <w:rPr>
          <w:rFonts w:hint="default" w:ascii="Times New Roman" w:eastAsia="仿宋_GB2312" w:cs="Times New Roman"/>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污染防治和生态保护与修复情况。</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7</w:t>
      </w:r>
      <w:r>
        <w:rPr>
          <w:rFonts w:hint="default" w:ascii="Times New Roman" w:eastAsia="仿宋_GB2312" w:cs="Times New Roman"/>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县属国有企业和地方金融机构、国有资本占控股或主导地位的企业和金融机构境内外资产、负债和损益，县政府部门驻外非经营性机构的财务收支。</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8</w:t>
      </w:r>
      <w:r>
        <w:rPr>
          <w:rFonts w:hint="default" w:ascii="Times New Roman" w:eastAsia="仿宋_GB2312" w:cs="Times New Roman"/>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有关社会保障基金、社会捐赠资金、安全生产和职业健康财政资金以及其他基金、资金的财务收支。</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9</w:t>
      </w:r>
      <w:r>
        <w:rPr>
          <w:rFonts w:hint="default" w:ascii="Times New Roman" w:eastAsia="仿宋_GB2312" w:cs="Times New Roman"/>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国际组织和外国政府援助、贷款项目。</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10</w:t>
      </w:r>
      <w:r>
        <w:rPr>
          <w:rFonts w:hint="default" w:ascii="Times New Roman" w:eastAsia="仿宋_GB2312" w:cs="Times New Roman"/>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法律法规规定的其他事项。</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楷体_GB2312" w:cs="Times New Roman"/>
          <w:kern w:val="2"/>
          <w:sz w:val="32"/>
          <w:szCs w:val="32"/>
          <w:lang w:val="en-US" w:eastAsia="zh-CN" w:bidi="ar"/>
        </w:rPr>
        <w:t xml:space="preserve">     （五）按规定对县管党政主要领导干部及其他单位主要负责人实施经济责任审计和自然资源资产离任审计，对国有企事业单位主要负责人实施经济责任审计，负责国有企业监事会相关工作。</w:t>
      </w:r>
      <w:r>
        <w:rPr>
          <w:rFonts w:hint="default" w:ascii="Times New Roman" w:hAnsi="Times New Roman" w:eastAsia="楷体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w:t>
      </w:r>
      <w:r>
        <w:rPr>
          <w:rFonts w:hint="default" w:ascii="Times New Roman" w:hAnsi="Times New Roman" w:eastAsia="楷体_GB2312" w:cs="Times New Roman"/>
          <w:kern w:val="2"/>
          <w:sz w:val="32"/>
          <w:szCs w:val="32"/>
          <w:lang w:val="en-US" w:eastAsia="zh-CN" w:bidi="ar"/>
        </w:rPr>
        <w:t xml:space="preserve"> （六）组织实施对国家财经法律法规、规章、政策和宏观调控措施执行情况、财政预算管理及国有资产管理使用等与县级财政收支有关的特定事项进行专项审计调查。</w:t>
      </w:r>
      <w:r>
        <w:rPr>
          <w:rFonts w:hint="default" w:ascii="Times New Roman" w:hAnsi="Times New Roman" w:eastAsia="仿宋_GB2312" w:cs="Times New Roman"/>
          <w:kern w:val="2"/>
          <w:sz w:val="32"/>
          <w:szCs w:val="32"/>
          <w:lang w:val="en-US" w:eastAsia="zh-CN" w:bidi="ar"/>
        </w:rPr>
        <w:t>对全县预算执行情况和其他财政收支情况进行监督检查；对全县重大项目进行稽查。</w:t>
      </w:r>
      <w:r>
        <w:rPr>
          <w:rFonts w:hint="default" w:ascii="Times New Roman" w:hAnsi="Times New Roman" w:eastAsia="仿宋_GB2312" w:cs="Times New Roman"/>
          <w:kern w:val="2"/>
          <w:sz w:val="32"/>
          <w:szCs w:val="32"/>
          <w:lang w:val="en-US" w:eastAsia="zh-CN" w:bidi="ar"/>
        </w:rPr>
        <w:br w:type="textWrapping"/>
      </w:r>
      <w:r>
        <w:rPr>
          <w:rFonts w:hint="default" w:ascii="Times New Roman" w:hAnsi="Times New Roman" w:eastAsia="仿宋_GB2312" w:cs="Times New Roman"/>
          <w:kern w:val="2"/>
          <w:sz w:val="32"/>
          <w:szCs w:val="32"/>
          <w:lang w:val="en-US" w:eastAsia="zh-CN" w:bidi="ar"/>
        </w:rPr>
        <w:t xml:space="preserve">  </w:t>
      </w:r>
      <w:r>
        <w:rPr>
          <w:rFonts w:hint="default" w:ascii="Times New Roman" w:hAnsi="Times New Roman" w:eastAsia="楷体_GB2312" w:cs="Times New Roman"/>
          <w:kern w:val="2"/>
          <w:sz w:val="32"/>
          <w:szCs w:val="32"/>
          <w:lang w:val="en-US" w:eastAsia="zh-CN" w:bidi="ar"/>
        </w:rPr>
        <w:t xml:space="preserve">   （七）依法检查审计决定执行情况，督促整改审计查出的问题，依法办理被审计单位对审计决定提请行政复议、行政诉讼或县政府裁决中的有关事项，协助配合有关部门查处相关重大案件。</w:t>
      </w:r>
      <w:r>
        <w:rPr>
          <w:rFonts w:hint="default" w:ascii="Times New Roman" w:hAnsi="Times New Roman" w:eastAsia="楷体_GB2312" w:cs="Times New Roman"/>
          <w:kern w:val="2"/>
          <w:sz w:val="32"/>
          <w:szCs w:val="32"/>
          <w:lang w:val="en-US" w:eastAsia="zh-CN" w:bidi="ar"/>
        </w:rPr>
        <w:br w:type="textWrapping"/>
      </w:r>
      <w:r>
        <w:rPr>
          <w:rFonts w:hint="default" w:ascii="Times New Roman" w:hAnsi="Times New Roman" w:eastAsia="楷体_GB2312" w:cs="Times New Roman"/>
          <w:kern w:val="2"/>
          <w:sz w:val="32"/>
          <w:szCs w:val="32"/>
          <w:lang w:val="en-US" w:eastAsia="zh-CN" w:bidi="ar"/>
        </w:rPr>
        <w:t xml:space="preserve">     （八）指导和监督内部审计工作，核查社会审计机构对审计监督对象出具的相关审计报告。</w:t>
      </w:r>
      <w:r>
        <w:rPr>
          <w:rFonts w:hint="default" w:ascii="Times New Roman" w:hAnsi="Times New Roman" w:eastAsia="楷体_GB2312" w:cs="Times New Roman"/>
          <w:kern w:val="2"/>
          <w:sz w:val="32"/>
          <w:szCs w:val="32"/>
          <w:lang w:val="en-US" w:eastAsia="zh-CN" w:bidi="ar"/>
        </w:rPr>
        <w:br w:type="textWrapping"/>
      </w:r>
      <w:r>
        <w:rPr>
          <w:rFonts w:hint="default" w:ascii="Times New Roman" w:hAnsi="Times New Roman" w:eastAsia="楷体_GB2312" w:cs="Times New Roman"/>
          <w:kern w:val="2"/>
          <w:sz w:val="32"/>
          <w:szCs w:val="32"/>
          <w:lang w:val="en-US" w:eastAsia="zh-CN" w:bidi="ar"/>
        </w:rPr>
        <w:t xml:space="preserve">     （九）指导和组织开展信息技术在审计领域的应用。</w:t>
      </w:r>
      <w:r>
        <w:rPr>
          <w:rFonts w:hint="default" w:ascii="Times New Roman" w:hAnsi="Times New Roman" w:eastAsia="楷体_GB2312" w:cs="Times New Roman"/>
          <w:kern w:val="2"/>
          <w:sz w:val="32"/>
          <w:szCs w:val="32"/>
          <w:lang w:val="en-US" w:eastAsia="zh-CN" w:bidi="ar"/>
        </w:rPr>
        <w:br w:type="textWrapping"/>
      </w:r>
      <w:r>
        <w:rPr>
          <w:rFonts w:hint="default" w:ascii="Times New Roman" w:hAnsi="Times New Roman" w:eastAsia="楷体_GB2312" w:cs="Times New Roman"/>
          <w:kern w:val="2"/>
          <w:sz w:val="32"/>
          <w:szCs w:val="32"/>
          <w:lang w:val="en-US" w:eastAsia="zh-CN" w:bidi="ar"/>
        </w:rPr>
        <w:t xml:space="preserve">     （十）负责职责范围内的安全生产和职业健康、生态环境保护等工作。</w:t>
      </w:r>
      <w:r>
        <w:rPr>
          <w:rFonts w:hint="default" w:ascii="Times New Roman" w:hAnsi="Times New Roman" w:eastAsia="楷体_GB2312" w:cs="Times New Roman"/>
          <w:kern w:val="2"/>
          <w:sz w:val="32"/>
          <w:szCs w:val="32"/>
          <w:lang w:val="en-US" w:eastAsia="zh-CN" w:bidi="ar"/>
        </w:rPr>
        <w:br w:type="textWrapping"/>
      </w:r>
      <w:r>
        <w:rPr>
          <w:rFonts w:hint="default" w:ascii="Times New Roman" w:hAnsi="Times New Roman" w:eastAsia="楷体_GB2312" w:cs="Times New Roman"/>
          <w:kern w:val="2"/>
          <w:sz w:val="32"/>
          <w:szCs w:val="32"/>
          <w:lang w:val="en-US" w:eastAsia="zh-CN" w:bidi="ar"/>
        </w:rPr>
        <w:t xml:space="preserve">    </w:t>
      </w:r>
      <w:r>
        <w:rPr>
          <w:rFonts w:hint="default" w:ascii="Times New Roman" w:hAnsi="Times New Roman" w:eastAsia="楷体_GB2312" w:cs="Times New Roman"/>
          <w:sz w:val="32"/>
          <w:szCs w:val="32"/>
          <w:lang w:val="en-US" w:eastAsia="zh-CN"/>
        </w:rPr>
        <w:t>（十一）完成县委、县政府交办的其他工作。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楷体_GB2312" w:cs="Times New Roman"/>
          <w:sz w:val="32"/>
          <w:szCs w:val="32"/>
          <w:lang w:val="en-US" w:eastAsia="zh-CN"/>
        </w:rPr>
        <w:t>（十二）职能转变。</w:t>
      </w:r>
      <w:r>
        <w:rPr>
          <w:rFonts w:hint="default" w:ascii="Times New Roman" w:hAnsi="Times New Roman" w:eastAsia="仿宋_GB2312" w:cs="Times New Roman"/>
          <w:sz w:val="32"/>
          <w:szCs w:val="32"/>
          <w:lang w:val="en-US" w:eastAsia="zh-CN"/>
        </w:rPr>
        <w:t>进一步完善审计管理体制，加强全县审计工作统筹，明晰职能定位，理顺内部职责关系，优化审计资源配置，充实加强一线审计力量。优化审计工作机制，坚持科技强审，完善业务流程，改进工作方式，加强与有关部</w:t>
      </w:r>
      <w:r>
        <w:rPr>
          <w:rFonts w:hint="default" w:ascii="Times New Roman" w:hAnsi="Times New Roman" w:eastAsia="仿宋_GB2312" w:cs="Times New Roman"/>
          <w:kern w:val="2"/>
          <w:sz w:val="32"/>
          <w:szCs w:val="32"/>
          <w:lang w:val="en-US" w:eastAsia="zh-CN" w:bidi="ar"/>
        </w:rPr>
        <w:t>门的沟通协调，充分调动内部审计和社会审计力量，增强监督合力。</w:t>
      </w:r>
    </w:p>
    <w:p>
      <w:pPr>
        <w:keepNext w:val="0"/>
        <w:keepLines w:val="0"/>
        <w:widowControl w:val="0"/>
        <w:suppressLineNumbers w:val="0"/>
        <w:suppressAutoHyphens/>
        <w:autoSpaceDE w:val="0"/>
        <w:autoSpaceDN/>
        <w:spacing w:before="0" w:beforeAutospacing="0" w:after="0" w:afterAutospacing="0" w:line="600" w:lineRule="exact"/>
        <w:ind w:left="0" w:right="0" w:firstLine="640" w:firstLineChars="200"/>
        <w:jc w:val="both"/>
        <w:rPr>
          <w:rFonts w:hint="default" w:ascii="Times New Roman" w:hAnsi="Times New Roman" w:eastAsia="宋体" w:cs="Times New Roman"/>
          <w:b w:val="0"/>
          <w:sz w:val="32"/>
          <w:szCs w:val="32"/>
        </w:rPr>
      </w:pPr>
      <w:r>
        <w:rPr>
          <w:rFonts w:hint="default" w:ascii="Times New Roman" w:hAnsi="Times New Roman" w:eastAsia="黑体" w:cs="Times New Roman"/>
          <w:b w:val="0"/>
          <w:kern w:val="2"/>
          <w:sz w:val="32"/>
          <w:szCs w:val="32"/>
          <w:lang w:val="en-US" w:eastAsia="zh-CN" w:bidi="ar"/>
        </w:rPr>
        <w:t>二、机</w:t>
      </w:r>
      <w:r>
        <w:rPr>
          <w:rStyle w:val="36"/>
          <w:rFonts w:hint="default" w:ascii="Times New Roman" w:hAnsi="Times New Roman" w:eastAsia="黑体" w:cs="Times New Roman"/>
          <w:b w:val="0"/>
          <w:kern w:val="2"/>
          <w:sz w:val="32"/>
          <w:szCs w:val="32"/>
          <w:lang w:val="en-US" w:eastAsia="zh-CN" w:bidi="ar"/>
        </w:rPr>
        <w:t>构设置</w:t>
      </w:r>
    </w:p>
    <w:p>
      <w:pPr>
        <w:keepNext w:val="0"/>
        <w:keepLines w:val="0"/>
        <w:widowControl/>
        <w:suppressLineNumbers w:val="0"/>
        <w:suppressAutoHyphens/>
        <w:autoSpaceDE w:val="0"/>
        <w:autoSpaceDN/>
        <w:spacing w:before="0" w:beforeAutospacing="0" w:after="0" w:afterAutospacing="0" w:line="600" w:lineRule="exact"/>
        <w:ind w:left="0" w:right="0" w:firstLine="640" w:firstLineChars="200"/>
        <w:jc w:val="left"/>
        <w:rPr>
          <w:rFonts w:hint="default" w:ascii="Times New Roman" w:hAnsi="Times New Roman" w:eastAsia="仿宋_GB2312" w:cs="Times New Roman"/>
          <w:kern w:val="2"/>
          <w:sz w:val="32"/>
          <w:szCs w:val="32"/>
          <w:lang w:val="en-US" w:eastAsia="zh-CN" w:bidi="ar"/>
        </w:rPr>
      </w:pPr>
      <w:r>
        <w:rPr>
          <w:rFonts w:hint="default" w:ascii="Times New Roman" w:hAnsi="Times New Roman" w:eastAsia="仿宋_GB2312" w:cs="Times New Roman"/>
          <w:kern w:val="2"/>
          <w:sz w:val="32"/>
          <w:szCs w:val="32"/>
          <w:lang w:val="en-US" w:eastAsia="zh-CN" w:bidi="ar"/>
        </w:rPr>
        <w:t>沐川县审计局无下属二级预算单位。</w:t>
      </w:r>
    </w:p>
    <w:p>
      <w:pPr>
        <w:pStyle w:val="2"/>
        <w:rPr>
          <w:rFonts w:hint="default" w:ascii="Times New Roman" w:hAnsi="Times New Roman" w:eastAsia="仿宋_GB2312" w:cs="Times New Roman"/>
          <w:kern w:val="2"/>
          <w:sz w:val="32"/>
          <w:szCs w:val="32"/>
          <w:lang w:val="en-US" w:eastAsia="zh-CN" w:bidi="ar"/>
        </w:rPr>
      </w:pPr>
    </w:p>
    <w:p>
      <w:pPr>
        <w:rPr>
          <w:rFonts w:hint="default" w:ascii="Times New Roman" w:hAnsi="Times New Roman" w:eastAsia="仿宋_GB2312" w:cs="Times New Roman"/>
          <w:kern w:val="2"/>
          <w:sz w:val="32"/>
          <w:szCs w:val="32"/>
          <w:lang w:val="en-US" w:eastAsia="zh-CN" w:bidi="ar"/>
        </w:rPr>
      </w:pPr>
    </w:p>
    <w:p>
      <w:pPr>
        <w:pStyle w:val="2"/>
        <w:rPr>
          <w:rFonts w:hint="default" w:ascii="Times New Roman" w:hAnsi="Times New Roman" w:eastAsia="仿宋_GB2312" w:cs="Times New Roman"/>
          <w:kern w:val="2"/>
          <w:sz w:val="32"/>
          <w:szCs w:val="32"/>
          <w:lang w:val="en-US" w:eastAsia="zh-CN" w:bidi="ar"/>
        </w:rPr>
      </w:pPr>
    </w:p>
    <w:p>
      <w:pPr>
        <w:rPr>
          <w:rFonts w:hint="default" w:ascii="Times New Roman" w:hAnsi="Times New Roman" w:eastAsia="仿宋_GB2312" w:cs="Times New Roman"/>
          <w:kern w:val="2"/>
          <w:sz w:val="32"/>
          <w:szCs w:val="32"/>
          <w:lang w:val="en-US" w:eastAsia="zh-CN" w:bidi="ar"/>
        </w:rPr>
      </w:pPr>
    </w:p>
    <w:p>
      <w:pPr>
        <w:pStyle w:val="2"/>
        <w:rPr>
          <w:rFonts w:hint="default" w:ascii="Times New Roman" w:hAnsi="Times New Roman" w:eastAsia="仿宋_GB2312" w:cs="Times New Roman"/>
          <w:kern w:val="2"/>
          <w:sz w:val="32"/>
          <w:szCs w:val="32"/>
          <w:lang w:val="en-US" w:eastAsia="zh-CN" w:bidi="ar"/>
        </w:rPr>
      </w:pPr>
    </w:p>
    <w:p>
      <w:pPr>
        <w:rPr>
          <w:rFonts w:hint="default" w:ascii="Times New Roman" w:hAnsi="Times New Roman" w:eastAsia="仿宋_GB2312" w:cs="Times New Roman"/>
          <w:kern w:val="2"/>
          <w:sz w:val="32"/>
          <w:szCs w:val="32"/>
          <w:lang w:val="en-US" w:eastAsia="zh-CN" w:bidi="ar"/>
        </w:rPr>
      </w:pPr>
    </w:p>
    <w:p>
      <w:pPr>
        <w:pStyle w:val="2"/>
        <w:rPr>
          <w:rFonts w:hint="default" w:ascii="Times New Roman" w:hAnsi="Times New Roman" w:eastAsia="仿宋_GB2312" w:cs="Times New Roman"/>
          <w:kern w:val="2"/>
          <w:sz w:val="32"/>
          <w:szCs w:val="32"/>
          <w:lang w:val="en-US" w:eastAsia="zh-CN" w:bidi="ar"/>
        </w:rPr>
      </w:pPr>
    </w:p>
    <w:p>
      <w:pPr>
        <w:rPr>
          <w:rFonts w:hint="default" w:ascii="Times New Roman" w:hAnsi="Times New Roman" w:eastAsia="仿宋_GB2312" w:cs="Times New Roman"/>
          <w:kern w:val="2"/>
          <w:sz w:val="32"/>
          <w:szCs w:val="32"/>
          <w:lang w:val="en-US" w:eastAsia="zh-CN" w:bidi="ar"/>
        </w:rPr>
      </w:pPr>
    </w:p>
    <w:p>
      <w:pPr>
        <w:pStyle w:val="2"/>
        <w:rPr>
          <w:rFonts w:hint="default" w:ascii="Times New Roman" w:hAnsi="Times New Roman" w:eastAsia="仿宋_GB2312" w:cs="Times New Roman"/>
          <w:kern w:val="2"/>
          <w:sz w:val="32"/>
          <w:szCs w:val="32"/>
          <w:lang w:val="en-US" w:eastAsia="zh-CN" w:bidi="ar"/>
        </w:rPr>
      </w:pPr>
    </w:p>
    <w:p>
      <w:pPr>
        <w:rPr>
          <w:rFonts w:hint="default" w:ascii="Times New Roman" w:hAnsi="Times New Roman" w:eastAsia="仿宋_GB2312" w:cs="Times New Roman"/>
          <w:kern w:val="2"/>
          <w:sz w:val="32"/>
          <w:szCs w:val="32"/>
          <w:lang w:val="en-US" w:eastAsia="zh-CN" w:bidi="ar"/>
        </w:rPr>
      </w:pPr>
    </w:p>
    <w:p>
      <w:pPr>
        <w:pStyle w:val="3"/>
        <w:jc w:val="both"/>
        <w:rPr>
          <w:rFonts w:hint="default" w:ascii="Times New Roman" w:hAnsi="Times New Roman" w:eastAsia="方正小标宋简体" w:cs="Times New Roman"/>
          <w:b w:val="0"/>
          <w:color w:val="auto"/>
          <w:highlight w:val="none"/>
        </w:rPr>
      </w:pPr>
    </w:p>
    <w:p>
      <w:pPr>
        <w:rPr>
          <w:rFonts w:hint="default"/>
        </w:rPr>
      </w:pPr>
    </w:p>
    <w:p>
      <w:pPr>
        <w:pStyle w:val="3"/>
        <w:jc w:val="center"/>
        <w:rPr>
          <w:rFonts w:hint="default" w:ascii="Times New Roman" w:hAnsi="Times New Roman" w:eastAsia="方正小标宋简体" w:cs="Times New Roman"/>
          <w:b w:val="0"/>
          <w:color w:val="auto"/>
          <w:highlight w:val="none"/>
        </w:rPr>
      </w:pPr>
      <w:r>
        <w:rPr>
          <w:rFonts w:hint="default" w:ascii="Times New Roman" w:hAnsi="Times New Roman" w:eastAsia="方正小标宋简体" w:cs="Times New Roman"/>
          <w:b w:val="0"/>
          <w:color w:val="auto"/>
          <w:highlight w:val="none"/>
        </w:rPr>
        <w:t>第二部分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default" w:eastAsia="方正小标宋简体" w:cs="Times New Roman"/>
          <w:b w:val="0"/>
          <w:color w:val="auto"/>
          <w:highlight w:val="none"/>
          <w:lang w:val="en-US" w:eastAsia="zh-CN"/>
        </w:rPr>
        <w:t>2025年度</w:t>
      </w:r>
      <w:r>
        <w:rPr>
          <w:rFonts w:hint="default" w:ascii="Times New Roman" w:hAnsi="Times New Roman" w:eastAsia="方正小标宋简体" w:cs="Times New Roman"/>
          <w:b w:val="0"/>
          <w:color w:val="auto"/>
          <w:highlight w:val="none"/>
        </w:rPr>
        <w:t>部门决算情况说明</w:t>
      </w:r>
      <w:bookmarkEnd w:id="14"/>
      <w:bookmarkEnd w:id="15"/>
    </w:p>
    <w:p>
      <w:pPr>
        <w:rPr>
          <w:rFonts w:ascii="Times New Roman" w:hAnsi="Times New Roman"/>
          <w:color w:val="auto"/>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Style w:val="30"/>
          <w:rFonts w:hint="default" w:ascii="Times New Roman" w:hAnsi="Times New Roman" w:eastAsia="黑体" w:cs="Times New Roman"/>
          <w:b w:val="0"/>
          <w:color w:val="auto"/>
          <w:kern w:val="2"/>
          <w:sz w:val="21"/>
          <w:szCs w:val="24"/>
          <w:highlight w:val="none"/>
          <w:lang w:val="en-US" w:eastAsia="zh-CN" w:bidi="ar-SA"/>
        </w:rPr>
      </w:pPr>
      <w:bookmarkStart w:id="16" w:name="_Toc15396603"/>
      <w:bookmarkStart w:id="17" w:name="_Toc15377205"/>
      <w:r>
        <w:rPr>
          <w:rFonts w:hint="default" w:ascii="Times New Roman" w:hAnsi="Times New Roman" w:eastAsia="黑体" w:cs="Times New Roman"/>
          <w:color w:val="auto"/>
          <w:kern w:val="2"/>
          <w:sz w:val="32"/>
          <w:szCs w:val="32"/>
          <w:highlight w:val="none"/>
          <w:lang w:val="en-US" w:eastAsia="zh-CN" w:bidi="ar-SA"/>
        </w:rPr>
        <w:t>一、收</w:t>
      </w:r>
      <w:r>
        <w:rPr>
          <w:rStyle w:val="30"/>
          <w:rFonts w:hint="default" w:ascii="Times New Roman" w:hAnsi="Times New Roman" w:eastAsia="黑体" w:cs="Times New Roman"/>
          <w:b w:val="0"/>
          <w:color w:val="auto"/>
          <w:highlight w:val="none"/>
          <w:lang w:val="en-US" w:eastAsia="zh-CN" w:bidi="ar-SA"/>
        </w:rPr>
        <w:t>入支出决算总体情况说明</w:t>
      </w:r>
      <w:bookmarkEnd w:id="16"/>
      <w:bookmarkEnd w:id="17"/>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ascii="Times New Roman" w:hAnsi="Times New Roman" w:eastAsia="宋体" w:cs="Times New Roman"/>
          <w:kern w:val="2"/>
          <w:sz w:val="21"/>
          <w:szCs w:val="24"/>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2025年度收入、支出总计均为</w:t>
      </w:r>
      <w:r>
        <w:rPr>
          <w:rFonts w:hint="default" w:ascii="Times New Roman" w:hAnsi="Times New Roman" w:eastAsia="仿宋_GB2312" w:cs="Times New Roman"/>
          <w:kern w:val="2"/>
          <w:sz w:val="32"/>
          <w:szCs w:val="32"/>
          <w:lang w:val="en-US" w:eastAsia="zh-CN" w:bidi="ar-SA"/>
        </w:rPr>
        <w:t>340.01</w:t>
      </w:r>
      <w:r>
        <w:rPr>
          <w:rFonts w:hint="default" w:ascii="Times New Roman" w:hAnsi="Times New Roman" w:eastAsia="仿宋_GB2312" w:cs="Times New Roman"/>
          <w:color w:val="auto"/>
          <w:kern w:val="2"/>
          <w:sz w:val="32"/>
          <w:szCs w:val="32"/>
          <w:highlight w:val="none"/>
          <w:lang w:val="en-US" w:eastAsia="zh-CN" w:bidi="ar-SA"/>
        </w:rPr>
        <w:t>万元。与上年度相比，收入、支出总计各减少231.41万元，下降40.5%。主要变动原因是</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上年集中支付以前年度审计项目中介费，导致上年该项支出基数较高；2025年度审计项目中介费大幅减少，支出相应下降。</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jc w:val="both"/>
        <w:textAlignment w:val="auto"/>
        <w:outlineLvl w:val="1"/>
        <w:rPr>
          <w:rFonts w:ascii="Times New Roman" w:hAnsi="Times New Roman" w:eastAsia="宋体" w:cs="Times New Roman"/>
          <w:kern w:val="2"/>
          <w:sz w:val="21"/>
          <w:szCs w:val="24"/>
          <w:lang w:val="en-US" w:eastAsia="zh-CN" w:bidi="ar-SA"/>
        </w:rPr>
      </w:pPr>
      <w:r>
        <w:rPr>
          <w:rFonts w:ascii="Times New Roman" w:hAnsi="Times New Roman" w:eastAsia="宋体" w:cs="Times New Roman"/>
          <w:kern w:val="2"/>
          <w:sz w:val="21"/>
          <w:szCs w:val="24"/>
          <w:lang w:val="en-US" w:eastAsia="zh-CN" w:bidi="ar-SA"/>
        </w:rPr>
        <w:drawing>
          <wp:anchor distT="0" distB="0" distL="114300" distR="114300" simplePos="0" relativeHeight="251659264" behindDoc="1" locked="0" layoutInCell="1" allowOverlap="1">
            <wp:simplePos x="0" y="0"/>
            <wp:positionH relativeFrom="column">
              <wp:posOffset>271145</wp:posOffset>
            </wp:positionH>
            <wp:positionV relativeFrom="paragraph">
              <wp:posOffset>52705</wp:posOffset>
            </wp:positionV>
            <wp:extent cx="4810125" cy="1904365"/>
            <wp:effectExtent l="4445" t="4445" r="16510" b="11430"/>
            <wp:wrapNone/>
            <wp:docPr id="929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jc w:val="both"/>
        <w:textAlignment w:val="auto"/>
        <w:outlineLvl w:val="1"/>
        <w:rPr>
          <w:rFonts w:ascii="Times New Roman" w:hAnsi="Times New Roman" w:eastAsia="宋体" w:cs="Times New Roman"/>
          <w:kern w:val="2"/>
          <w:sz w:val="21"/>
          <w:szCs w:val="24"/>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jc w:val="both"/>
        <w:textAlignment w:val="auto"/>
        <w:outlineLvl w:val="1"/>
        <w:rPr>
          <w:rFonts w:ascii="Times New Roman" w:hAnsi="Times New Roman" w:eastAsia="宋体" w:cs="Times New Roman"/>
          <w:kern w:val="2"/>
          <w:sz w:val="21"/>
          <w:szCs w:val="24"/>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jc w:val="both"/>
        <w:textAlignment w:val="auto"/>
        <w:outlineLvl w:val="1"/>
        <w:rPr>
          <w:rFonts w:ascii="Times New Roman" w:hAnsi="Times New Roman" w:eastAsia="宋体" w:cs="Times New Roman"/>
          <w:kern w:val="2"/>
          <w:sz w:val="21"/>
          <w:szCs w:val="24"/>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outlineLvl w:val="1"/>
        <w:rPr>
          <w:rFonts w:hint="default" w:ascii="Times New Roman" w:hAnsi="Times New Roman" w:eastAsia="宋体" w:cs="Times New Roman"/>
          <w:kern w:val="2"/>
          <w:sz w:val="21"/>
          <w:szCs w:val="24"/>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（图1：收入、支出决算总计变动情况图）（柱状图）</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黑体" w:cs="Times New Roman"/>
          <w:color w:val="auto"/>
          <w:kern w:val="2"/>
          <w:sz w:val="32"/>
          <w:szCs w:val="32"/>
          <w:highlight w:val="none"/>
          <w:lang w:val="en-US" w:eastAsia="zh-CN" w:bidi="ar-SA"/>
        </w:rPr>
      </w:pPr>
      <w:bookmarkStart w:id="18" w:name="_Toc15396604"/>
      <w:bookmarkStart w:id="19" w:name="_Toc15377206"/>
      <w:r>
        <w:rPr>
          <w:rFonts w:hint="default" w:ascii="Times New Roman" w:hAnsi="Times New Roman" w:eastAsia="黑体" w:cs="Times New Roman"/>
          <w:color w:val="auto"/>
          <w:kern w:val="2"/>
          <w:sz w:val="32"/>
          <w:szCs w:val="32"/>
          <w:highlight w:val="none"/>
          <w:lang w:val="en-US" w:eastAsia="zh-CN" w:bidi="ar-SA"/>
        </w:rPr>
        <w:t>二、收入决算情况说明</w:t>
      </w:r>
      <w:bookmarkEnd w:id="18"/>
      <w:bookmarkEnd w:id="19"/>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2025年度本年收入合计</w:t>
      </w:r>
      <w:r>
        <w:rPr>
          <w:rFonts w:hint="default" w:ascii="Times New Roman" w:hAnsi="Times New Roman" w:eastAsia="仿宋_GB2312" w:cs="Times New Roman"/>
          <w:kern w:val="2"/>
          <w:sz w:val="32"/>
          <w:szCs w:val="32"/>
          <w:lang w:val="en-US" w:eastAsia="zh-CN" w:bidi="ar-SA"/>
        </w:rPr>
        <w:t>340.01</w:t>
      </w:r>
      <w:r>
        <w:rPr>
          <w:rFonts w:hint="default" w:ascii="Times New Roman" w:hAnsi="Times New Roman" w:eastAsia="仿宋_GB2312" w:cs="Times New Roman"/>
          <w:color w:val="auto"/>
          <w:kern w:val="2"/>
          <w:sz w:val="32"/>
          <w:szCs w:val="32"/>
          <w:highlight w:val="none"/>
          <w:lang w:val="en-US" w:eastAsia="zh-CN" w:bidi="ar-SA"/>
        </w:rPr>
        <w:t>万元，其中：一般公共预算财政拨款收入</w:t>
      </w:r>
      <w:r>
        <w:rPr>
          <w:rFonts w:hint="default" w:ascii="Times New Roman" w:hAnsi="Times New Roman" w:eastAsia="仿宋_GB2312" w:cs="Times New Roman"/>
          <w:kern w:val="2"/>
          <w:sz w:val="32"/>
          <w:szCs w:val="32"/>
          <w:lang w:val="en-US" w:eastAsia="zh-CN" w:bidi="ar-SA"/>
        </w:rPr>
        <w:t>334.14</w:t>
      </w:r>
      <w:r>
        <w:rPr>
          <w:rFonts w:hint="default" w:ascii="Times New Roman" w:hAnsi="Times New Roman" w:eastAsia="仿宋_GB2312" w:cs="Times New Roman"/>
          <w:color w:val="auto"/>
          <w:kern w:val="2"/>
          <w:sz w:val="32"/>
          <w:szCs w:val="32"/>
          <w:highlight w:val="none"/>
          <w:lang w:val="en-US" w:eastAsia="zh-CN" w:bidi="ar-SA"/>
        </w:rPr>
        <w:t>万元，占</w:t>
      </w:r>
      <w:r>
        <w:rPr>
          <w:rFonts w:hint="default" w:ascii="Times New Roman" w:hAnsi="Times New Roman" w:eastAsia="仿宋_GB2312" w:cs="Times New Roman"/>
          <w:kern w:val="2"/>
          <w:sz w:val="32"/>
          <w:szCs w:val="32"/>
          <w:lang w:val="en-US" w:eastAsia="zh-CN" w:bidi="ar-SA"/>
        </w:rPr>
        <w:t>98.3</w:t>
      </w:r>
      <w:r>
        <w:rPr>
          <w:rFonts w:hint="default" w:ascii="Times New Roman" w:hAnsi="Times New Roman" w:eastAsia="仿宋_GB2312" w:cs="Times New Roman"/>
          <w:color w:val="auto"/>
          <w:kern w:val="2"/>
          <w:sz w:val="32"/>
          <w:szCs w:val="32"/>
          <w:highlight w:val="none"/>
          <w:lang w:val="en-US" w:eastAsia="zh-CN" w:bidi="ar-SA"/>
        </w:rPr>
        <w:t>%；其他收入</w:t>
      </w:r>
      <w:r>
        <w:rPr>
          <w:rFonts w:hint="default" w:ascii="Times New Roman" w:hAnsi="Times New Roman" w:eastAsia="仿宋_GB2312" w:cs="Times New Roman"/>
          <w:kern w:val="2"/>
          <w:sz w:val="32"/>
          <w:szCs w:val="32"/>
          <w:lang w:val="en-US" w:eastAsia="zh-CN" w:bidi="ar-SA"/>
        </w:rPr>
        <w:t>5.87</w:t>
      </w:r>
      <w:r>
        <w:rPr>
          <w:rFonts w:hint="default" w:ascii="Times New Roman" w:hAnsi="Times New Roman" w:eastAsia="仿宋_GB2312" w:cs="Times New Roman"/>
          <w:color w:val="auto"/>
          <w:kern w:val="2"/>
          <w:sz w:val="32"/>
          <w:szCs w:val="32"/>
          <w:highlight w:val="none"/>
          <w:lang w:val="en-US" w:eastAsia="zh-CN" w:bidi="ar-SA"/>
        </w:rPr>
        <w:t>万元，占</w:t>
      </w:r>
      <w:r>
        <w:rPr>
          <w:rFonts w:hint="default" w:ascii="Times New Roman" w:hAnsi="Times New Roman" w:eastAsia="仿宋_GB2312" w:cs="Times New Roman"/>
          <w:kern w:val="2"/>
          <w:sz w:val="32"/>
          <w:szCs w:val="32"/>
          <w:lang w:val="en-US" w:eastAsia="zh-CN" w:bidi="ar-SA"/>
        </w:rPr>
        <w:t>1.7</w:t>
      </w:r>
      <w:r>
        <w:rPr>
          <w:rFonts w:hint="default" w:ascii="Times New Roman" w:hAnsi="Times New Roman" w:eastAsia="仿宋_GB2312" w:cs="Times New Roman"/>
          <w:color w:val="auto"/>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jc w:val="both"/>
        <w:textAlignment w:val="auto"/>
        <w:outlineLvl w:val="1"/>
        <w:rPr>
          <w:rFonts w:hint="default" w:ascii="Times New Roman" w:hAnsi="Times New Roman" w:eastAsia="仿宋_GB2312" w:cs="Times New Roman"/>
          <w:color w:val="auto"/>
          <w:kern w:val="2"/>
          <w:sz w:val="32"/>
          <w:szCs w:val="32"/>
          <w:highlight w:val="none"/>
          <w:lang w:val="en-US" w:eastAsia="zh-CN" w:bidi="ar-SA"/>
        </w:rPr>
      </w:pPr>
      <w:r>
        <w:rPr>
          <w:rFonts w:ascii="Times New Roman" w:hAnsi="Times New Roman" w:eastAsia="宋体" w:cs="Times New Roman"/>
          <w:kern w:val="2"/>
          <w:sz w:val="21"/>
          <w:szCs w:val="24"/>
          <w:lang w:val="en-US" w:eastAsia="zh-CN" w:bidi="ar-SA"/>
        </w:rPr>
        <w:drawing>
          <wp:anchor distT="0" distB="0" distL="114300" distR="114300" simplePos="0" relativeHeight="251660288" behindDoc="1" locked="0" layoutInCell="1" allowOverlap="1">
            <wp:simplePos x="0" y="0"/>
            <wp:positionH relativeFrom="column">
              <wp:posOffset>266700</wp:posOffset>
            </wp:positionH>
            <wp:positionV relativeFrom="paragraph">
              <wp:posOffset>119380</wp:posOffset>
            </wp:positionV>
            <wp:extent cx="4772025" cy="1852295"/>
            <wp:effectExtent l="4445" t="4445" r="8890" b="17780"/>
            <wp:wrapNone/>
            <wp:docPr id="2971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仿宋_GB2312" w:cs="Times New Roman"/>
          <w:color w:val="auto"/>
          <w:kern w:val="2"/>
          <w:sz w:val="32"/>
          <w:szCs w:val="32"/>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仿宋_GB2312" w:cs="Times New Roman"/>
          <w:color w:val="auto"/>
          <w:kern w:val="2"/>
          <w:sz w:val="32"/>
          <w:szCs w:val="32"/>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仿宋_GB2312" w:cs="Times New Roman"/>
          <w:color w:val="auto"/>
          <w:kern w:val="2"/>
          <w:sz w:val="32"/>
          <w:szCs w:val="32"/>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（图2：收入决算结构图）（饼状图）</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Style w:val="30"/>
          <w:rFonts w:hint="default" w:ascii="Times New Roman" w:hAnsi="Times New Roman" w:eastAsia="黑体" w:cs="Times New Roman"/>
          <w:b w:val="0"/>
          <w:color w:val="auto"/>
          <w:kern w:val="2"/>
          <w:sz w:val="21"/>
          <w:szCs w:val="24"/>
          <w:highlight w:val="none"/>
          <w:lang w:val="en-US" w:eastAsia="zh-CN" w:bidi="ar-SA"/>
        </w:rPr>
      </w:pPr>
      <w:bookmarkStart w:id="20" w:name="_Toc15377207"/>
      <w:bookmarkStart w:id="21" w:name="_Toc15396605"/>
      <w:r>
        <w:rPr>
          <w:rFonts w:hint="default" w:ascii="Times New Roman" w:hAnsi="Times New Roman" w:eastAsia="黑体" w:cs="Times New Roman"/>
          <w:color w:val="auto"/>
          <w:kern w:val="2"/>
          <w:sz w:val="32"/>
          <w:szCs w:val="32"/>
          <w:highlight w:val="none"/>
          <w:lang w:val="en-US" w:eastAsia="zh-CN" w:bidi="ar-SA"/>
        </w:rPr>
        <w:t>三、支</w:t>
      </w:r>
      <w:r>
        <w:rPr>
          <w:rStyle w:val="30"/>
          <w:rFonts w:hint="default" w:ascii="Times New Roman" w:hAnsi="Times New Roman" w:eastAsia="黑体" w:cs="Times New Roman"/>
          <w:b w:val="0"/>
          <w:color w:val="auto"/>
          <w:highlight w:val="none"/>
          <w:lang w:val="en-US" w:eastAsia="zh-CN" w:bidi="ar-SA"/>
        </w:rPr>
        <w:t>出决算情况说明</w:t>
      </w:r>
      <w:bookmarkEnd w:id="20"/>
      <w:bookmarkEnd w:id="21"/>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2025年度本年支出合计</w:t>
      </w:r>
      <w:r>
        <w:rPr>
          <w:rFonts w:hint="default" w:ascii="Times New Roman" w:hAnsi="Times New Roman" w:eastAsia="仿宋_GB2312" w:cs="Times New Roman"/>
          <w:kern w:val="2"/>
          <w:sz w:val="32"/>
          <w:szCs w:val="32"/>
          <w:lang w:val="en-US" w:eastAsia="zh-CN" w:bidi="ar-SA"/>
        </w:rPr>
        <w:t>334.44</w:t>
      </w:r>
      <w:r>
        <w:rPr>
          <w:rFonts w:hint="default" w:ascii="Times New Roman" w:hAnsi="Times New Roman" w:eastAsia="仿宋_GB2312" w:cs="Times New Roman"/>
          <w:color w:val="auto"/>
          <w:kern w:val="2"/>
          <w:sz w:val="32"/>
          <w:szCs w:val="32"/>
          <w:highlight w:val="none"/>
          <w:lang w:val="en-US" w:eastAsia="zh-CN" w:bidi="ar-SA"/>
        </w:rPr>
        <w:t>万元，其中：基本支出</w:t>
      </w:r>
      <w:r>
        <w:rPr>
          <w:rFonts w:hint="default" w:ascii="Times New Roman" w:hAnsi="Times New Roman" w:eastAsia="仿宋_GB2312" w:cs="Times New Roman"/>
          <w:kern w:val="2"/>
          <w:sz w:val="32"/>
          <w:szCs w:val="32"/>
          <w:lang w:val="en-US" w:eastAsia="zh-CN" w:bidi="ar-SA"/>
        </w:rPr>
        <w:t>330.9</w:t>
      </w:r>
      <w:r>
        <w:rPr>
          <w:rFonts w:hint="default" w:ascii="Times New Roman" w:hAnsi="Times New Roman" w:eastAsia="仿宋_GB2312" w:cs="Times New Roman"/>
          <w:color w:val="auto"/>
          <w:kern w:val="2"/>
          <w:sz w:val="32"/>
          <w:szCs w:val="32"/>
          <w:highlight w:val="none"/>
          <w:lang w:val="en-US" w:eastAsia="zh-CN" w:bidi="ar-SA"/>
        </w:rPr>
        <w:t>万元，占</w:t>
      </w:r>
      <w:r>
        <w:rPr>
          <w:rFonts w:hint="default" w:ascii="Times New Roman" w:hAnsi="Times New Roman" w:eastAsia="仿宋_GB2312" w:cs="Times New Roman"/>
          <w:kern w:val="2"/>
          <w:sz w:val="32"/>
          <w:szCs w:val="32"/>
          <w:lang w:val="en-US" w:eastAsia="zh-CN" w:bidi="ar-SA"/>
        </w:rPr>
        <w:t>98.9</w:t>
      </w:r>
      <w:r>
        <w:rPr>
          <w:rFonts w:hint="default" w:ascii="Times New Roman" w:hAnsi="Times New Roman" w:eastAsia="仿宋_GB2312" w:cs="Times New Roman"/>
          <w:color w:val="auto"/>
          <w:kern w:val="2"/>
          <w:sz w:val="32"/>
          <w:szCs w:val="32"/>
          <w:highlight w:val="none"/>
          <w:lang w:val="en-US" w:eastAsia="zh-CN" w:bidi="ar-SA"/>
        </w:rPr>
        <w:t>%；项目支出</w:t>
      </w:r>
      <w:r>
        <w:rPr>
          <w:rFonts w:hint="default" w:ascii="Times New Roman" w:hAnsi="Times New Roman" w:eastAsia="仿宋_GB2312" w:cs="Times New Roman"/>
          <w:kern w:val="2"/>
          <w:sz w:val="32"/>
          <w:szCs w:val="32"/>
          <w:lang w:val="en-US" w:eastAsia="zh-CN" w:bidi="ar-SA"/>
        </w:rPr>
        <w:t>3.55</w:t>
      </w:r>
      <w:r>
        <w:rPr>
          <w:rFonts w:hint="default" w:ascii="Times New Roman" w:hAnsi="Times New Roman" w:eastAsia="仿宋_GB2312" w:cs="Times New Roman"/>
          <w:color w:val="auto"/>
          <w:kern w:val="2"/>
          <w:sz w:val="32"/>
          <w:szCs w:val="32"/>
          <w:highlight w:val="none"/>
          <w:lang w:val="en-US" w:eastAsia="zh-CN" w:bidi="ar-SA"/>
        </w:rPr>
        <w:t>万元，占</w:t>
      </w:r>
      <w:r>
        <w:rPr>
          <w:rFonts w:hint="default" w:ascii="Times New Roman" w:hAnsi="Times New Roman" w:eastAsia="仿宋_GB2312" w:cs="Times New Roman"/>
          <w:kern w:val="2"/>
          <w:sz w:val="32"/>
          <w:szCs w:val="32"/>
          <w:lang w:val="en-US" w:eastAsia="zh-CN" w:bidi="ar-SA"/>
        </w:rPr>
        <w:t>1.1</w:t>
      </w:r>
      <w:r>
        <w:rPr>
          <w:rFonts w:hint="default" w:ascii="Times New Roman" w:hAnsi="Times New Roman" w:eastAsia="仿宋_GB2312" w:cs="Times New Roman"/>
          <w:color w:val="auto"/>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jc w:val="both"/>
        <w:textAlignment w:val="auto"/>
        <w:outlineLvl w:val="1"/>
        <w:rPr>
          <w:rFonts w:hint="default" w:ascii="Times New Roman" w:hAnsi="Times New Roman" w:eastAsia="仿宋_GB2312" w:cs="Times New Roman"/>
          <w:color w:val="auto"/>
          <w:kern w:val="2"/>
          <w:sz w:val="32"/>
          <w:szCs w:val="32"/>
          <w:highlight w:val="none"/>
          <w:lang w:val="en-US" w:eastAsia="zh-CN" w:bidi="ar-SA"/>
        </w:rPr>
      </w:pPr>
      <w:r>
        <w:rPr>
          <w:rFonts w:ascii="Times New Roman" w:hAnsi="Times New Roman" w:eastAsia="宋体" w:cs="Times New Roman"/>
          <w:kern w:val="2"/>
          <w:sz w:val="21"/>
          <w:szCs w:val="24"/>
          <w:lang w:val="en-US" w:eastAsia="zh-CN" w:bidi="ar-SA"/>
        </w:rPr>
        <w:drawing>
          <wp:anchor distT="0" distB="0" distL="114300" distR="114300" simplePos="0" relativeHeight="251661312" behindDoc="1" locked="0" layoutInCell="1" allowOverlap="1">
            <wp:simplePos x="0" y="0"/>
            <wp:positionH relativeFrom="column">
              <wp:posOffset>236220</wp:posOffset>
            </wp:positionH>
            <wp:positionV relativeFrom="paragraph">
              <wp:posOffset>68580</wp:posOffset>
            </wp:positionV>
            <wp:extent cx="4857750" cy="2166620"/>
            <wp:effectExtent l="4445" t="4445" r="14605" b="19685"/>
            <wp:wrapNone/>
            <wp:docPr id="3176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仿宋_GB2312" w:cs="Times New Roman"/>
          <w:color w:val="auto"/>
          <w:kern w:val="2"/>
          <w:sz w:val="32"/>
          <w:szCs w:val="32"/>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仿宋_GB2312" w:cs="Times New Roman"/>
          <w:color w:val="auto"/>
          <w:kern w:val="2"/>
          <w:sz w:val="32"/>
          <w:szCs w:val="32"/>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仿宋_GB2312" w:cs="Times New Roman"/>
          <w:color w:val="auto"/>
          <w:kern w:val="2"/>
          <w:sz w:val="32"/>
          <w:szCs w:val="32"/>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仿宋_GB2312" w:cs="Times New Roman"/>
          <w:color w:val="auto"/>
          <w:kern w:val="2"/>
          <w:sz w:val="32"/>
          <w:szCs w:val="32"/>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仿宋_GB2312" w:cs="Times New Roman"/>
          <w:color w:val="auto"/>
          <w:kern w:val="2"/>
          <w:sz w:val="32"/>
          <w:szCs w:val="32"/>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（图3：支出决算结构图）（饼状图）</w:t>
      </w:r>
    </w:p>
    <w:p>
      <w:pPr>
        <w:spacing w:line="600" w:lineRule="exact"/>
        <w:ind w:firstLine="640" w:firstLineChars="200"/>
        <w:outlineLvl w:val="1"/>
        <w:rPr>
          <w:rStyle w:val="30"/>
          <w:rFonts w:ascii="Times New Roman" w:hAnsi="Times New Roman" w:eastAsia="黑体" w:cs="Times New Roman"/>
          <w:b w:val="0"/>
          <w:color w:val="auto"/>
          <w:highlight w:val="none"/>
        </w:rPr>
      </w:pPr>
      <w:bookmarkStart w:id="22" w:name="_Toc15377208"/>
      <w:bookmarkStart w:id="23" w:name="_Toc15396606"/>
      <w:r>
        <w:rPr>
          <w:rFonts w:hint="default" w:ascii="Times New Roman" w:hAnsi="Times New Roman" w:eastAsia="黑体" w:cs="Times New Roman"/>
          <w:color w:val="auto"/>
          <w:sz w:val="32"/>
          <w:szCs w:val="32"/>
          <w:highlight w:val="none"/>
        </w:rPr>
        <w:t>四、财</w:t>
      </w:r>
      <w:r>
        <w:rPr>
          <w:rStyle w:val="30"/>
          <w:rFonts w:hint="default" w:ascii="Times New Roman" w:hAnsi="Times New Roman" w:eastAsia="黑体" w:cs="Times New Roman"/>
          <w:b w:val="0"/>
          <w:color w:val="auto"/>
          <w:highlight w:val="none"/>
        </w:rPr>
        <w:t>政拨款收入支出决算总体情况说明</w:t>
      </w:r>
      <w:bookmarkEnd w:id="22"/>
      <w:bookmarkEnd w:id="23"/>
    </w:p>
    <w:p>
      <w:pPr>
        <w:spacing w:line="600" w:lineRule="exact"/>
        <w:ind w:firstLine="640"/>
        <w:rPr>
          <w:rFonts w:hint="default" w:ascii="Times New Roman" w:hAnsi="Times New Roman" w:eastAsia="仿宋_GB2312" w:cs="Times New Roman"/>
          <w:color w:val="FF0000"/>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2025年度财政拨款收入、支出总计均为</w:t>
      </w:r>
      <w:r>
        <w:rPr>
          <w:rFonts w:hint="default" w:ascii="Times New Roman" w:hAnsi="Times New Roman" w:eastAsia="仿宋_GB2312" w:cs="Times New Roman"/>
          <w:sz w:val="32"/>
          <w:szCs w:val="32"/>
        </w:rPr>
        <w:t>334.14</w:t>
      </w:r>
      <w:r>
        <w:rPr>
          <w:rFonts w:hint="default" w:ascii="Times New Roman" w:hAnsi="Times New Roman" w:eastAsia="仿宋_GB2312" w:cs="Times New Roman"/>
          <w:color w:val="auto"/>
          <w:kern w:val="2"/>
          <w:sz w:val="32"/>
          <w:szCs w:val="32"/>
          <w:highlight w:val="none"/>
          <w:lang w:val="en-US" w:eastAsia="zh-CN" w:bidi="ar-SA"/>
        </w:rPr>
        <w:t>万元。与上年度相比，财政拨款收入、支出总计各减少237.28万元，下降41.5%。主要变动原因是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上年集中支付以前年度审计项目中介费，导致上年该项支出基数较高；2025年度审计项目中介费大幅减少，支出相应下降。</w:t>
      </w:r>
    </w:p>
    <w:p>
      <w:pPr>
        <w:keepNext/>
        <w:keepLines/>
        <w:widowControl w:val="0"/>
        <w:spacing w:before="280" w:after="156" w:line="377" w:lineRule="auto"/>
        <w:jc w:val="left"/>
        <w:outlineLvl w:val="4"/>
        <w:rPr>
          <w:rFonts w:ascii="Times New Roman" w:hAnsi="Times New Roman" w:eastAsia="黑体" w:cs="Times New Roman"/>
          <w:b/>
          <w:kern w:val="2"/>
          <w:sz w:val="24"/>
          <w:szCs w:val="28"/>
          <w:lang w:val="en-US" w:eastAsia="zh-CN" w:bidi="ar-SA"/>
        </w:rPr>
      </w:pPr>
      <w:r>
        <w:rPr>
          <w:rFonts w:hint="default" w:ascii="Times New Roman" w:hAnsi="Times New Roman" w:eastAsia="黑体" w:cs="Times New Roman"/>
          <w:b/>
          <w:kern w:val="2"/>
          <w:sz w:val="24"/>
          <w:szCs w:val="28"/>
          <w:lang w:val="en-US" w:eastAsia="zh-CN" w:bidi="ar-SA"/>
        </w:rPr>
        <w:t xml:space="preserve">    </w:t>
      </w:r>
      <w:r>
        <w:rPr>
          <w:rFonts w:ascii="Times New Roman" w:hAnsi="Times New Roman" w:eastAsia="黑体" w:cs="Times New Roman"/>
          <w:b/>
          <w:kern w:val="2"/>
          <w:sz w:val="24"/>
          <w:szCs w:val="28"/>
          <w:lang w:val="en-US" w:eastAsia="zh-CN" w:bidi="ar-SA"/>
        </w:rPr>
        <w:drawing>
          <wp:inline distT="0" distB="0" distL="114300" distR="114300">
            <wp:extent cx="4812030" cy="1743075"/>
            <wp:effectExtent l="4445" t="4445" r="22225" b="5080"/>
            <wp:docPr id="32791"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rPr>
          <w:rFonts w:hint="default" w:ascii="Times New Roman" w:hAnsi="Times New Roman" w:cs="Times New Roman"/>
          <w:lang w:val="en-US" w:eastAsia="zh-CN"/>
        </w:rPr>
      </w:pPr>
    </w:p>
    <w:p>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（图4：财政拨款收、支决算总计变动情况）（柱状图）</w:t>
      </w:r>
    </w:p>
    <w:p>
      <w:pPr>
        <w:spacing w:line="600" w:lineRule="exact"/>
        <w:ind w:firstLine="640" w:firstLineChars="200"/>
        <w:outlineLvl w:val="1"/>
        <w:rPr>
          <w:rStyle w:val="30"/>
          <w:rFonts w:ascii="Times New Roman" w:hAnsi="Times New Roman" w:eastAsia="黑体" w:cs="Times New Roman"/>
          <w:b w:val="0"/>
          <w:color w:val="auto"/>
          <w:highlight w:val="none"/>
        </w:rPr>
      </w:pPr>
      <w:bookmarkStart w:id="24" w:name="_Toc15377209"/>
      <w:bookmarkStart w:id="25" w:name="_Toc15396607"/>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30"/>
          <w:rFonts w:hint="default" w:ascii="Times New Roman" w:hAnsi="Times New Roman" w:eastAsia="黑体" w:cs="Times New Roman"/>
          <w:b w:val="0"/>
          <w:color w:val="auto"/>
          <w:highlight w:val="none"/>
        </w:rPr>
        <w:t>般公共预算财政拨款支出决算情况说明</w:t>
      </w:r>
      <w:bookmarkEnd w:id="24"/>
      <w:bookmarkEnd w:id="25"/>
    </w:p>
    <w:p>
      <w:pPr>
        <w:spacing w:line="600" w:lineRule="exact"/>
        <w:ind w:firstLine="640" w:firstLineChars="200"/>
        <w:outlineLvl w:val="2"/>
        <w:rPr>
          <w:rFonts w:hint="default" w:ascii="Times New Roman" w:hAnsi="Times New Roman" w:eastAsia="楷体_GB2312" w:cs="Times New Roman"/>
          <w:b w:val="0"/>
          <w:bCs/>
          <w:color w:val="auto"/>
          <w:sz w:val="32"/>
          <w:szCs w:val="32"/>
          <w:highlight w:val="none"/>
        </w:rPr>
      </w:pPr>
      <w:bookmarkStart w:id="26" w:name="_Toc15377210"/>
      <w:r>
        <w:rPr>
          <w:rFonts w:hint="default" w:ascii="Times New Roman" w:hAnsi="Times New Roman" w:eastAsia="楷体_GB2312" w:cs="Times New Roman"/>
          <w:b w:val="0"/>
          <w:bCs/>
          <w:color w:val="auto"/>
          <w:sz w:val="32"/>
          <w:szCs w:val="32"/>
          <w:highlight w:val="none"/>
        </w:rPr>
        <w:t>（一）一般公共预算财政拨款支出决算总体情况</w:t>
      </w:r>
      <w:bookmarkEnd w:id="26"/>
    </w:p>
    <w:p>
      <w:pPr>
        <w:spacing w:line="600" w:lineRule="exact"/>
        <w:ind w:firstLine="640"/>
        <w:rPr>
          <w:rFonts w:hint="default" w:ascii="Times New Roman" w:hAnsi="Times New Roman" w:eastAsia="仿宋_GB2312" w:cs="Times New Roman"/>
          <w:color w:val="FF0000"/>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334.14</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99.91</w:t>
      </w:r>
      <w:r>
        <w:rPr>
          <w:rFonts w:hint="default" w:ascii="Times New Roman" w:hAnsi="Times New Roman" w:eastAsia="仿宋_GB2312" w:cs="Times New Roman"/>
          <w:color w:val="auto"/>
          <w:kern w:val="2"/>
          <w:sz w:val="32"/>
          <w:szCs w:val="32"/>
          <w:highlight w:val="none"/>
          <w:lang w:val="en-US" w:eastAsia="zh-CN" w:bidi="ar-SA"/>
        </w:rPr>
        <w:t>%。与上年度相比，一般公共预算财政拨款支出减少191.65万元，下降36.4%。主要变动原因是</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项目资金支出减少。</w:t>
      </w:r>
    </w:p>
    <w:p>
      <w:pPr>
        <w:keepNext/>
        <w:keepLines/>
        <w:widowControl w:val="0"/>
        <w:spacing w:before="280" w:after="156" w:line="377" w:lineRule="auto"/>
        <w:jc w:val="left"/>
        <w:outlineLvl w:val="4"/>
        <w:rPr>
          <w:rFonts w:hint="default" w:ascii="Times New Roman" w:hAnsi="Times New Roman" w:eastAsia="黑体" w:cs="Times New Roman"/>
          <w:b/>
          <w:kern w:val="2"/>
          <w:sz w:val="24"/>
          <w:szCs w:val="28"/>
          <w:lang w:val="en-US" w:eastAsia="zh-CN" w:bidi="ar-SA"/>
        </w:rPr>
      </w:pPr>
      <w:r>
        <w:rPr>
          <w:rFonts w:hint="default" w:ascii="Times New Roman" w:hAnsi="Times New Roman" w:eastAsia="黑体" w:cs="Times New Roman"/>
          <w:b/>
          <w:kern w:val="2"/>
          <w:sz w:val="24"/>
          <w:szCs w:val="28"/>
          <w:lang w:val="en-US" w:eastAsia="zh-CN" w:bidi="ar-SA"/>
        </w:rPr>
        <w:t xml:space="preserve">   </w:t>
      </w:r>
      <w:r>
        <w:rPr>
          <w:rFonts w:ascii="Times New Roman" w:hAnsi="Times New Roman" w:eastAsia="黑体" w:cs="Times New Roman"/>
          <w:b/>
          <w:kern w:val="2"/>
          <w:sz w:val="24"/>
          <w:szCs w:val="28"/>
          <w:lang w:val="en-US" w:eastAsia="zh-CN" w:bidi="ar-SA"/>
        </w:rPr>
        <w:drawing>
          <wp:inline distT="0" distB="0" distL="114300" distR="114300">
            <wp:extent cx="4791075" cy="2400300"/>
            <wp:effectExtent l="4445" t="4445" r="5080" b="14605"/>
            <wp:docPr id="3381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（图5：一般公共预算财政拨款支出决算变动情况）（柱状图）</w:t>
      </w:r>
    </w:p>
    <w:p>
      <w:pPr>
        <w:spacing w:line="600" w:lineRule="exact"/>
        <w:ind w:firstLine="640" w:firstLineChars="200"/>
        <w:outlineLvl w:val="2"/>
        <w:rPr>
          <w:rFonts w:hint="default" w:ascii="Times New Roman" w:hAnsi="Times New Roman" w:eastAsia="楷体_GB2312" w:cs="Times New Roman"/>
          <w:b w:val="0"/>
          <w:bCs/>
          <w:color w:val="auto"/>
          <w:sz w:val="32"/>
          <w:szCs w:val="32"/>
          <w:highlight w:val="none"/>
        </w:rPr>
      </w:pPr>
      <w:bookmarkStart w:id="27" w:name="_Toc15377211"/>
      <w:r>
        <w:rPr>
          <w:rFonts w:hint="default" w:ascii="Times New Roman" w:hAnsi="Times New Roman" w:eastAsia="楷体_GB2312" w:cs="Times New Roman"/>
          <w:b w:val="0"/>
          <w:bCs/>
          <w:color w:val="auto"/>
          <w:sz w:val="32"/>
          <w:szCs w:val="32"/>
          <w:highlight w:val="none"/>
        </w:rPr>
        <w:t>（二）一般公共预算财政拨款支出决算结构情况</w:t>
      </w:r>
      <w:bookmarkEnd w:id="27"/>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334.14</w:t>
      </w:r>
      <w:r>
        <w:rPr>
          <w:rFonts w:hint="default" w:ascii="Times New Roman" w:hAnsi="Times New Roman" w:eastAsia="仿宋_GB2312" w:cs="Times New Roman"/>
          <w:color w:val="auto"/>
          <w:kern w:val="2"/>
          <w:sz w:val="32"/>
          <w:szCs w:val="32"/>
          <w:highlight w:val="none"/>
          <w:lang w:val="en-US" w:eastAsia="zh-CN" w:bidi="ar-SA"/>
        </w:rPr>
        <w:t>万元，主要用于以下方面：一般公共服务支出243.17万元，占72.8%；社会保障和就业支出56.55万元，占16.9%；卫生健康支出11.7万元，占3.5%；住房保障支出22.73万元，占6.8%。</w:t>
      </w:r>
    </w:p>
    <w:p>
      <w:pPr>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r>
        <w:rPr>
          <w:rFonts w:ascii="Times New Roman" w:hAnsi="Times New Roman" w:cs="Times New Roman"/>
        </w:rPr>
        <w:drawing>
          <wp:inline distT="0" distB="0" distL="114300" distR="114300">
            <wp:extent cx="5055235" cy="2176780"/>
            <wp:effectExtent l="4445" t="4445" r="7620" b="9525"/>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（图6：一般公共预算财政拨款支出决算结构）（饼状图）</w:t>
      </w:r>
    </w:p>
    <w:p>
      <w:pPr>
        <w:spacing w:line="600" w:lineRule="exact"/>
        <w:ind w:firstLine="640" w:firstLineChars="200"/>
        <w:outlineLvl w:val="2"/>
        <w:rPr>
          <w:rFonts w:hint="default" w:ascii="Times New Roman" w:hAnsi="Times New Roman" w:eastAsia="楷体_GB2312" w:cs="Times New Roman"/>
          <w:b w:val="0"/>
          <w:bCs/>
          <w:color w:val="auto"/>
          <w:sz w:val="32"/>
          <w:szCs w:val="32"/>
          <w:highlight w:val="none"/>
        </w:rPr>
      </w:pPr>
      <w:bookmarkStart w:id="28" w:name="_Toc15377212"/>
      <w:r>
        <w:rPr>
          <w:rFonts w:hint="default" w:ascii="Times New Roman" w:hAnsi="Times New Roman" w:eastAsia="楷体_GB2312" w:cs="Times New Roman"/>
          <w:b w:val="0"/>
          <w:bCs/>
          <w:color w:val="auto"/>
          <w:sz w:val="32"/>
          <w:szCs w:val="32"/>
          <w:highlight w:val="none"/>
        </w:rPr>
        <w:t>（三）一般公共预算财政拨款支出决算具体情况</w:t>
      </w:r>
      <w:bookmarkEnd w:id="28"/>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bookmarkStart w:id="29" w:name="_Toc15378460"/>
      <w:bookmarkStart w:id="30" w:name="_Toc15377444"/>
      <w:bookmarkStart w:id="31" w:name="_Toc15377213"/>
      <w:r>
        <w:rPr>
          <w:rFonts w:hint="default" w:ascii="Times New Roman" w:hAnsi="Times New Roman" w:eastAsia="仿宋_GB2312" w:cs="Times New Roman"/>
          <w:color w:val="auto"/>
          <w:kern w:val="2"/>
          <w:sz w:val="32"/>
          <w:szCs w:val="32"/>
          <w:highlight w:val="none"/>
          <w:lang w:val="en-US" w:eastAsia="zh-CN" w:bidi="ar-SA"/>
        </w:rPr>
        <w:t>2025年度一般公共预算支出决算数为</w:t>
      </w:r>
      <w:r>
        <w:rPr>
          <w:rFonts w:hint="default" w:ascii="Times New Roman" w:hAnsi="Times New Roman" w:eastAsia="仿宋_GB2312" w:cs="Times New Roman"/>
          <w:sz w:val="32"/>
          <w:szCs w:val="32"/>
        </w:rPr>
        <w:t>334.14</w:t>
      </w:r>
      <w:r>
        <w:rPr>
          <w:rFonts w:hint="default" w:ascii="Times New Roman" w:hAnsi="Times New Roman" w:eastAsia="仿宋_GB2312" w:cs="Times New Roman"/>
          <w:sz w:val="32"/>
          <w:szCs w:val="32"/>
          <w:lang w:val="en-US" w:eastAsia="zh-CN"/>
        </w:rPr>
        <w:t>万元</w:t>
      </w:r>
      <w:r>
        <w:rPr>
          <w:rFonts w:hint="default" w:ascii="Times New Roman" w:hAnsi="Times New Roman" w:eastAsia="仿宋_GB2312" w:cs="Times New Roman"/>
          <w:color w:val="auto"/>
          <w:kern w:val="2"/>
          <w:sz w:val="32"/>
          <w:szCs w:val="32"/>
          <w:highlight w:val="none"/>
          <w:lang w:val="en-US" w:eastAsia="zh-CN" w:bidi="ar-SA"/>
        </w:rPr>
        <w:t>，完成预算100%。其中：</w:t>
      </w:r>
      <w:bookmarkEnd w:id="29"/>
      <w:bookmarkEnd w:id="30"/>
      <w:bookmarkEnd w:id="31"/>
    </w:p>
    <w:p>
      <w:pPr>
        <w:numPr>
          <w:ilvl w:val="0"/>
          <w:numId w:val="0"/>
        </w:num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w:t>
      </w:r>
      <w:r>
        <w:rPr>
          <w:rFonts w:hint="default" w:eastAsia="仿宋_GB2312" w:cs="Times New Roman"/>
          <w:sz w:val="32"/>
          <w:szCs w:val="32"/>
          <w:lang w:val="en-US" w:eastAsia="zh-CN"/>
        </w:rPr>
        <w:t>.</w:t>
      </w:r>
      <w:r>
        <w:rPr>
          <w:rFonts w:hint="default" w:ascii="Times New Roman" w:hAnsi="Times New Roman" w:eastAsia="仿宋_GB2312" w:cs="Times New Roman"/>
          <w:sz w:val="32"/>
          <w:szCs w:val="32"/>
        </w:rPr>
        <w:t>一般公共服务（类）审计事务（款）行政运行（项）: 支出决算为</w:t>
      </w:r>
      <w:r>
        <w:rPr>
          <w:rFonts w:hint="default" w:ascii="Times New Roman" w:hAnsi="Times New Roman" w:eastAsia="仿宋_GB2312" w:cs="Times New Roman"/>
          <w:sz w:val="32"/>
          <w:szCs w:val="32"/>
          <w:lang w:val="en-US" w:eastAsia="zh-CN"/>
        </w:rPr>
        <w:t>149.43</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numPr>
          <w:ilvl w:val="0"/>
          <w:numId w:val="0"/>
        </w:num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w:t>
      </w:r>
      <w:r>
        <w:rPr>
          <w:rFonts w:hint="default" w:eastAsia="仿宋_GB2312" w:cs="Times New Roman"/>
          <w:sz w:val="32"/>
          <w:szCs w:val="32"/>
          <w:lang w:val="en-US" w:eastAsia="zh-CN"/>
        </w:rPr>
        <w:t>.</w:t>
      </w:r>
      <w:r>
        <w:rPr>
          <w:rFonts w:hint="default" w:ascii="Times New Roman" w:hAnsi="Times New Roman" w:eastAsia="仿宋_GB2312" w:cs="Times New Roman"/>
          <w:sz w:val="32"/>
          <w:szCs w:val="32"/>
        </w:rPr>
        <w:t>一般公共服务（类）审计事务（款）一般行政管理事务（项）: 支出决算为</w:t>
      </w:r>
      <w:r>
        <w:rPr>
          <w:rFonts w:hint="default" w:ascii="Times New Roman" w:hAnsi="Times New Roman" w:eastAsia="仿宋_GB2312" w:cs="Times New Roman"/>
          <w:sz w:val="32"/>
          <w:szCs w:val="32"/>
          <w:lang w:val="en-US" w:eastAsia="zh-CN"/>
        </w:rPr>
        <w:t>3.55</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numPr>
          <w:ilvl w:val="0"/>
          <w:numId w:val="0"/>
        </w:num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w:t>
      </w:r>
      <w:r>
        <w:rPr>
          <w:rFonts w:hint="default" w:eastAsia="仿宋_GB2312" w:cs="Times New Roman"/>
          <w:sz w:val="32"/>
          <w:szCs w:val="32"/>
          <w:lang w:eastAsia="zh-CN"/>
        </w:rPr>
        <w:t>.</w:t>
      </w:r>
      <w:r>
        <w:rPr>
          <w:rFonts w:hint="default" w:ascii="Times New Roman" w:hAnsi="Times New Roman" w:eastAsia="仿宋_GB2312" w:cs="Times New Roman"/>
          <w:sz w:val="32"/>
          <w:szCs w:val="32"/>
        </w:rPr>
        <w:t>一般公共服务（类）审计事务（款）事业运行（项）: 支出决算为9</w:t>
      </w:r>
      <w:r>
        <w:rPr>
          <w:rFonts w:hint="default" w:ascii="Times New Roman" w:hAnsi="Times New Roman" w:eastAsia="仿宋_GB2312" w:cs="Times New Roman"/>
          <w:sz w:val="32"/>
          <w:szCs w:val="32"/>
          <w:lang w:val="en-US" w:eastAsia="zh-CN"/>
        </w:rPr>
        <w:t>0.19</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 xml:space="preserve">   </w:t>
      </w:r>
    </w:p>
    <w:p>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4</w:t>
      </w:r>
      <w:r>
        <w:rPr>
          <w:rFonts w:hint="default" w:eastAsia="仿宋_GB2312" w:cs="Times New Roman"/>
          <w:sz w:val="32"/>
          <w:szCs w:val="32"/>
          <w:lang w:eastAsia="zh-CN"/>
        </w:rPr>
        <w:t>.</w:t>
      </w:r>
      <w:r>
        <w:rPr>
          <w:rFonts w:hint="default" w:ascii="Times New Roman" w:hAnsi="Times New Roman" w:eastAsia="仿宋_GB2312" w:cs="Times New Roman"/>
          <w:sz w:val="32"/>
          <w:szCs w:val="32"/>
        </w:rPr>
        <w:t>社会保障和就业（类）行政事业单位养老支出（款）机关事业单位基本养老保险缴费支出（项）: 支出决算为</w:t>
      </w:r>
      <w:r>
        <w:rPr>
          <w:rFonts w:hint="default" w:ascii="Times New Roman" w:hAnsi="Times New Roman" w:eastAsia="仿宋_GB2312" w:cs="Times New Roman"/>
          <w:sz w:val="32"/>
          <w:szCs w:val="32"/>
          <w:lang w:val="en-US" w:eastAsia="zh-CN"/>
        </w:rPr>
        <w:t>27.05</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5</w:t>
      </w:r>
      <w:r>
        <w:rPr>
          <w:rFonts w:hint="default" w:eastAsia="仿宋_GB2312" w:cs="Times New Roman"/>
          <w:sz w:val="32"/>
          <w:szCs w:val="32"/>
          <w:lang w:eastAsia="zh-CN"/>
        </w:rPr>
        <w:t>.</w:t>
      </w:r>
      <w:r>
        <w:rPr>
          <w:rFonts w:hint="default" w:ascii="Times New Roman" w:hAnsi="Times New Roman" w:eastAsia="仿宋_GB2312" w:cs="Times New Roman"/>
          <w:sz w:val="32"/>
          <w:szCs w:val="32"/>
        </w:rPr>
        <w:t>社会保障和就业（类）行政事业单位养老支出（款）机关事业单位职业年金缴费支出（项）: 支出决算为</w:t>
      </w:r>
      <w:r>
        <w:rPr>
          <w:rFonts w:hint="default" w:ascii="Times New Roman" w:hAnsi="Times New Roman" w:eastAsia="仿宋_GB2312" w:cs="Times New Roman"/>
          <w:sz w:val="32"/>
          <w:szCs w:val="32"/>
          <w:lang w:val="en-US" w:eastAsia="zh-CN"/>
        </w:rPr>
        <w:t>5.52</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6</w:t>
      </w:r>
      <w:r>
        <w:rPr>
          <w:rFonts w:hint="default" w:eastAsia="仿宋_GB2312" w:cs="Times New Roman"/>
          <w:sz w:val="32"/>
          <w:szCs w:val="32"/>
          <w:lang w:eastAsia="zh-CN"/>
        </w:rPr>
        <w:t>.</w:t>
      </w:r>
      <w:r>
        <w:rPr>
          <w:rFonts w:hint="default" w:ascii="Times New Roman" w:hAnsi="Times New Roman" w:eastAsia="仿宋_GB2312" w:cs="Times New Roman"/>
          <w:sz w:val="32"/>
          <w:szCs w:val="32"/>
        </w:rPr>
        <w:t>社会保障和就业（类）抚恤（款）死亡抚恤（项）: 支出决算为</w:t>
      </w:r>
      <w:r>
        <w:rPr>
          <w:rFonts w:hint="default" w:ascii="Times New Roman" w:hAnsi="Times New Roman" w:eastAsia="仿宋_GB2312" w:cs="Times New Roman"/>
          <w:sz w:val="32"/>
          <w:szCs w:val="32"/>
          <w:lang w:val="en-US" w:eastAsia="zh-CN"/>
        </w:rPr>
        <w:t>23.2</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7</w:t>
      </w:r>
      <w:r>
        <w:rPr>
          <w:rFonts w:hint="default" w:eastAsia="仿宋_GB2312" w:cs="Times New Roman"/>
          <w:sz w:val="32"/>
          <w:szCs w:val="32"/>
          <w:lang w:eastAsia="zh-CN"/>
        </w:rPr>
        <w:t>.</w:t>
      </w:r>
      <w:r>
        <w:rPr>
          <w:rFonts w:hint="default" w:ascii="Times New Roman" w:hAnsi="Times New Roman" w:eastAsia="仿宋_GB2312" w:cs="Times New Roman"/>
          <w:sz w:val="32"/>
          <w:szCs w:val="32"/>
        </w:rPr>
        <w:t>社会保障和就业（类）其他社会保障和就业支出（款）其他社会保障和就业支出（项）: 支出决算为</w:t>
      </w:r>
      <w:r>
        <w:rPr>
          <w:rFonts w:hint="default" w:ascii="Times New Roman" w:hAnsi="Times New Roman" w:eastAsia="仿宋_GB2312" w:cs="Times New Roman"/>
          <w:sz w:val="32"/>
          <w:szCs w:val="32"/>
          <w:lang w:val="en-US" w:eastAsia="zh-CN"/>
        </w:rPr>
        <w:t>0.77</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8</w:t>
      </w:r>
      <w:r>
        <w:rPr>
          <w:rFonts w:hint="default" w:eastAsia="仿宋_GB2312" w:cs="Times New Roman"/>
          <w:sz w:val="32"/>
          <w:szCs w:val="32"/>
          <w:lang w:eastAsia="zh-CN"/>
        </w:rPr>
        <w:t>.</w:t>
      </w:r>
      <w:r>
        <w:rPr>
          <w:rFonts w:hint="default" w:ascii="Times New Roman" w:hAnsi="Times New Roman" w:eastAsia="仿宋_GB2312" w:cs="Times New Roman"/>
          <w:sz w:val="32"/>
          <w:szCs w:val="32"/>
        </w:rPr>
        <w:t>卫生健康（类）行政事业单位医疗（款）行政单位医疗（项）:支出决算为</w:t>
      </w:r>
      <w:r>
        <w:rPr>
          <w:rFonts w:hint="default" w:ascii="Times New Roman" w:hAnsi="Times New Roman" w:eastAsia="仿宋_GB2312" w:cs="Times New Roman"/>
          <w:sz w:val="32"/>
          <w:szCs w:val="32"/>
          <w:lang w:val="en-US" w:eastAsia="zh-CN"/>
        </w:rPr>
        <w:t>6.6</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eastAsia="仿宋_GB2312" w:cs="Times New Roman"/>
          <w:sz w:val="32"/>
          <w:szCs w:val="32"/>
          <w:lang w:val="en-US" w:eastAsia="zh-CN"/>
        </w:rPr>
        <w:t>。</w:t>
      </w:r>
    </w:p>
    <w:p>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9</w:t>
      </w:r>
      <w:r>
        <w:rPr>
          <w:rFonts w:hint="default" w:eastAsia="仿宋_GB2312" w:cs="Times New Roman"/>
          <w:sz w:val="32"/>
          <w:szCs w:val="32"/>
          <w:lang w:eastAsia="zh-CN"/>
        </w:rPr>
        <w:t>.</w:t>
      </w:r>
      <w:r>
        <w:rPr>
          <w:rFonts w:hint="default" w:ascii="Times New Roman" w:hAnsi="Times New Roman" w:eastAsia="仿宋_GB2312" w:cs="Times New Roman"/>
          <w:sz w:val="32"/>
          <w:szCs w:val="32"/>
        </w:rPr>
        <w:t>卫生健康（类）行政事业单位医疗（款）事业单位医疗（项）:支出决算为</w:t>
      </w:r>
      <w:r>
        <w:rPr>
          <w:rFonts w:hint="default" w:ascii="Times New Roman" w:hAnsi="Times New Roman" w:eastAsia="仿宋_GB2312" w:cs="Times New Roman"/>
          <w:sz w:val="32"/>
          <w:szCs w:val="32"/>
          <w:lang w:val="en-US" w:eastAsia="zh-CN"/>
        </w:rPr>
        <w:t>3.72</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10</w:t>
      </w:r>
      <w:r>
        <w:rPr>
          <w:rFonts w:hint="default" w:eastAsia="仿宋_GB2312" w:cs="Times New Roman"/>
          <w:sz w:val="32"/>
          <w:szCs w:val="32"/>
          <w:lang w:eastAsia="zh-CN"/>
        </w:rPr>
        <w:t>.</w:t>
      </w:r>
      <w:r>
        <w:rPr>
          <w:rFonts w:hint="default" w:ascii="Times New Roman" w:hAnsi="Times New Roman" w:eastAsia="仿宋_GB2312" w:cs="Times New Roman"/>
          <w:sz w:val="32"/>
          <w:szCs w:val="32"/>
        </w:rPr>
        <w:t>卫生健康（类）行政事业单位医疗（款）公务员医疗补助（项）:支出决算为</w:t>
      </w:r>
      <w:r>
        <w:rPr>
          <w:rFonts w:hint="default" w:ascii="Times New Roman" w:hAnsi="Times New Roman" w:eastAsia="仿宋_GB2312" w:cs="Times New Roman"/>
          <w:sz w:val="32"/>
          <w:szCs w:val="32"/>
          <w:lang w:val="en-US" w:eastAsia="zh-CN"/>
        </w:rPr>
        <w:t>1.39</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sz w:val="32"/>
          <w:szCs w:val="32"/>
          <w:lang w:val="en-US" w:eastAsia="zh-CN"/>
        </w:rPr>
        <w:t>11</w:t>
      </w:r>
      <w:r>
        <w:rPr>
          <w:rFonts w:hint="default" w:eastAsia="仿宋_GB2312" w:cs="Times New Roman"/>
          <w:sz w:val="32"/>
          <w:szCs w:val="32"/>
          <w:lang w:eastAsia="zh-CN"/>
        </w:rPr>
        <w:t>.</w:t>
      </w:r>
      <w:r>
        <w:rPr>
          <w:rFonts w:hint="default" w:ascii="Times New Roman" w:hAnsi="Times New Roman" w:eastAsia="仿宋_GB2312" w:cs="Times New Roman"/>
          <w:sz w:val="32"/>
          <w:szCs w:val="32"/>
        </w:rPr>
        <w:t>住房保障支出（类）住房改革支出（款）住房公积金（项）:支出决算为</w:t>
      </w:r>
      <w:r>
        <w:rPr>
          <w:rFonts w:hint="default" w:ascii="Times New Roman" w:hAnsi="Times New Roman" w:eastAsia="仿宋_GB2312" w:cs="Times New Roman"/>
          <w:sz w:val="32"/>
          <w:szCs w:val="32"/>
          <w:lang w:val="en-US" w:eastAsia="zh-CN"/>
        </w:rPr>
        <w:t>22.73</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tabs>
          <w:tab w:val="right" w:pos="8306"/>
        </w:tabs>
        <w:spacing w:line="600" w:lineRule="exact"/>
        <w:ind w:firstLine="640"/>
        <w:outlineLvl w:val="1"/>
        <w:rPr>
          <w:rStyle w:val="30"/>
          <w:rFonts w:ascii="Times New Roman" w:hAnsi="Times New Roman" w:cs="Times New Roman"/>
          <w:color w:val="auto"/>
          <w:highlight w:val="none"/>
        </w:rPr>
      </w:pPr>
      <w:bookmarkStart w:id="32" w:name="_Toc15396608"/>
      <w:bookmarkStart w:id="33" w:name="_Toc15377214"/>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30"/>
          <w:rFonts w:hint="default" w:ascii="Times New Roman" w:hAnsi="Times New Roman" w:eastAsia="黑体" w:cs="Times New Roman"/>
          <w:b w:val="0"/>
          <w:color w:val="auto"/>
          <w:highlight w:val="none"/>
        </w:rPr>
        <w:t>般公共预算财政拨款基本支出决算情况说明</w:t>
      </w:r>
      <w:bookmarkEnd w:id="32"/>
      <w:bookmarkEnd w:id="33"/>
      <w:r>
        <w:rPr>
          <w:rStyle w:val="30"/>
          <w:rFonts w:ascii="Times New Roman" w:hAnsi="Times New Roman" w:eastAsia="黑体" w:cs="Times New Roman"/>
          <w:b w:val="0"/>
          <w:color w:val="auto"/>
          <w:highlight w:val="none"/>
        </w:rPr>
        <w:tab/>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2025年度一般公共预算财政拨款基本支出</w:t>
      </w:r>
      <w:r>
        <w:rPr>
          <w:rFonts w:hint="default" w:ascii="Times New Roman" w:hAnsi="Times New Roman" w:eastAsia="仿宋_GB2312" w:cs="Times New Roman"/>
          <w:sz w:val="32"/>
          <w:szCs w:val="32"/>
        </w:rPr>
        <w:t>330.6</w:t>
      </w:r>
      <w:r>
        <w:rPr>
          <w:rFonts w:hint="default" w:ascii="Times New Roman" w:hAnsi="Times New Roman" w:eastAsia="仿宋_GB2312" w:cs="Times New Roman"/>
          <w:color w:val="auto"/>
          <w:kern w:val="2"/>
          <w:sz w:val="32"/>
          <w:szCs w:val="32"/>
          <w:highlight w:val="none"/>
          <w:lang w:val="en-US" w:eastAsia="zh-CN" w:bidi="ar-SA"/>
        </w:rPr>
        <w:t>万元，其中：</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人员经费</w:t>
      </w:r>
      <w:r>
        <w:rPr>
          <w:rFonts w:hint="default" w:ascii="Times New Roman" w:hAnsi="Times New Roman" w:eastAsia="仿宋_GB2312" w:cs="Times New Roman"/>
          <w:sz w:val="32"/>
          <w:szCs w:val="32"/>
        </w:rPr>
        <w:t>295.62</w:t>
      </w:r>
      <w:r>
        <w:rPr>
          <w:rFonts w:hint="default" w:ascii="Times New Roman" w:hAnsi="Times New Roman" w:eastAsia="仿宋_GB2312" w:cs="Times New Roman"/>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抚恤金、住房公积金、其他对个人和家庭的补助支出。</w:t>
      </w:r>
      <w:r>
        <w:rPr>
          <w:rFonts w:hint="default" w:ascii="Times New Roman" w:hAnsi="Times New Roman" w:eastAsia="仿宋_GB2312" w:cs="Times New Roman"/>
          <w:color w:val="auto"/>
          <w:kern w:val="2"/>
          <w:sz w:val="32"/>
          <w:szCs w:val="32"/>
          <w:highlight w:val="none"/>
          <w:lang w:val="en-US" w:eastAsia="zh-CN" w:bidi="ar-SA"/>
        </w:rPr>
        <w:br w:type="textWrapping"/>
      </w:r>
      <w:r>
        <w:rPr>
          <w:rFonts w:hint="default" w:ascii="Times New Roman" w:hAnsi="Times New Roman" w:eastAsia="仿宋_GB2312" w:cs="Times New Roman"/>
          <w:color w:val="auto"/>
          <w:kern w:val="2"/>
          <w:sz w:val="32"/>
          <w:szCs w:val="32"/>
          <w:highlight w:val="none"/>
          <w:lang w:val="en-US" w:eastAsia="zh-CN" w:bidi="ar-SA"/>
        </w:rPr>
        <w:t>　　公用经费</w:t>
      </w:r>
      <w:r>
        <w:rPr>
          <w:rFonts w:hint="default" w:ascii="Times New Roman" w:hAnsi="Times New Roman" w:eastAsia="仿宋_GB2312" w:cs="Times New Roman"/>
          <w:sz w:val="32"/>
          <w:szCs w:val="32"/>
        </w:rPr>
        <w:t>34.98</w:t>
      </w:r>
      <w:r>
        <w:rPr>
          <w:rFonts w:hint="default" w:ascii="Times New Roman" w:hAnsi="Times New Roman" w:eastAsia="仿宋_GB2312" w:cs="Times New Roman"/>
          <w:color w:val="auto"/>
          <w:kern w:val="2"/>
          <w:sz w:val="32"/>
          <w:szCs w:val="32"/>
          <w:highlight w:val="none"/>
          <w:lang w:val="en-US" w:eastAsia="zh-CN" w:bidi="ar-SA"/>
        </w:rPr>
        <w:t>万元，主要包括：办公费、手续费、水费、电费、邮电费、差旅费、培训费、公务接待费、工会经费、福利费、其他交通费、其他商品和服务支出、其他资本性支出。</w:t>
      </w:r>
    </w:p>
    <w:p>
      <w:pPr>
        <w:spacing w:line="600" w:lineRule="exact"/>
        <w:ind w:firstLine="640"/>
        <w:outlineLvl w:val="1"/>
        <w:rPr>
          <w:rStyle w:val="30"/>
          <w:rFonts w:ascii="Times New Roman" w:hAnsi="Times New Roman" w:eastAsia="黑体" w:cs="Times New Roman"/>
          <w:b w:val="0"/>
          <w:color w:val="auto"/>
          <w:highlight w:val="none"/>
        </w:rPr>
      </w:pPr>
      <w:bookmarkStart w:id="34" w:name="_Toc15377215"/>
      <w:bookmarkStart w:id="35" w:name="_Toc15396609"/>
      <w:r>
        <w:rPr>
          <w:rFonts w:hint="default" w:ascii="Times New Roman" w:hAnsi="Times New Roman" w:eastAsia="黑体" w:cs="Times New Roman"/>
          <w:color w:val="auto"/>
          <w:sz w:val="32"/>
          <w:szCs w:val="32"/>
          <w:highlight w:val="none"/>
        </w:rPr>
        <w:t>七、</w:t>
      </w:r>
      <w:r>
        <w:rPr>
          <w:rStyle w:val="30"/>
          <w:rFonts w:hint="default" w:ascii="Times New Roman" w:hAnsi="Times New Roman" w:eastAsia="黑体" w:cs="Times New Roman"/>
          <w:b w:val="0"/>
          <w:color w:val="auto"/>
          <w:highlight w:val="none"/>
        </w:rPr>
        <w:t>财政拨款</w:t>
      </w:r>
      <w:r>
        <w:rPr>
          <w:rStyle w:val="30"/>
          <w:rFonts w:hint="default" w:ascii="Times New Roman" w:hAnsi="Times New Roman" w:eastAsia="黑体" w:cs="Times New Roman"/>
          <w:color w:val="auto"/>
          <w:highlight w:val="none"/>
        </w:rPr>
        <w:t>“</w:t>
      </w:r>
      <w:r>
        <w:rPr>
          <w:rStyle w:val="30"/>
          <w:rFonts w:hint="default" w:ascii="Times New Roman" w:hAnsi="Times New Roman" w:eastAsia="黑体" w:cs="Times New Roman"/>
          <w:b w:val="0"/>
          <w:color w:val="auto"/>
          <w:highlight w:val="none"/>
        </w:rPr>
        <w:t>三公”经费支出决算情况说明</w:t>
      </w:r>
      <w:bookmarkEnd w:id="34"/>
      <w:bookmarkEnd w:id="35"/>
    </w:p>
    <w:p>
      <w:pPr>
        <w:spacing w:line="600" w:lineRule="exact"/>
        <w:ind w:firstLine="640" w:firstLineChars="200"/>
        <w:outlineLvl w:val="2"/>
        <w:rPr>
          <w:rFonts w:hint="default" w:ascii="Times New Roman" w:hAnsi="Times New Roman" w:eastAsia="楷体_GB2312" w:cs="Times New Roman"/>
          <w:b w:val="0"/>
          <w:bCs/>
          <w:color w:val="auto"/>
          <w:sz w:val="32"/>
          <w:szCs w:val="32"/>
          <w:highlight w:val="none"/>
        </w:rPr>
      </w:pPr>
      <w:bookmarkStart w:id="36" w:name="_Toc15377216"/>
      <w:r>
        <w:rPr>
          <w:rFonts w:hint="default" w:ascii="Times New Roman" w:hAnsi="Times New Roman" w:eastAsia="楷体_GB2312" w:cs="Times New Roman"/>
          <w:b w:val="0"/>
          <w:bCs/>
          <w:color w:val="auto"/>
          <w:sz w:val="32"/>
          <w:szCs w:val="32"/>
          <w:highlight w:val="none"/>
        </w:rPr>
        <w:t>（一）财政拨款“三公”经费支出决算总体情况说明</w:t>
      </w:r>
      <w:bookmarkEnd w:id="36"/>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2025年度财政拨款“三公”经费支出决算为</w:t>
      </w:r>
      <w:r>
        <w:rPr>
          <w:rFonts w:hint="default" w:ascii="Times New Roman" w:hAnsi="Times New Roman" w:eastAsia="仿宋_GB2312" w:cs="Times New Roman"/>
          <w:sz w:val="32"/>
          <w:szCs w:val="32"/>
        </w:rPr>
        <w:t>0.13</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default" w:ascii="Times New Roman" w:hAnsi="Times New Roman" w:eastAsia="仿宋_GB2312" w:cs="Times New Roman"/>
          <w:sz w:val="32"/>
          <w:szCs w:val="32"/>
        </w:rPr>
        <w:t>11.8</w:t>
      </w:r>
      <w:r>
        <w:rPr>
          <w:rFonts w:hint="default" w:ascii="Times New Roman" w:hAnsi="Times New Roman" w:eastAsia="仿宋_GB2312" w:cs="Times New Roman"/>
          <w:color w:val="auto"/>
          <w:kern w:val="2"/>
          <w:sz w:val="32"/>
          <w:szCs w:val="32"/>
          <w:highlight w:val="none"/>
          <w:lang w:val="en-US" w:eastAsia="zh-CN" w:bidi="ar-SA"/>
        </w:rPr>
        <w:t>%，较上年度减少0.97万元，下降88.2%。决算数小于预算数的主要原因是未承担大型审计业务对接工作，接待批次和人数减少。</w:t>
      </w:r>
    </w:p>
    <w:p>
      <w:pPr>
        <w:spacing w:line="600" w:lineRule="exact"/>
        <w:ind w:firstLine="640" w:firstLineChars="200"/>
        <w:outlineLvl w:val="2"/>
        <w:rPr>
          <w:rFonts w:hint="default" w:ascii="Times New Roman" w:hAnsi="Times New Roman" w:eastAsia="楷体_GB2312" w:cs="Times New Roman"/>
          <w:b/>
          <w:color w:val="auto"/>
          <w:sz w:val="32"/>
          <w:szCs w:val="32"/>
          <w:highlight w:val="none"/>
        </w:rPr>
      </w:pPr>
      <w:bookmarkStart w:id="37" w:name="_Toc15377217"/>
      <w:r>
        <w:rPr>
          <w:rFonts w:hint="default" w:ascii="Times New Roman" w:hAnsi="Times New Roman" w:eastAsia="楷体_GB2312" w:cs="Times New Roman"/>
          <w:b w:val="0"/>
          <w:bCs/>
          <w:color w:val="auto"/>
          <w:sz w:val="32"/>
          <w:szCs w:val="32"/>
          <w:highlight w:val="none"/>
        </w:rPr>
        <w:t>（二）财政拨款“三公”经费支出决算具体情况说明</w:t>
      </w:r>
      <w:bookmarkEnd w:id="37"/>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2025年度财政拨款“三公”经费支出决算中，因公出国（境）费支出决算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万元，占0%；公务用车购置及运行维护费支出决算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万元，占0%；公务接待费支出决算</w:t>
      </w:r>
      <w:r>
        <w:rPr>
          <w:rFonts w:hint="default" w:ascii="Times New Roman" w:hAnsi="Times New Roman" w:eastAsia="仿宋_GB2312" w:cs="Times New Roman"/>
          <w:sz w:val="32"/>
          <w:szCs w:val="32"/>
        </w:rPr>
        <w:t>0.13</w:t>
      </w:r>
      <w:r>
        <w:rPr>
          <w:rFonts w:hint="default" w:ascii="Times New Roman" w:hAnsi="Times New Roman" w:eastAsia="仿宋_GB2312" w:cs="Times New Roman"/>
          <w:color w:val="auto"/>
          <w:kern w:val="2"/>
          <w:sz w:val="32"/>
          <w:szCs w:val="32"/>
          <w:highlight w:val="none"/>
          <w:lang w:val="en-US" w:eastAsia="zh-CN" w:bidi="ar-SA"/>
        </w:rPr>
        <w:t>万元，占100%。具体情况如下：</w:t>
      </w:r>
    </w:p>
    <w:p>
      <w:pPr>
        <w:keepNext/>
        <w:keepLines/>
        <w:widowControl w:val="0"/>
        <w:spacing w:before="280" w:after="156" w:line="377" w:lineRule="auto"/>
        <w:jc w:val="left"/>
        <w:outlineLvl w:val="4"/>
        <w:rPr>
          <w:rFonts w:ascii="Times New Roman" w:hAnsi="Times New Roman" w:eastAsia="黑体" w:cs="Times New Roman"/>
          <w:b/>
          <w:kern w:val="2"/>
          <w:sz w:val="24"/>
          <w:szCs w:val="28"/>
          <w:lang w:val="en-US" w:eastAsia="zh-CN" w:bidi="ar-SA"/>
        </w:rPr>
      </w:pPr>
      <w:r>
        <w:rPr>
          <w:rFonts w:hint="default" w:ascii="Times New Roman" w:hAnsi="Times New Roman" w:eastAsia="黑体" w:cs="Times New Roman"/>
          <w:b/>
          <w:kern w:val="2"/>
          <w:sz w:val="24"/>
          <w:szCs w:val="28"/>
          <w:lang w:val="en-US" w:eastAsia="zh-CN" w:bidi="ar-SA"/>
        </w:rPr>
        <w:t xml:space="preserve">     </w:t>
      </w:r>
      <w:r>
        <w:rPr>
          <w:rFonts w:ascii="Times New Roman" w:hAnsi="Times New Roman" w:eastAsia="黑体" w:cs="Times New Roman"/>
          <w:b/>
          <w:kern w:val="2"/>
          <w:sz w:val="24"/>
          <w:szCs w:val="28"/>
          <w:lang w:val="en-US" w:eastAsia="zh-CN" w:bidi="ar-SA"/>
        </w:rPr>
        <w:drawing>
          <wp:anchor distT="0" distB="0" distL="114300" distR="114300" simplePos="0" relativeHeight="251662336" behindDoc="1" locked="0" layoutInCell="1" allowOverlap="1">
            <wp:simplePos x="0" y="0"/>
            <wp:positionH relativeFrom="column">
              <wp:posOffset>385445</wp:posOffset>
            </wp:positionH>
            <wp:positionV relativeFrom="paragraph">
              <wp:posOffset>210820</wp:posOffset>
            </wp:positionV>
            <wp:extent cx="4562475" cy="1993265"/>
            <wp:effectExtent l="4445" t="4445" r="5080" b="21590"/>
            <wp:wrapTight wrapText="bothSides">
              <wp:wrapPolygon>
                <wp:start x="-21" y="-48"/>
                <wp:lineTo x="-21" y="21421"/>
                <wp:lineTo x="21534" y="21421"/>
                <wp:lineTo x="21534" y="-48"/>
                <wp:lineTo x="-21" y="-48"/>
              </wp:wrapPolygon>
            </wp:wrapTight>
            <wp:docPr id="3586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pPr>
        <w:rPr>
          <w:rFonts w:hint="default" w:ascii="Times New Roman" w:hAnsi="Times New Roman" w:cs="Times New Roman"/>
          <w:lang w:val="en-US" w:eastAsia="zh-CN"/>
        </w:rPr>
      </w:pPr>
    </w:p>
    <w:p>
      <w:pPr>
        <w:spacing w:line="600" w:lineRule="exact"/>
        <w:ind w:firstLine="640"/>
        <w:rPr>
          <w:rFonts w:hint="default" w:ascii="Times New Roman" w:hAnsi="Times New Roman" w:cs="Times New Roman"/>
          <w:lang w:val="en-US" w:eastAsia="zh-CN"/>
        </w:rPr>
      </w:pPr>
      <w:r>
        <w:rPr>
          <w:rFonts w:hint="default" w:ascii="Times New Roman" w:hAnsi="Times New Roman" w:eastAsia="仿宋_GB2312" w:cs="Times New Roman"/>
          <w:color w:val="auto"/>
          <w:kern w:val="2"/>
          <w:sz w:val="32"/>
          <w:szCs w:val="32"/>
          <w:highlight w:val="none"/>
          <w:lang w:val="en-US" w:eastAsia="zh-CN" w:bidi="ar-SA"/>
        </w:rPr>
        <w:t>（图7：财政拨款“三公”经费支出结构）（饼状图）</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b/>
          <w:bCs/>
          <w:color w:val="auto"/>
          <w:kern w:val="2"/>
          <w:sz w:val="32"/>
          <w:szCs w:val="32"/>
          <w:highlight w:val="none"/>
          <w:lang w:val="en-US" w:eastAsia="zh-CN" w:bidi="ar-SA"/>
        </w:rPr>
        <w:t>万元，完成预算0%。</w:t>
      </w:r>
      <w:r>
        <w:rPr>
          <w:rFonts w:hint="default" w:ascii="Times New Roman" w:hAnsi="Times New Roman" w:eastAsia="仿宋_GB2312" w:cs="Times New Roman"/>
          <w:color w:val="auto"/>
          <w:kern w:val="2"/>
          <w:sz w:val="32"/>
          <w:szCs w:val="32"/>
          <w:highlight w:val="none"/>
          <w:lang w:val="en-US" w:eastAsia="zh-CN" w:bidi="ar-SA"/>
        </w:rPr>
        <w:t>全年安排因公出国（境）团组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次，出国（境）</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人。因公出国（境）支出决算与2024年持平。</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2.公务用车购置及运行维护费支出0万元，完成预算0%。</w:t>
      </w:r>
      <w:r>
        <w:rPr>
          <w:rFonts w:hint="default" w:ascii="Times New Roman" w:hAnsi="Times New Roman" w:eastAsia="仿宋_GB2312" w:cs="Times New Roman"/>
          <w:color w:val="auto"/>
          <w:kern w:val="2"/>
          <w:sz w:val="32"/>
          <w:szCs w:val="32"/>
          <w:highlight w:val="none"/>
          <w:lang w:val="en-US" w:eastAsia="zh-CN" w:bidi="ar-SA"/>
        </w:rPr>
        <w:t>公务用车购置及运行维护费支出决算与2024年持平。</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3.公务接待费支出0.13万元，完成预算11.8%。</w:t>
      </w:r>
      <w:r>
        <w:rPr>
          <w:rFonts w:hint="default" w:ascii="Times New Roman" w:hAnsi="Times New Roman" w:eastAsia="仿宋_GB2312" w:cs="Times New Roman"/>
          <w:color w:val="auto"/>
          <w:kern w:val="2"/>
          <w:sz w:val="32"/>
          <w:szCs w:val="32"/>
          <w:highlight w:val="none"/>
          <w:lang w:val="en-US" w:eastAsia="zh-CN" w:bidi="ar-SA"/>
        </w:rPr>
        <w:t>公务接待费支出决算比上年度减少0.97万元，下降88.2%。主要原因是未承担大型审计业务对接工作，接待批次和人数减少。其中：</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国内公务接待支出</w:t>
      </w:r>
      <w:r>
        <w:rPr>
          <w:rFonts w:hint="default" w:ascii="Times New Roman" w:hAnsi="Times New Roman" w:eastAsia="仿宋_GB2312" w:cs="Times New Roman"/>
          <w:sz w:val="32"/>
          <w:szCs w:val="32"/>
        </w:rPr>
        <w:t>0.13</w:t>
      </w:r>
      <w:r>
        <w:rPr>
          <w:rFonts w:hint="default" w:ascii="Times New Roman" w:hAnsi="Times New Roman" w:eastAsia="仿宋_GB2312" w:cs="Times New Roman"/>
          <w:color w:val="auto"/>
          <w:kern w:val="2"/>
          <w:sz w:val="32"/>
          <w:szCs w:val="32"/>
          <w:highlight w:val="none"/>
          <w:lang w:val="en-US" w:eastAsia="zh-CN" w:bidi="ar-SA"/>
        </w:rPr>
        <w:t>万元，主要用于开展审计业务工作的餐费。国内公务接待</w:t>
      </w:r>
      <w:r>
        <w:rPr>
          <w:rFonts w:hint="default" w:ascii="Times New Roman" w:hAnsi="Times New Roman" w:eastAsia="仿宋_GB2312" w:cs="Times New Roman"/>
          <w:sz w:val="32"/>
          <w:szCs w:val="32"/>
        </w:rPr>
        <w:t>2</w:t>
      </w:r>
      <w:r>
        <w:rPr>
          <w:rFonts w:hint="default" w:ascii="Times New Roman" w:hAnsi="Times New Roman" w:eastAsia="仿宋_GB2312" w:cs="Times New Roman"/>
          <w:color w:val="auto"/>
          <w:kern w:val="2"/>
          <w:sz w:val="32"/>
          <w:szCs w:val="32"/>
          <w:highlight w:val="none"/>
          <w:lang w:val="en-US" w:eastAsia="zh-CN" w:bidi="ar-SA"/>
        </w:rPr>
        <w:t>批次，</w:t>
      </w:r>
      <w:r>
        <w:rPr>
          <w:rFonts w:hint="default" w:ascii="Times New Roman" w:hAnsi="Times New Roman" w:eastAsia="仿宋_GB2312" w:cs="Times New Roman"/>
          <w:sz w:val="32"/>
          <w:szCs w:val="32"/>
        </w:rPr>
        <w:t>22</w:t>
      </w:r>
      <w:r>
        <w:rPr>
          <w:rFonts w:hint="default" w:ascii="Times New Roman" w:hAnsi="Times New Roman" w:eastAsia="仿宋_GB2312" w:cs="Times New Roman"/>
          <w:color w:val="auto"/>
          <w:kern w:val="2"/>
          <w:sz w:val="32"/>
          <w:szCs w:val="32"/>
          <w:highlight w:val="none"/>
          <w:lang w:val="en-US" w:eastAsia="zh-CN" w:bidi="ar-SA"/>
        </w:rPr>
        <w:t>人次（不包括陪同人员），共计支出0.13万元，具体内容包括：审计业务工作餐费0.13万元。</w:t>
      </w:r>
      <w:bookmarkStart w:id="38" w:name="_Toc15377218"/>
      <w:bookmarkStart w:id="39" w:name="_Toc15396610"/>
    </w:p>
    <w:p>
      <w:pPr>
        <w:spacing w:line="600" w:lineRule="exact"/>
        <w:ind w:firstLine="640"/>
        <w:outlineLvl w:val="1"/>
        <w:rPr>
          <w:rStyle w:val="30"/>
          <w:rFonts w:ascii="Times New Roman" w:hAnsi="Times New Roman" w:eastAsia="黑体" w:cs="Times New Roman"/>
          <w:color w:val="auto"/>
          <w:highlight w:val="none"/>
        </w:rPr>
      </w:pPr>
      <w:r>
        <w:rPr>
          <w:rFonts w:hint="default" w:ascii="Times New Roman" w:hAnsi="Times New Roman" w:eastAsia="黑体" w:cs="Times New Roman"/>
          <w:color w:val="auto"/>
          <w:sz w:val="32"/>
          <w:szCs w:val="32"/>
          <w:highlight w:val="none"/>
        </w:rPr>
        <w:t>八、</w:t>
      </w:r>
      <w:r>
        <w:rPr>
          <w:rStyle w:val="30"/>
          <w:rFonts w:hint="default" w:ascii="Times New Roman" w:hAnsi="Times New Roman" w:eastAsia="黑体" w:cs="Times New Roman"/>
          <w:b w:val="0"/>
          <w:color w:val="auto"/>
          <w:highlight w:val="none"/>
        </w:rPr>
        <w:t>政府性基金预算支出决算情况说明</w:t>
      </w:r>
      <w:bookmarkEnd w:id="38"/>
      <w:bookmarkEnd w:id="39"/>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2025年度政府性基金预算财政拨款支出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%。与上年度相比，政府性基金预算财政拨款支出减少45.63万元，下降100%。主要变动原因是2025年度无相关政府性基金项目及资金拨付，未产生相应支出。</w:t>
      </w:r>
    </w:p>
    <w:p>
      <w:pPr>
        <w:numPr>
          <w:ilvl w:val="0"/>
          <w:numId w:val="0"/>
        </w:numPr>
        <w:spacing w:line="600" w:lineRule="exact"/>
        <w:ind w:left="630" w:leftChars="0"/>
        <w:outlineLvl w:val="1"/>
        <w:rPr>
          <w:rStyle w:val="30"/>
          <w:rFonts w:ascii="Times New Roman" w:hAnsi="Times New Roman" w:eastAsia="黑体" w:cs="Times New Roman"/>
          <w:b w:val="0"/>
          <w:color w:val="auto"/>
          <w:highlight w:val="none"/>
        </w:rPr>
      </w:pPr>
      <w:bookmarkStart w:id="40" w:name="_Toc15396611"/>
      <w:bookmarkStart w:id="41" w:name="_Toc15377219"/>
      <w:r>
        <w:rPr>
          <w:rStyle w:val="30"/>
          <w:rFonts w:hint="default" w:ascii="Times New Roman" w:hAnsi="Times New Roman" w:eastAsia="黑体" w:cs="Times New Roman"/>
          <w:b w:val="0"/>
          <w:color w:val="auto"/>
          <w:highlight w:val="none"/>
          <w:lang w:eastAsia="zh-CN"/>
        </w:rPr>
        <w:t>九、</w:t>
      </w:r>
      <w:r>
        <w:rPr>
          <w:rStyle w:val="30"/>
          <w:rFonts w:hint="default" w:ascii="Times New Roman" w:hAnsi="Times New Roman" w:eastAsia="黑体" w:cs="Times New Roman"/>
          <w:b w:val="0"/>
          <w:color w:val="auto"/>
          <w:highlight w:val="none"/>
        </w:rPr>
        <w:t>国有资本经营预算支出决算情况说明</w:t>
      </w:r>
      <w:bookmarkEnd w:id="40"/>
      <w:bookmarkEnd w:id="41"/>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2025年度国有资本经营预算财政拨款支出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%。与上年度相比，国有资本经营预算财政拨款支出持平。</w:t>
      </w:r>
    </w:p>
    <w:p>
      <w:pPr>
        <w:numPr>
          <w:ilvl w:val="0"/>
          <w:numId w:val="0"/>
        </w:numPr>
        <w:spacing w:line="600" w:lineRule="exact"/>
        <w:ind w:left="630" w:leftChars="0"/>
        <w:outlineLvl w:val="1"/>
        <w:rPr>
          <w:rStyle w:val="30"/>
          <w:rFonts w:hint="default" w:ascii="Times New Roman" w:hAnsi="Times New Roman" w:eastAsia="黑体" w:cs="Times New Roman"/>
          <w:b w:val="0"/>
          <w:color w:val="auto"/>
          <w:highlight w:val="none"/>
        </w:rPr>
      </w:pPr>
      <w:bookmarkStart w:id="42" w:name="_Toc15377221"/>
      <w:bookmarkStart w:id="43" w:name="_Toc15396612"/>
      <w:r>
        <w:rPr>
          <w:rStyle w:val="30"/>
          <w:rFonts w:hint="default" w:ascii="Times New Roman" w:hAnsi="Times New Roman" w:eastAsia="黑体" w:cs="Times New Roman"/>
          <w:b w:val="0"/>
          <w:color w:val="auto"/>
          <w:highlight w:val="none"/>
          <w:lang w:eastAsia="zh-CN"/>
        </w:rPr>
        <w:t>十、</w:t>
      </w:r>
      <w:r>
        <w:rPr>
          <w:rStyle w:val="30"/>
          <w:rFonts w:hint="default" w:ascii="Times New Roman" w:hAnsi="Times New Roman" w:eastAsia="黑体" w:cs="Times New Roman"/>
          <w:b w:val="0"/>
          <w:color w:val="auto"/>
          <w:highlight w:val="none"/>
        </w:rPr>
        <w:t>其他重要事项的情况说明</w:t>
      </w:r>
      <w:bookmarkEnd w:id="42"/>
      <w:bookmarkEnd w:id="43"/>
    </w:p>
    <w:p>
      <w:pPr>
        <w:spacing w:line="600" w:lineRule="exact"/>
        <w:ind w:firstLine="640" w:firstLineChars="200"/>
        <w:outlineLvl w:val="2"/>
        <w:rPr>
          <w:rFonts w:hint="default" w:ascii="Times New Roman" w:hAnsi="Times New Roman" w:eastAsia="楷体_GB2312" w:cs="Times New Roman"/>
          <w:b w:val="0"/>
          <w:bCs/>
          <w:color w:val="auto"/>
          <w:sz w:val="32"/>
          <w:szCs w:val="32"/>
          <w:highlight w:val="none"/>
        </w:rPr>
      </w:pPr>
      <w:bookmarkStart w:id="44" w:name="_Toc15377222"/>
      <w:r>
        <w:rPr>
          <w:rFonts w:hint="default" w:ascii="Times New Roman" w:hAnsi="Times New Roman" w:eastAsia="楷体_GB2312" w:cs="Times New Roman"/>
          <w:b w:val="0"/>
          <w:bCs/>
          <w:color w:val="auto"/>
          <w:sz w:val="32"/>
          <w:szCs w:val="32"/>
          <w:highlight w:val="none"/>
        </w:rPr>
        <w:t>（一）机关运行经费支出情况</w:t>
      </w:r>
      <w:bookmarkEnd w:id="44"/>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沐川县审计局</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default" w:ascii="Times New Roman" w:hAnsi="Times New Roman" w:eastAsia="仿宋_GB2312" w:cs="Times New Roman"/>
          <w:sz w:val="32"/>
          <w:szCs w:val="32"/>
        </w:rPr>
        <w:t>34.98</w:t>
      </w:r>
      <w:r>
        <w:rPr>
          <w:rFonts w:hint="default" w:ascii="Times New Roman" w:hAnsi="Times New Roman" w:eastAsia="仿宋_GB2312" w:cs="Times New Roman"/>
          <w:color w:val="auto"/>
          <w:kern w:val="2"/>
          <w:sz w:val="32"/>
          <w:szCs w:val="32"/>
          <w:highlight w:val="none"/>
          <w:lang w:val="en-US" w:eastAsia="zh-CN" w:bidi="ar-SA"/>
        </w:rPr>
        <w:t>万元，比上年度增加5.43万元，增长18.4%。主要原因是购买办公设备及日常维护费用增加，故机关运行经费增加。</w:t>
      </w:r>
    </w:p>
    <w:p>
      <w:pPr>
        <w:spacing w:line="600" w:lineRule="exact"/>
        <w:ind w:firstLine="640" w:firstLineChars="200"/>
        <w:outlineLvl w:val="2"/>
        <w:rPr>
          <w:rFonts w:hint="default" w:ascii="Times New Roman" w:hAnsi="Times New Roman" w:eastAsia="楷体_GB2312" w:cs="Times New Roman"/>
          <w:b/>
          <w:color w:val="auto"/>
          <w:sz w:val="32"/>
          <w:szCs w:val="32"/>
          <w:highlight w:val="none"/>
        </w:rPr>
      </w:pPr>
      <w:bookmarkStart w:id="45" w:name="_Toc15377223"/>
      <w:r>
        <w:rPr>
          <w:rFonts w:hint="default" w:ascii="Times New Roman" w:hAnsi="Times New Roman" w:eastAsia="楷体_GB2312" w:cs="Times New Roman"/>
          <w:b w:val="0"/>
          <w:bCs/>
          <w:color w:val="auto"/>
          <w:sz w:val="32"/>
          <w:szCs w:val="32"/>
          <w:highlight w:val="none"/>
        </w:rPr>
        <w:t>（二）政府采购支出情况</w:t>
      </w:r>
      <w:bookmarkEnd w:id="45"/>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沐川县审计局</w:t>
      </w:r>
      <w:r>
        <w:rPr>
          <w:rFonts w:hint="default" w:ascii="Times New Roman" w:hAnsi="Times New Roman" w:eastAsia="仿宋_GB2312" w:cs="Times New Roman"/>
          <w:color w:val="auto"/>
          <w:kern w:val="2"/>
          <w:sz w:val="32"/>
          <w:szCs w:val="32"/>
          <w:highlight w:val="none"/>
          <w:lang w:val="en-US" w:eastAsia="zh-CN" w:bidi="ar-SA"/>
        </w:rPr>
        <w:t>政府采购支出总额</w:t>
      </w:r>
      <w:r>
        <w:rPr>
          <w:rFonts w:hint="default" w:ascii="Times New Roman" w:hAnsi="Times New Roman" w:eastAsia="仿宋_GB2312" w:cs="Times New Roman"/>
          <w:sz w:val="32"/>
          <w:szCs w:val="32"/>
        </w:rPr>
        <w:t>1.75</w:t>
      </w:r>
      <w:r>
        <w:rPr>
          <w:rFonts w:hint="default" w:ascii="Times New Roman" w:hAnsi="Times New Roman" w:eastAsia="仿宋_GB2312" w:cs="Times New Roman"/>
          <w:color w:val="auto"/>
          <w:kern w:val="2"/>
          <w:sz w:val="32"/>
          <w:szCs w:val="32"/>
          <w:highlight w:val="none"/>
          <w:lang w:val="en-US" w:eastAsia="zh-CN" w:bidi="ar-SA"/>
        </w:rPr>
        <w:t>万元，其中：政府采购货物支出</w:t>
      </w:r>
      <w:r>
        <w:rPr>
          <w:rFonts w:hint="default" w:ascii="Times New Roman" w:hAnsi="Times New Roman" w:eastAsia="仿宋_GB2312" w:cs="Times New Roman"/>
          <w:sz w:val="32"/>
          <w:szCs w:val="32"/>
        </w:rPr>
        <w:t>1.12</w:t>
      </w:r>
      <w:r>
        <w:rPr>
          <w:rFonts w:hint="default" w:ascii="Times New Roman" w:hAnsi="Times New Roman" w:eastAsia="仿宋_GB2312" w:cs="Times New Roman"/>
          <w:color w:val="auto"/>
          <w:kern w:val="2"/>
          <w:sz w:val="32"/>
          <w:szCs w:val="32"/>
          <w:highlight w:val="none"/>
          <w:lang w:val="en-US" w:eastAsia="zh-CN" w:bidi="ar-SA"/>
        </w:rPr>
        <w:t>万元、政府采购工程支出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万元、政府采购服务支出</w:t>
      </w:r>
      <w:r>
        <w:rPr>
          <w:rFonts w:hint="default" w:ascii="Times New Roman" w:hAnsi="Times New Roman" w:eastAsia="仿宋_GB2312" w:cs="Times New Roman"/>
          <w:sz w:val="32"/>
          <w:szCs w:val="32"/>
        </w:rPr>
        <w:t>0.62</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主要用于购买4个保密柜、1台65寸电视机、审计中介服务费</w:t>
      </w:r>
      <w:r>
        <w:rPr>
          <w:rFonts w:hint="default" w:ascii="Times New Roman" w:hAnsi="Times New Roman" w:eastAsia="仿宋_GB2312" w:cs="Times New Roman"/>
          <w:color w:val="auto"/>
          <w:kern w:val="2"/>
          <w:sz w:val="32"/>
          <w:szCs w:val="32"/>
          <w:highlight w:val="none"/>
          <w:lang w:val="en-US" w:eastAsia="zh-CN" w:bidi="ar-SA"/>
        </w:rPr>
        <w:t>。授予中小企业合同金额</w:t>
      </w:r>
      <w:r>
        <w:rPr>
          <w:rFonts w:hint="default" w:ascii="Times New Roman" w:hAnsi="Times New Roman" w:eastAsia="仿宋_GB2312" w:cs="Times New Roman"/>
          <w:sz w:val="32"/>
          <w:szCs w:val="32"/>
        </w:rPr>
        <w:t>1.75</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%，其中：授予小微企业合同金额</w:t>
      </w:r>
      <w:r>
        <w:rPr>
          <w:rFonts w:hint="default" w:ascii="Times New Roman" w:hAnsi="Times New Roman" w:eastAsia="仿宋_GB2312" w:cs="Times New Roman"/>
          <w:sz w:val="32"/>
          <w:szCs w:val="32"/>
        </w:rPr>
        <w:t>1.75</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w:t>
      </w:r>
    </w:p>
    <w:p>
      <w:pPr>
        <w:spacing w:line="600" w:lineRule="exact"/>
        <w:ind w:firstLine="640" w:firstLineChars="200"/>
        <w:outlineLvl w:val="2"/>
        <w:rPr>
          <w:rFonts w:hint="default" w:ascii="Times New Roman" w:hAnsi="Times New Roman" w:eastAsia="楷体_GB2312" w:cs="Times New Roman"/>
          <w:b/>
          <w:color w:val="auto"/>
          <w:sz w:val="32"/>
          <w:szCs w:val="32"/>
          <w:highlight w:val="none"/>
        </w:rPr>
      </w:pPr>
      <w:bookmarkStart w:id="46" w:name="_Toc15377224"/>
      <w:r>
        <w:rPr>
          <w:rFonts w:hint="default" w:ascii="Times New Roman" w:hAnsi="Times New Roman" w:eastAsia="楷体_GB2312" w:cs="Times New Roman"/>
          <w:b w:val="0"/>
          <w:bCs/>
          <w:color w:val="auto"/>
          <w:sz w:val="32"/>
          <w:szCs w:val="32"/>
          <w:highlight w:val="none"/>
        </w:rPr>
        <w:t>（三）国有资产占有使用情况</w:t>
      </w:r>
      <w:bookmarkEnd w:id="46"/>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截至2025年12月31日，</w:t>
      </w:r>
      <w:r>
        <w:rPr>
          <w:rFonts w:hint="default" w:ascii="Times New Roman" w:hAnsi="Times New Roman" w:eastAsia="仿宋_GB2312" w:cs="Times New Roman"/>
          <w:sz w:val="32"/>
          <w:szCs w:val="32"/>
        </w:rPr>
        <w:t>沐川县审计局</w:t>
      </w:r>
      <w:r>
        <w:rPr>
          <w:rFonts w:hint="default" w:ascii="Times New Roman" w:hAnsi="Times New Roman" w:eastAsia="仿宋_GB2312" w:cs="Times New Roman"/>
          <w:color w:val="auto"/>
          <w:kern w:val="2"/>
          <w:sz w:val="32"/>
          <w:szCs w:val="32"/>
          <w:highlight w:val="none"/>
          <w:lang w:val="en-US" w:eastAsia="zh-CN" w:bidi="ar-SA"/>
        </w:rPr>
        <w:t>共有车辆</w:t>
      </w:r>
      <w:r>
        <w:rPr>
          <w:rFonts w:hint="default" w:ascii="Times New Roman" w:hAnsi="Times New Roman" w:eastAsia="仿宋_GB2312" w:cs="Times New Roman"/>
          <w:sz w:val="32"/>
          <w:szCs w:val="32"/>
        </w:rPr>
        <w:t>1</w:t>
      </w:r>
      <w:r>
        <w:rPr>
          <w:rFonts w:hint="default" w:ascii="Times New Roman" w:hAnsi="Times New Roman" w:eastAsia="仿宋_GB2312" w:cs="Times New Roman"/>
          <w:color w:val="auto"/>
          <w:kern w:val="2"/>
          <w:sz w:val="32"/>
          <w:szCs w:val="32"/>
          <w:highlight w:val="none"/>
          <w:lang w:val="en-US" w:eastAsia="zh-CN" w:bidi="ar-SA"/>
        </w:rPr>
        <w:t>辆，其中：主要负责人用车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辆、机要通信用车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辆、应急保障用车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辆、执法执勤用车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辆、特种专业技术用车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辆、离退休干部服务用车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辆、其他用车</w:t>
      </w:r>
      <w:r>
        <w:rPr>
          <w:rFonts w:hint="default" w:ascii="Times New Roman" w:hAnsi="Times New Roman" w:eastAsia="仿宋_GB2312" w:cs="Times New Roman"/>
          <w:sz w:val="32"/>
          <w:szCs w:val="32"/>
        </w:rPr>
        <w:t>1</w:t>
      </w:r>
      <w:r>
        <w:rPr>
          <w:rFonts w:hint="default" w:ascii="Times New Roman" w:hAnsi="Times New Roman" w:eastAsia="仿宋_GB2312" w:cs="Times New Roman"/>
          <w:color w:val="auto"/>
          <w:kern w:val="2"/>
          <w:sz w:val="32"/>
          <w:szCs w:val="32"/>
          <w:highlight w:val="none"/>
          <w:lang w:val="en-US" w:eastAsia="zh-CN" w:bidi="ar-SA"/>
        </w:rPr>
        <w:t>辆，其他用车主要是用于开展审计项目用车。单价100万元（含）以上设备（不含车辆）</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台（套）。</w:t>
      </w:r>
    </w:p>
    <w:p>
      <w:pPr>
        <w:spacing w:line="600" w:lineRule="exact"/>
        <w:ind w:firstLine="640" w:firstLineChars="200"/>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val="0"/>
          <w:bCs/>
          <w:color w:val="auto"/>
          <w:sz w:val="32"/>
          <w:szCs w:val="32"/>
          <w:highlight w:val="none"/>
        </w:rPr>
        <w:t>（四）预算绩效管理情况</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根据预算绩效管理要求，本单位在2025年度，组织对政审计专项资金1个项目涉及金额11.5万元展了事前绩中央和省级财效评估，对1个项目编制了绩效目标，预算执行过程中，选取1个项目开展绩效监控。</w:t>
      </w:r>
    </w:p>
    <w:p>
      <w:pPr>
        <w:pStyle w:val="16"/>
        <w:keepNext w:val="0"/>
        <w:keepLines w:val="0"/>
        <w:pageBreakBefore w:val="0"/>
        <w:widowControl/>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组织对2025年度一般公共预算、政府性基金预算全面开展绩效自评，形成沐川县审计局部门整体（含部门预算项目）绩效自评报告、中央和省级财政审计专项资金等专项预算项目绩效自评报告，其中，沐川县审计局部门整体（含部门预算项目）绩效自评得分为100分，绩效自评综述</w:t>
      </w:r>
      <w:r>
        <w:rPr>
          <w:rFonts w:hint="default" w:ascii="Times New Roman" w:hAnsi="Times New Roman" w:eastAsia="仿宋_GB2312" w:cs="Times New Roman"/>
          <w:color w:val="000000"/>
          <w:kern w:val="0"/>
          <w:sz w:val="32"/>
          <w:szCs w:val="32"/>
          <w:shd w:val="clear" w:color="auto" w:fill="FFFFFF"/>
          <w:lang w:val="zh-CN" w:eastAsia="zh-CN"/>
        </w:rPr>
        <w:t>保障了机关正常运行，认真履行好</w:t>
      </w:r>
      <w:r>
        <w:rPr>
          <w:rFonts w:hint="default" w:ascii="Times New Roman" w:hAnsi="Times New Roman" w:eastAsia="仿宋_GB2312" w:cs="Times New Roman"/>
          <w:color w:val="000000"/>
          <w:kern w:val="0"/>
          <w:sz w:val="32"/>
          <w:szCs w:val="32"/>
          <w:shd w:val="clear" w:color="auto" w:fill="FFFFFF"/>
          <w:lang w:val="en-US" w:eastAsia="zh-CN"/>
        </w:rPr>
        <w:t>我</w:t>
      </w:r>
      <w:r>
        <w:rPr>
          <w:rFonts w:hint="default" w:ascii="Times New Roman" w:hAnsi="Times New Roman" w:eastAsia="仿宋_GB2312" w:cs="Times New Roman"/>
          <w:color w:val="000000"/>
          <w:kern w:val="0"/>
          <w:sz w:val="32"/>
          <w:szCs w:val="32"/>
          <w:shd w:val="clear" w:color="auto" w:fill="FFFFFF"/>
          <w:lang w:val="zh-CN" w:eastAsia="zh-CN"/>
        </w:rPr>
        <w:t>部门</w:t>
      </w:r>
      <w:r>
        <w:rPr>
          <w:rFonts w:hint="default" w:ascii="Times New Roman" w:hAnsi="Times New Roman" w:eastAsia="仿宋_GB2312" w:cs="Times New Roman"/>
          <w:color w:val="000000"/>
          <w:kern w:val="0"/>
          <w:sz w:val="32"/>
          <w:szCs w:val="32"/>
          <w:shd w:val="clear" w:color="auto" w:fill="FFFFFF"/>
          <w:lang w:val="en-US" w:eastAsia="zh-CN"/>
        </w:rPr>
        <w:t>职能职责</w:t>
      </w:r>
      <w:r>
        <w:rPr>
          <w:rFonts w:hint="default" w:ascii="Times New Roman" w:hAnsi="Times New Roman" w:eastAsia="仿宋_GB2312" w:cs="Times New Roman"/>
          <w:color w:val="000000"/>
          <w:kern w:val="0"/>
          <w:sz w:val="32"/>
          <w:szCs w:val="32"/>
          <w:shd w:val="clear" w:color="auto" w:fill="FFFFFF"/>
          <w:lang w:val="zh-CN" w:eastAsia="zh-CN"/>
        </w:rPr>
        <w:t>，圆满完成了县委、县政府下达的各项目标任务</w:t>
      </w:r>
      <w:r>
        <w:rPr>
          <w:rFonts w:hint="default" w:ascii="Times New Roman" w:hAnsi="Times New Roman" w:eastAsia="仿宋_GB2312" w:cs="Times New Roman"/>
          <w:color w:val="auto"/>
          <w:kern w:val="2"/>
          <w:sz w:val="32"/>
          <w:szCs w:val="32"/>
          <w:highlight w:val="none"/>
          <w:lang w:val="en-US" w:eastAsia="zh-CN" w:bidi="ar-SA"/>
        </w:rPr>
        <w:t>；中央和省级财政审计专项资金绩效自评得分为100分，绩效自评综述</w:t>
      </w:r>
      <w:r>
        <w:rPr>
          <w:rFonts w:hint="default" w:ascii="Times New Roman" w:hAnsi="Times New Roman" w:eastAsia="仿宋_GB2312" w:cs="Times New Roman"/>
          <w:kern w:val="2"/>
          <w:sz w:val="32"/>
          <w:szCs w:val="32"/>
          <w:lang w:val="en-US" w:eastAsia="zh-CN" w:bidi="ar-SA"/>
        </w:rPr>
        <w:t>保障本单位职工的正常办公、生活秩序、本单位日常工作的顺利开展、审计工作的开展，确保履行好审计监督的基本职能。</w:t>
      </w:r>
      <w:r>
        <w:rPr>
          <w:rFonts w:hint="default" w:ascii="Times New Roman" w:hAnsi="Times New Roman" w:eastAsia="仿宋_GB2312" w:cs="Times New Roman"/>
          <w:color w:val="auto"/>
          <w:kern w:val="2"/>
          <w:sz w:val="32"/>
          <w:szCs w:val="32"/>
          <w:highlight w:val="none"/>
          <w:lang w:val="en-US" w:eastAsia="zh-CN" w:bidi="ar-SA"/>
        </w:rPr>
        <w:t>绩效自评表详见附件。</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pPr>
        <w:pStyle w:val="2"/>
        <w:rPr>
          <w:rFonts w:hint="default" w:ascii="Times New Roman" w:hAnsi="Times New Roman" w:eastAsia="仿宋_GB2312" w:cs="Times New Roman"/>
          <w:color w:val="auto"/>
          <w:kern w:val="2"/>
          <w:sz w:val="32"/>
          <w:szCs w:val="32"/>
          <w:highlight w:val="none"/>
          <w:lang w:val="en-US" w:eastAsia="zh-CN" w:bidi="ar-SA"/>
        </w:rPr>
      </w:pPr>
    </w:p>
    <w:p>
      <w:pPr>
        <w:rPr>
          <w:rFonts w:hint="default" w:ascii="Times New Roman" w:hAnsi="Times New Roman" w:eastAsia="仿宋_GB2312" w:cs="Times New Roman"/>
          <w:color w:val="auto"/>
          <w:kern w:val="2"/>
          <w:sz w:val="32"/>
          <w:szCs w:val="32"/>
          <w:highlight w:val="none"/>
          <w:lang w:val="en-US" w:eastAsia="zh-CN" w:bidi="ar-SA"/>
        </w:rPr>
      </w:pPr>
    </w:p>
    <w:p>
      <w:pPr>
        <w:pStyle w:val="2"/>
        <w:rPr>
          <w:rFonts w:hint="default" w:ascii="Times New Roman" w:hAnsi="Times New Roman" w:eastAsia="仿宋_GB2312" w:cs="Times New Roman"/>
          <w:color w:val="auto"/>
          <w:kern w:val="2"/>
          <w:sz w:val="32"/>
          <w:szCs w:val="32"/>
          <w:highlight w:val="none"/>
          <w:lang w:val="en-US" w:eastAsia="zh-CN" w:bidi="ar-SA"/>
        </w:rPr>
      </w:pPr>
    </w:p>
    <w:p>
      <w:pPr>
        <w:rPr>
          <w:rFonts w:hint="default" w:ascii="Times New Roman" w:hAnsi="Times New Roman" w:eastAsia="仿宋_GB2312" w:cs="Times New Roman"/>
          <w:color w:val="auto"/>
          <w:kern w:val="2"/>
          <w:sz w:val="32"/>
          <w:szCs w:val="32"/>
          <w:highlight w:val="none"/>
          <w:lang w:val="en-US" w:eastAsia="zh-CN" w:bidi="ar-SA"/>
        </w:rPr>
      </w:pPr>
    </w:p>
    <w:p>
      <w:pPr>
        <w:pStyle w:val="2"/>
        <w:rPr>
          <w:rFonts w:hint="default" w:ascii="Times New Roman" w:hAnsi="Times New Roman" w:eastAsia="仿宋_GB2312" w:cs="Times New Roman"/>
          <w:color w:val="auto"/>
          <w:kern w:val="2"/>
          <w:sz w:val="32"/>
          <w:szCs w:val="32"/>
          <w:highlight w:val="none"/>
          <w:lang w:val="en-US" w:eastAsia="zh-CN" w:bidi="ar-SA"/>
        </w:rPr>
      </w:pPr>
    </w:p>
    <w:p>
      <w:pPr>
        <w:rPr>
          <w:rFonts w:hint="default" w:ascii="Times New Roman" w:hAnsi="Times New Roman" w:eastAsia="仿宋_GB2312" w:cs="Times New Roman"/>
          <w:color w:val="auto"/>
          <w:kern w:val="2"/>
          <w:sz w:val="32"/>
          <w:szCs w:val="32"/>
          <w:highlight w:val="none"/>
          <w:lang w:val="en-US" w:eastAsia="zh-CN" w:bidi="ar-SA"/>
        </w:rPr>
      </w:pPr>
    </w:p>
    <w:p>
      <w:pPr>
        <w:pStyle w:val="2"/>
        <w:rPr>
          <w:rFonts w:hint="default" w:ascii="Times New Roman" w:hAnsi="Times New Roman" w:eastAsia="仿宋_GB2312" w:cs="Times New Roman"/>
          <w:color w:val="auto"/>
          <w:kern w:val="2"/>
          <w:sz w:val="32"/>
          <w:szCs w:val="32"/>
          <w:highlight w:val="none"/>
          <w:lang w:val="en-US" w:eastAsia="zh-CN" w:bidi="ar-SA"/>
        </w:rPr>
      </w:pPr>
    </w:p>
    <w:p>
      <w:pPr>
        <w:rPr>
          <w:rFonts w:hint="default"/>
          <w:lang w:val="en-US" w:eastAsia="zh-CN"/>
        </w:rPr>
      </w:pPr>
    </w:p>
    <w:p>
      <w:pPr>
        <w:numPr>
          <w:ilvl w:val="-1"/>
          <w:numId w:val="0"/>
        </w:numPr>
        <w:suppressAutoHyphens/>
        <w:bidi w:val="0"/>
        <w:spacing w:line="240" w:lineRule="auto"/>
        <w:jc w:val="left"/>
        <w:outlineLvl w:val="9"/>
        <w:rPr>
          <w:rFonts w:hint="default" w:ascii="Times New Roman" w:hAnsi="Times New Roman" w:eastAsia="黑体" w:cs="Times New Roman"/>
          <w:color w:val="auto"/>
          <w:sz w:val="44"/>
          <w:szCs w:val="44"/>
          <w:highlight w:val="none"/>
          <w:lang w:eastAsia="zh-CN"/>
        </w:rPr>
      </w:pPr>
      <w:bookmarkStart w:id="47" w:name="_Toc15396614"/>
      <w:bookmarkStart w:id="48" w:name="_Toc15377226"/>
      <w:r>
        <w:rPr>
          <w:rFonts w:hint="default" w:ascii="Times New Roman" w:hAnsi="Times New Roman" w:eastAsia="黑体" w:cs="Times New Roman"/>
          <w:color w:val="auto"/>
          <w:sz w:val="44"/>
          <w:szCs w:val="44"/>
          <w:highlight w:val="none"/>
          <w:lang w:eastAsia="zh-CN"/>
        </w:rPr>
        <w:br w:type="page"/>
      </w:r>
    </w:p>
    <w:p>
      <w:pPr>
        <w:numPr>
          <w:ilvl w:val="0"/>
          <w:numId w:val="0"/>
        </w:numPr>
        <w:suppressAutoHyphens/>
        <w:bidi w:val="0"/>
        <w:spacing w:line="600" w:lineRule="exact"/>
        <w:jc w:val="center"/>
        <w:outlineLvl w:val="0"/>
        <w:rPr>
          <w:rFonts w:ascii="Times New Roman" w:hAnsi="Times New Roman" w:eastAsia="黑体" w:cs="Times New Roman"/>
          <w:b w:val="0"/>
          <w:color w:val="auto"/>
          <w:highlight w:val="none"/>
        </w:rPr>
      </w:pPr>
      <w:r>
        <w:rPr>
          <w:rFonts w:hint="default" w:ascii="Times New Roman" w:hAnsi="Times New Roman" w:eastAsia="黑体" w:cs="Times New Roman"/>
          <w:color w:val="auto"/>
          <w:sz w:val="44"/>
          <w:szCs w:val="44"/>
          <w:highlight w:val="none"/>
          <w:lang w:eastAsia="zh-CN"/>
        </w:rPr>
        <w:t>第三部分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名</w:t>
      </w:r>
      <w:r>
        <w:rPr>
          <w:rFonts w:hint="default" w:ascii="Times New Roman" w:hAnsi="Times New Roman" w:eastAsia="黑体" w:cs="Times New Roman"/>
          <w:b w:val="0"/>
          <w:bCs/>
          <w:color w:val="auto"/>
          <w:kern w:val="44"/>
          <w:sz w:val="44"/>
          <w:szCs w:val="44"/>
          <w:highlight w:val="none"/>
        </w:rPr>
        <w:t>词解释</w:t>
      </w:r>
    </w:p>
    <w:p>
      <w:pPr>
        <w:suppressAutoHyphens/>
        <w:bidi w:val="0"/>
        <w:spacing w:line="600" w:lineRule="exact"/>
        <w:jc w:val="left"/>
        <w:rPr>
          <w:rFonts w:ascii="Times New Roman" w:hAnsi="Times New Roman" w:eastAsia="宋体" w:cs="Times New Roman"/>
          <w:b/>
          <w:color w:val="auto"/>
          <w:sz w:val="44"/>
          <w:szCs w:val="44"/>
          <w:highlight w:val="none"/>
        </w:rPr>
      </w:pPr>
    </w:p>
    <w:p>
      <w:pPr>
        <w:pageBreakBefore w:val="0"/>
        <w:numPr>
          <w:ilvl w:val="0"/>
          <w:numId w:val="0"/>
        </w:numPr>
        <w:suppressAutoHyphen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财政拨款收入：指单位从同级财政部门取得的财政预算资金。</w:t>
      </w:r>
    </w:p>
    <w:p>
      <w:pPr>
        <w:pageBreakBefore w:val="0"/>
        <w:widowControl w:val="0"/>
        <w:numPr>
          <w:ilvl w:val="0"/>
          <w:numId w:val="0"/>
        </w:numPr>
        <w:suppressAutoHyphen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一般公共服务（类）审计事务（款）行政运行（项）：指反映行政单位（包括实行公务员管理的事业单位）的基本支出。</w:t>
      </w:r>
    </w:p>
    <w:p>
      <w:pPr>
        <w:pageBreakBefore w:val="0"/>
        <w:widowControl w:val="0"/>
        <w:numPr>
          <w:ilvl w:val="0"/>
          <w:numId w:val="0"/>
        </w:numPr>
        <w:suppressAutoHyphen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一般公共服务（类）审计事务（款）审计业务（项）: 指反映审计机构</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专项审计调查、聘请社会审计组织人员及技术专家等方面的支出。</w:t>
      </w:r>
    </w:p>
    <w:p>
      <w:pPr>
        <w:pageBreakBefore w:val="0"/>
        <w:widowControl w:val="0"/>
        <w:numPr>
          <w:ilvl w:val="0"/>
          <w:numId w:val="0"/>
        </w:numPr>
        <w:suppressAutoHyphen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一般公共服务支出（类）审计事务（款）一般行政管理事务（项）：指反映行政单位（包括实行公务员管理的事业单位）未单独设置项级科目的其他项目支出。</w:t>
      </w:r>
    </w:p>
    <w:p>
      <w:pPr>
        <w:pageBreakBefore w:val="0"/>
        <w:widowControl w:val="0"/>
        <w:numPr>
          <w:ilvl w:val="0"/>
          <w:numId w:val="0"/>
        </w:numPr>
        <w:suppressAutoHyphen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一般公共服务支出（类）审计事务（款）事业运行（项）：指反映事业单位的基本支出，不包括行政单位（包括实行公务员管理的事业单位）后勤服务中心、医务室等附属事业单位。</w:t>
      </w:r>
    </w:p>
    <w:p>
      <w:pPr>
        <w:pageBreakBefore w:val="0"/>
        <w:widowControl w:val="0"/>
        <w:numPr>
          <w:ilvl w:val="0"/>
          <w:numId w:val="0"/>
        </w:numPr>
        <w:suppressAutoHyphen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社会保障和就业支出（类）行政事业单位养老支出（款）机关事业单位基本养老保险缴费支出（项）：指反映机关事业单位实施养老保险制度由单位缴纳的基本养老保险费支出。</w:t>
      </w:r>
    </w:p>
    <w:p>
      <w:pPr>
        <w:pageBreakBefore w:val="0"/>
        <w:widowControl w:val="0"/>
        <w:suppressAutoHyphen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color w:val="auto"/>
          <w:lang w:val="en-US" w:eastAsia="zh-CN"/>
        </w:rPr>
      </w:pPr>
      <w:r>
        <w:rPr>
          <w:rFonts w:hint="default" w:ascii="Times New Roman" w:hAnsi="Times New Roman" w:eastAsia="仿宋_GB2312" w:cs="Times New Roman"/>
          <w:color w:val="auto"/>
          <w:sz w:val="32"/>
          <w:szCs w:val="32"/>
          <w:lang w:val="en-US" w:eastAsia="zh-CN"/>
        </w:rPr>
        <w:t>7</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社会保障和就业（类）其他社会保障和就业支出（款）机关事业单位职业年金缴费支出（项）：反映机关事业单位</w:t>
      </w:r>
      <w:r>
        <w:rPr>
          <w:rFonts w:hint="default" w:ascii="Times New Roman" w:hAnsi="Times New Roman" w:eastAsia="仿宋_GB2312" w:cs="Times New Roman"/>
          <w:b w:val="0"/>
          <w:bCs w:val="0"/>
          <w:color w:val="auto"/>
          <w:sz w:val="32"/>
          <w:szCs w:val="32"/>
          <w:lang w:val="en-US" w:eastAsia="zh-CN"/>
        </w:rPr>
        <w:t>实施养老保险制度由单位实际缴纳的职业年金支出（含职业年金补记支出）。</w:t>
      </w:r>
    </w:p>
    <w:p>
      <w:pPr>
        <w:pageBreakBefore w:val="0"/>
        <w:widowControl w:val="0"/>
        <w:numPr>
          <w:ilvl w:val="0"/>
          <w:numId w:val="0"/>
        </w:numPr>
        <w:suppressAutoHyphens/>
        <w:kinsoku/>
        <w:wordWrap/>
        <w:overflowPunct/>
        <w:topLinePunct w:val="0"/>
        <w:autoSpaceDE/>
        <w:autoSpaceDN/>
        <w:bidi w:val="0"/>
        <w:adjustRightInd w:val="0"/>
        <w:snapToGrid/>
        <w:spacing w:line="600" w:lineRule="exact"/>
        <w:ind w:firstLine="640" w:firstLineChars="200"/>
        <w:textAlignment w:val="auto"/>
        <w:outlineLvl w:val="9"/>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8</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社会保障和就业（类）其他社会保障和就业支出（款）其他行政事业单位养老支出（项）：反映除上述项目以外其他用于行政事业单位养老保险方面的支出。</w:t>
      </w:r>
    </w:p>
    <w:p>
      <w:pPr>
        <w:keepNext w:val="0"/>
        <w:keepLines w:val="0"/>
        <w:pageBreakBefore w:val="0"/>
        <w:widowControl w:val="0"/>
        <w:numPr>
          <w:ilvl w:val="-1"/>
          <w:numId w:val="0"/>
        </w:numPr>
        <w:suppressAutoHyphens/>
        <w:kinsoku/>
        <w:wordWrap/>
        <w:overflowPunct/>
        <w:topLinePunct w:val="0"/>
        <w:autoSpaceDE/>
        <w:autoSpaceDN/>
        <w:bidi w:val="0"/>
        <w:adjustRightInd w:val="0"/>
        <w:snapToGrid w:val="0"/>
        <w:spacing w:line="600" w:lineRule="exact"/>
        <w:ind w:firstLine="640" w:firstLineChars="200"/>
        <w:textAlignment w:val="auto"/>
        <w:outlineLvl w:val="9"/>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9.</w:t>
      </w:r>
      <w:r>
        <w:rPr>
          <w:rFonts w:hint="default" w:ascii="Times New Roman" w:hAnsi="Times New Roman" w:eastAsia="仿宋_GB2312" w:cs="Times New Roman"/>
          <w:b w:val="0"/>
          <w:bCs w:val="0"/>
          <w:color w:val="auto"/>
          <w:sz w:val="32"/>
          <w:szCs w:val="32"/>
          <w:lang w:val="en-US" w:eastAsia="zh-CN"/>
        </w:rPr>
        <w:t>社会保障和就业（类）其他社会保障和就业支出（款）其他社会保障和就业支出（项）：指反映除上述项目以外其他用于社会保障和就业方面的支出。</w:t>
      </w:r>
    </w:p>
    <w:p>
      <w:pPr>
        <w:keepNext w:val="0"/>
        <w:keepLines w:val="0"/>
        <w:pageBreakBefore w:val="0"/>
        <w:widowControl w:val="0"/>
        <w:numPr>
          <w:ilvl w:val="-1"/>
          <w:numId w:val="0"/>
        </w:numPr>
        <w:kinsoku/>
        <w:wordWrap/>
        <w:overflowPunct/>
        <w:topLinePunct w:val="0"/>
        <w:autoSpaceDE/>
        <w:autoSpaceDN/>
        <w:bidi w:val="0"/>
        <w:adjustRightInd w:val="0"/>
        <w:snapToGrid w:val="0"/>
        <w:spacing w:before="0" w:after="0" w:line="600" w:lineRule="exact"/>
        <w:ind w:left="0" w:leftChars="0" w:firstLine="640" w:firstLineChars="200"/>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10.</w:t>
      </w:r>
      <w:r>
        <w:rPr>
          <w:rFonts w:hint="default" w:ascii="Times New Roman" w:hAnsi="Times New Roman" w:eastAsia="仿宋_GB2312" w:cs="Times New Roman"/>
          <w:b w:val="0"/>
          <w:bCs w:val="0"/>
          <w:color w:val="auto"/>
          <w:kern w:val="2"/>
          <w:sz w:val="32"/>
          <w:szCs w:val="32"/>
          <w:highlight w:val="none"/>
          <w:lang w:val="en-US" w:eastAsia="zh-CN" w:bidi="ar-SA"/>
        </w:rPr>
        <w:t>卫生健康（类）行政事业单位医疗（款）行政单位医疗（项）：</w:t>
      </w:r>
      <w:r>
        <w:rPr>
          <w:rFonts w:hint="default" w:ascii="Times New Roman" w:hAnsi="Times New Roman" w:eastAsia="仿宋_GB2312" w:cs="Times New Roman"/>
          <w:b w:val="0"/>
          <w:bCs w:val="0"/>
          <w:kern w:val="2"/>
          <w:sz w:val="32"/>
          <w:szCs w:val="32"/>
          <w:lang w:val="en-US" w:eastAsia="zh-CN" w:bidi="ar-SA"/>
        </w:rPr>
        <w:t>反映财政部门安排的行政单位（包括实行公务员管理的事业单位）基本医疗保险缴费经费，未参加医疗保险的行政单位的公费医疗经费，按国家规定享受离休人员、红军老战士待遇人员的医疗经费。</w:t>
      </w:r>
    </w:p>
    <w:p>
      <w:pPr>
        <w:keepNext w:val="0"/>
        <w:keepLines w:val="0"/>
        <w:pageBreakBefore w:val="0"/>
        <w:widowControl w:val="0"/>
        <w:numPr>
          <w:ilvl w:val="-1"/>
          <w:numId w:val="0"/>
        </w:numPr>
        <w:kinsoku/>
        <w:wordWrap/>
        <w:overflowPunct/>
        <w:topLinePunct w:val="0"/>
        <w:autoSpaceDE/>
        <w:autoSpaceDN/>
        <w:bidi w:val="0"/>
        <w:adjustRightInd w:val="0"/>
        <w:snapToGrid w:val="0"/>
        <w:spacing w:before="0" w:after="0" w:line="600" w:lineRule="exact"/>
        <w:ind w:left="0" w:leftChars="0" w:firstLine="640" w:firstLineChars="200"/>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11.</w:t>
      </w:r>
      <w:r>
        <w:rPr>
          <w:rFonts w:hint="default" w:ascii="Times New Roman" w:hAnsi="Times New Roman" w:eastAsia="仿宋_GB2312" w:cs="Times New Roman"/>
          <w:b w:val="0"/>
          <w:bCs w:val="0"/>
          <w:color w:val="auto"/>
          <w:kern w:val="2"/>
          <w:sz w:val="32"/>
          <w:szCs w:val="32"/>
          <w:highlight w:val="none"/>
          <w:lang w:val="en-US" w:eastAsia="zh-CN" w:bidi="ar-SA"/>
        </w:rPr>
        <w:t>卫生健康（类）行政事业单位医疗（款）事业单位医疗（项）：</w:t>
      </w:r>
      <w:r>
        <w:rPr>
          <w:rFonts w:hint="default" w:ascii="Times New Roman" w:hAnsi="Times New Roman" w:eastAsia="仿宋_GB2312" w:cs="Times New Roman"/>
          <w:b w:val="0"/>
          <w:bCs w:val="0"/>
          <w:kern w:val="2"/>
          <w:sz w:val="32"/>
          <w:szCs w:val="32"/>
          <w:lang w:val="en-US" w:eastAsia="zh-CN" w:bidi="ar-SA"/>
        </w:rPr>
        <w:t>反映财政部门安排的事业单位基本医疗保险缴费经费，未参加医疗保险的事业单位的公费医疗经费，按国家规定享受离休人员待遇的医疗经费。</w:t>
      </w:r>
    </w:p>
    <w:p>
      <w:pPr>
        <w:keepNext w:val="0"/>
        <w:keepLines w:val="0"/>
        <w:pageBreakBefore w:val="0"/>
        <w:widowControl w:val="0"/>
        <w:numPr>
          <w:ilvl w:val="-1"/>
          <w:numId w:val="0"/>
        </w:numPr>
        <w:kinsoku/>
        <w:wordWrap/>
        <w:overflowPunct/>
        <w:topLinePunct w:val="0"/>
        <w:autoSpaceDE/>
        <w:autoSpaceDN/>
        <w:bidi w:val="0"/>
        <w:adjustRightInd w:val="0"/>
        <w:snapToGrid w:val="0"/>
        <w:spacing w:before="0" w:after="0" w:line="600" w:lineRule="exact"/>
        <w:ind w:left="0" w:leftChars="0" w:firstLine="640" w:firstLineChars="200"/>
        <w:jc w:val="left"/>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12.</w:t>
      </w:r>
      <w:r>
        <w:rPr>
          <w:rFonts w:hint="default" w:ascii="Times New Roman" w:hAnsi="Times New Roman" w:eastAsia="仿宋_GB2312" w:cs="Times New Roman"/>
          <w:b w:val="0"/>
          <w:bCs w:val="0"/>
          <w:color w:val="auto"/>
          <w:kern w:val="2"/>
          <w:sz w:val="32"/>
          <w:szCs w:val="32"/>
          <w:highlight w:val="none"/>
          <w:lang w:val="en-US" w:eastAsia="zh-CN" w:bidi="ar-SA"/>
        </w:rPr>
        <w:t xml:space="preserve">卫生健康（类）行政事业单位医疗（款）公务员医疗补助（项）：反映财政部门安排的公务员医疗补助经费。  </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600" w:lineRule="exact"/>
        <w:ind w:firstLine="640" w:firstLineChars="200"/>
        <w:jc w:val="left"/>
        <w:textAlignment w:val="auto"/>
        <w:outlineLvl w:val="9"/>
        <w:rPr>
          <w:rFonts w:hint="default" w:ascii="Times New Roman" w:hAnsi="Times New Roman" w:eastAsia="黑体" w:cs="Times New Roman"/>
          <w:b/>
          <w:kern w:val="2"/>
          <w:sz w:val="24"/>
          <w:szCs w:val="28"/>
          <w:lang w:val="en-US" w:eastAsia="zh-CN" w:bidi="ar-SA"/>
        </w:rPr>
      </w:pPr>
      <w:r>
        <w:rPr>
          <w:rFonts w:hint="default" w:ascii="Times New Roman" w:hAnsi="Times New Roman" w:eastAsia="仿宋_GB2312" w:cs="Times New Roman"/>
          <w:b w:val="0"/>
          <w:bCs w:val="0"/>
          <w:kern w:val="2"/>
          <w:sz w:val="32"/>
          <w:szCs w:val="32"/>
          <w:lang w:val="en-US" w:eastAsia="zh-CN" w:bidi="ar-SA"/>
        </w:rPr>
        <w:t>13</w:t>
      </w:r>
      <w:r>
        <w:rPr>
          <w:rFonts w:hint="eastAsia" w:ascii="Times New Roman" w:hAnsi="Times New Roman" w:eastAsia="仿宋_GB2312" w:cs="Times New Roman"/>
          <w:b w:val="0"/>
          <w:bCs w:val="0"/>
          <w:kern w:val="2"/>
          <w:sz w:val="32"/>
          <w:szCs w:val="32"/>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农林水支出（类）农业农村（款）其他农业农村支出（项）：反映其他项级科目支出意外的其他用于农业农村方面的支出。</w:t>
      </w:r>
    </w:p>
    <w:p>
      <w:pPr>
        <w:pageBreakBefore w:val="0"/>
        <w:widowControl w:val="0"/>
        <w:suppressAutoHyphen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sz w:val="32"/>
          <w:szCs w:val="32"/>
          <w:lang w:val="en-US" w:eastAsia="zh-CN"/>
        </w:rPr>
        <w:t>14</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住房保障支出（类）住房改革支出（款）住房公积金（项）:行政事业单位按人力资源和社会保障部、财政部规定的基本工资和津贴补贴以及规定比例为职工缴纳的住房公积金。</w:t>
      </w:r>
      <w:r>
        <w:rPr>
          <w:rFonts w:hint="default" w:ascii="Times New Roman" w:hAnsi="Times New Roman" w:eastAsia="仿宋_GB2312" w:cs="Times New Roman"/>
          <w:b w:val="0"/>
          <w:bCs w:val="0"/>
          <w:color w:val="auto"/>
          <w:sz w:val="32"/>
          <w:szCs w:val="32"/>
          <w:lang w:val="en-US" w:eastAsia="zh-CN"/>
        </w:rPr>
        <w:br w:type="textWrapping"/>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kern w:val="2"/>
          <w:sz w:val="32"/>
          <w:szCs w:val="32"/>
          <w:highlight w:val="none"/>
          <w:lang w:val="en-US" w:eastAsia="zh-CN" w:bidi="ar-SA"/>
        </w:rPr>
        <w:t>15</w:t>
      </w:r>
      <w:r>
        <w:rPr>
          <w:rFonts w:hint="eastAsia" w:ascii="Times New Roman" w:hAnsi="Times New Roman" w:eastAsia="仿宋_GB2312"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基本支出：指为保障机构正常运转、完成日常工作任务而发生的人员支出和公用支出。</w:t>
      </w:r>
    </w:p>
    <w:p>
      <w:pPr>
        <w:pageBreakBefore w:val="0"/>
        <w:widowControl w:val="0"/>
        <w:suppressAutoHyphen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16</w:t>
      </w:r>
      <w:r>
        <w:rPr>
          <w:rFonts w:hint="eastAsia" w:ascii="Times New Roman" w:hAnsi="Times New Roman" w:eastAsia="仿宋_GB2312"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 xml:space="preserve">项目支出：指在基本支出之外为完成特定行政任务和事业发展目标所发生的支出。 </w:t>
      </w:r>
    </w:p>
    <w:p>
      <w:pPr>
        <w:pageBreakBefore w:val="0"/>
        <w:widowControl w:val="0"/>
        <w:suppressAutoHyphen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17</w:t>
      </w:r>
      <w:r>
        <w:rPr>
          <w:rFonts w:hint="eastAsia" w:ascii="Times New Roman" w:hAnsi="Times New Roman" w:eastAsia="仿宋_GB2312"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政府性基金预算支出：指财政预算部门用政府性基金预算收入安排的支出。包括工业交通部门基金支出、农业部门基金支出、商贸部门基金支出、文教部门基金支出、社会保障基金支出、其他部门基金支出和地方财政税费附加支出等。</w:t>
      </w:r>
    </w:p>
    <w:p>
      <w:pPr>
        <w:pageBreakBefore w:val="0"/>
        <w:widowControl w:val="0"/>
        <w:suppressAutoHyphens/>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18</w:t>
      </w:r>
      <w:r>
        <w:rPr>
          <w:rFonts w:hint="eastAsia" w:ascii="Times New Roman" w:hAnsi="Times New Roman" w:eastAsia="仿宋_GB2312"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uppressAutoHyphens/>
        <w:bidi w:val="0"/>
        <w:ind w:firstLine="640" w:firstLineChars="200"/>
        <w:rPr>
          <w:rFonts w:hint="default" w:ascii="Times New Roman" w:hAnsi="Times New Roman" w:eastAsia="黑体" w:cs="Times New Roman"/>
          <w:color w:val="auto"/>
          <w:sz w:val="44"/>
          <w:szCs w:val="44"/>
          <w:highlight w:val="none"/>
        </w:rPr>
      </w:pPr>
      <w:r>
        <w:rPr>
          <w:rFonts w:hint="default" w:ascii="Times New Roman" w:hAnsi="Times New Roman" w:eastAsia="仿宋_GB2312" w:cs="Times New Roman"/>
          <w:color w:val="auto"/>
          <w:kern w:val="2"/>
          <w:sz w:val="32"/>
          <w:szCs w:val="32"/>
          <w:highlight w:val="none"/>
          <w:lang w:val="en-US" w:eastAsia="zh-CN" w:bidi="ar-SA"/>
        </w:rPr>
        <w:t>19</w:t>
      </w:r>
      <w:r>
        <w:rPr>
          <w:rFonts w:hint="eastAsia"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both"/>
        <w:rPr>
          <w:rFonts w:hint="default" w:ascii="Times New Roman" w:hAnsi="Times New Roman" w:eastAsia="黑体" w:cs="Times New Roman"/>
          <w:color w:val="auto"/>
          <w:kern w:val="0"/>
          <w:sz w:val="32"/>
          <w:szCs w:val="32"/>
          <w:highlight w:val="none"/>
          <w:shd w:val="clear" w:color="auto" w:fill="FFFFFF"/>
          <w:lang w:val="zh-CN"/>
        </w:rPr>
      </w:pPr>
      <w:r>
        <w:rPr>
          <w:rFonts w:hint="default" w:ascii="Times New Roman" w:hAnsi="Times New Roman" w:eastAsia="黑体" w:cs="Times New Roman"/>
          <w:color w:val="auto"/>
          <w:kern w:val="0"/>
          <w:sz w:val="32"/>
          <w:szCs w:val="32"/>
          <w:highlight w:val="none"/>
          <w:shd w:val="clear" w:color="auto" w:fill="FFFFFF"/>
          <w:lang w:val="zh-CN"/>
        </w:rPr>
        <w:br w:type="page"/>
      </w:r>
    </w:p>
    <w:p>
      <w:pPr>
        <w:spacing w:line="600" w:lineRule="exact"/>
        <w:jc w:val="center"/>
        <w:rPr>
          <w:rStyle w:val="29"/>
          <w:rFonts w:hint="default" w:ascii="Times New Roman" w:hAnsi="Times New Roman" w:eastAsia="黑体"/>
          <w:b w:val="0"/>
          <w:color w:val="auto"/>
          <w:highlight w:val="none"/>
          <w:lang w:eastAsia="zh-CN"/>
        </w:rPr>
      </w:pPr>
      <w:r>
        <w:rPr>
          <w:rFonts w:hint="default" w:ascii="Times New Roman" w:hAnsi="Times New Roman" w:eastAsia="黑体"/>
          <w:color w:val="auto"/>
          <w:sz w:val="44"/>
          <w:szCs w:val="44"/>
          <w:highlight w:val="none"/>
        </w:rPr>
        <w:t>第四部分</w:t>
      </w:r>
      <w:r>
        <w:rPr>
          <w:rFonts w:hint="default" w:ascii="Times New Roman" w:hAnsi="Times New Roman" w:eastAsia="黑体"/>
          <w:color w:val="auto"/>
          <w:sz w:val="44"/>
          <w:szCs w:val="44"/>
          <w:highlight w:val="none"/>
          <w:lang w:val="en-US" w:eastAsia="zh-CN"/>
        </w:rPr>
        <w:t xml:space="preserve"> </w:t>
      </w:r>
      <w:r>
        <w:rPr>
          <w:rFonts w:hint="default" w:ascii="Times New Roman" w:hAnsi="Times New Roman" w:eastAsia="黑体"/>
          <w:color w:val="auto"/>
          <w:sz w:val="44"/>
          <w:szCs w:val="44"/>
          <w:highlight w:val="none"/>
        </w:rPr>
        <w:t xml:space="preserve"> 附件</w:t>
      </w:r>
      <w:bookmarkEnd w:id="47"/>
    </w:p>
    <w:p>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Times New Roman"/>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Times New Roman"/>
          <w:color w:val="auto"/>
          <w:sz w:val="44"/>
          <w:szCs w:val="44"/>
          <w:highlight w:val="none"/>
          <w:lang w:val="en-US" w:eastAsia="zh-CN"/>
        </w:rPr>
      </w:pPr>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default"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pPr>
        <w:widowControl/>
        <w:adjustRightInd w:val="0"/>
        <w:snapToGrid w:val="0"/>
        <w:spacing w:line="578" w:lineRule="exact"/>
        <w:contextualSpacing/>
        <w:jc w:val="left"/>
        <w:rPr>
          <w:rFonts w:ascii="Times New Roman" w:hAnsi="Times New Roman" w:eastAsia="黑体" w:cs="Times New Roman"/>
          <w:color w:val="000000"/>
          <w:kern w:val="0"/>
          <w:sz w:val="24"/>
          <w:szCs w:val="32"/>
          <w:shd w:val="clear" w:color="auto" w:fill="FFFFFF"/>
        </w:rPr>
      </w:pPr>
    </w:p>
    <w:p>
      <w:pPr>
        <w:widowControl/>
        <w:spacing w:line="600" w:lineRule="exact"/>
        <w:ind w:firstLine="640" w:firstLineChars="200"/>
        <w:contextualSpacing/>
        <w:rPr>
          <w:rFonts w:ascii="Times New Roman" w:hAnsi="Times New Roman" w:eastAsia="仿宋_GB2312" w:cs="Times New Roman"/>
          <w:sz w:val="32"/>
          <w:szCs w:val="32"/>
        </w:rPr>
      </w:pPr>
      <w:r>
        <w:rPr>
          <w:rFonts w:ascii="Times New Roman" w:hAnsi="Times New Roman" w:eastAsia="黑体" w:cs="Times New Roman"/>
          <w:color w:val="000000"/>
          <w:kern w:val="0"/>
          <w:sz w:val="32"/>
          <w:szCs w:val="32"/>
          <w:shd w:val="clear" w:color="auto" w:fill="FFFFFF"/>
          <w:lang w:val="zh-CN"/>
        </w:rPr>
        <w:t>一、部门基本情况</w:t>
      </w:r>
    </w:p>
    <w:p>
      <w:pPr>
        <w:snapToGrid w:val="0"/>
        <w:spacing w:line="600" w:lineRule="exact"/>
        <w:ind w:firstLine="640" w:firstLineChars="200"/>
        <w:rPr>
          <w:rFonts w:ascii="Times New Roman" w:hAnsi="Times New Roman" w:eastAsia="楷体_GB2312" w:cs="Times New Roman"/>
          <w:b/>
          <w:bCs/>
          <w:color w:val="000000"/>
          <w:kern w:val="0"/>
          <w:sz w:val="32"/>
          <w:szCs w:val="32"/>
          <w:shd w:val="clear" w:color="auto" w:fill="FFFFFF"/>
          <w:lang w:val="zh-CN"/>
        </w:rPr>
      </w:pPr>
      <w:r>
        <w:rPr>
          <w:rFonts w:hint="default" w:eastAsia="楷体_GB2312" w:cs="Times New Roman"/>
          <w:b w:val="0"/>
          <w:bCs w:val="0"/>
          <w:color w:val="000000"/>
          <w:kern w:val="0"/>
          <w:sz w:val="32"/>
          <w:szCs w:val="32"/>
          <w:shd w:val="clear" w:color="auto" w:fill="FFFFFF"/>
          <w:lang w:val="zh-CN" w:eastAsia="zh-CN"/>
        </w:rPr>
        <w:t>（一）</w:t>
      </w:r>
      <w:r>
        <w:rPr>
          <w:rFonts w:hint="default" w:ascii="Times New Roman" w:hAnsi="Times New Roman" w:eastAsia="楷体_GB2312" w:cs="Times New Roman"/>
          <w:b w:val="0"/>
          <w:bCs w:val="0"/>
          <w:color w:val="000000"/>
          <w:kern w:val="0"/>
          <w:sz w:val="32"/>
          <w:szCs w:val="32"/>
          <w:shd w:val="clear" w:color="auto" w:fill="FFFFFF"/>
          <w:lang w:val="zh-CN" w:eastAsia="zh-CN"/>
        </w:rPr>
        <w:t>机构</w:t>
      </w:r>
      <w:r>
        <w:rPr>
          <w:rFonts w:hint="default" w:eastAsia="楷体_GB2312" w:cs="Times New Roman"/>
          <w:b w:val="0"/>
          <w:bCs w:val="0"/>
          <w:color w:val="000000"/>
          <w:kern w:val="0"/>
          <w:sz w:val="32"/>
          <w:szCs w:val="32"/>
          <w:shd w:val="clear" w:color="auto" w:fill="FFFFFF"/>
          <w:lang w:val="zh-CN" w:eastAsia="zh-CN"/>
        </w:rPr>
        <w:t>组成</w:t>
      </w:r>
    </w:p>
    <w:p>
      <w:pPr>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kern w:val="0"/>
          <w:sz w:val="32"/>
          <w:szCs w:val="32"/>
          <w:shd w:val="clear" w:color="auto" w:fill="FFFFFF"/>
        </w:rPr>
        <w:t>沐川县审计局为财政一级预算单位，下属事业单位一个，即：沐川县审计中心。县审计局设4个内设机构，分别为：办公室、政府投资工程审计股、经济责任与资源环境审计股、财政行政事业审计股。</w:t>
      </w:r>
    </w:p>
    <w:p>
      <w:pPr>
        <w:widowControl/>
        <w:numPr>
          <w:ilvl w:val="0"/>
          <w:numId w:val="0"/>
        </w:numPr>
        <w:spacing w:line="600" w:lineRule="exact"/>
        <w:ind w:firstLine="640" w:firstLineChars="200"/>
        <w:contextualSpacing/>
        <w:rPr>
          <w:rFonts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val="0"/>
          <w:bCs w:val="0"/>
          <w:color w:val="000000"/>
          <w:kern w:val="0"/>
          <w:sz w:val="32"/>
          <w:szCs w:val="32"/>
          <w:shd w:val="clear" w:color="auto" w:fill="FFFFFF"/>
          <w:lang w:val="en-US" w:eastAsia="zh-CN"/>
        </w:rPr>
        <w:t>（二）机构职能</w:t>
      </w:r>
    </w:p>
    <w:p>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沐川县审计局为县政府工作部门，主要履行如下职能：</w:t>
      </w:r>
    </w:p>
    <w:p>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主管全县审计工作。负责对县级财政收支和法律法规规定属于审计监督范围的财务收支的真实、合法和效益进行审计监督。对公共资金、国有资产、国有资源和领导干部履行经济责任情况实行审计全覆盖，对领导干部实行自然资源资产离任审计。对国家、省、市、县有关重大政策措施贯彻落实情况进行跟踪审计。对审计、专项审计调查和核查社会审计机构相关审计报告的结果承担责任，并负有督促被审计单位整改的责任。</w:t>
      </w:r>
    </w:p>
    <w:p>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贯彻执行国家、省、市有关审计工作的方针、政策和法律法规。拟订全县有关审计工作规范性文件。制定并组织实施全县专业领域审计工作规划。参与拟订财政经济及相关规范性文件。对直接审计、调查和核查的事项依法进行审计评价，作出审计决定或提出审计建议。</w:t>
      </w:r>
    </w:p>
    <w:p>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向县委审计委员会提出年度县级预算执行和其他财政支出情况审计报告。向县政府和市审计局提出年度县级预算执行和其他财政收支情况的审计结果报告。受县政府委托向县人大常委会提出县级预算执行和其他财政收支情况的审计工作报告、审计查出问题整改情况报告。向县委、县政府报告对其他事项的审计和专项审计调查情况及结果。依法向社会公布审计结果。向县委、县政府有关部门、乡（镇）党委政府通报审计情况和审计结果。</w:t>
      </w:r>
    </w:p>
    <w:p>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4.直接审计下列事项，出具审计报告，在法定职权范围内作出审计决定，包括:</w:t>
      </w:r>
    </w:p>
    <w:p>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（1）国家、省、市、县有关重大政策措施贯彻落实情况。</w:t>
      </w:r>
    </w:p>
    <w:p>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（2）县级预算执行情况和其他财政收支，县委和县政府各部门（含直属单位)预算执行情况、决算草案和其他财政收支。</w:t>
      </w:r>
    </w:p>
    <w:p>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（3）乡（镇）人民政府预算的执行情况、决算草案和其他财政收支，县级财政转移支付资金。</w:t>
      </w:r>
    </w:p>
    <w:p>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（4）使用县级财政资金的事业单位（含直属单位）和社会团体的财务收支。</w:t>
      </w:r>
    </w:p>
    <w:p>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（5）县级政府投资和以县级政府投资为主的建设项目的预算执行情况和决算，县级重大公共工程项目的资金管理使用和建设运营情况。</w:t>
      </w:r>
    </w:p>
    <w:p>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（6）自然资源管理、污染防治和生态保护与修复情况。</w:t>
      </w:r>
    </w:p>
    <w:p>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（7）县属国有企业和地方金融机构、国有资本占控股或主导地位的企业和金融机构境内外资产、负债和损益，县政府部门驻外非经营性机构的财务收支。</w:t>
      </w:r>
    </w:p>
    <w:p>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（8）有关社会保障基金、社会捐赠资金、安全生产和职业健康财政资金以及其他基金、资金的财务收支。</w:t>
      </w:r>
    </w:p>
    <w:p>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（9）国际组织和外国政府援助、贷款项目。</w:t>
      </w:r>
    </w:p>
    <w:p>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（10）法律法规规定的其他事项。</w:t>
      </w:r>
    </w:p>
    <w:p>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5.按规定对县管党政主要领导干部及其他单位主要负责人实施经济责任审计和自然资源资产离任审计，对国有企事业单位主要负责人实施经济责任审计，负责国有企业监事会相关工作。</w:t>
      </w:r>
    </w:p>
    <w:p>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6.组织实施对国家财经法律法规、规章、政策和宏观调控措施执行情况、财政预算管理及国有资产管理使用等与县级财政收支有关的特定事项进行专项审计调查。对全县预算执行情况和其他财政收支情况进行监督检查；对全县重大项目进行稽查。</w:t>
      </w:r>
    </w:p>
    <w:p>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7.依法检查审计决定执行情况，督促整改审计查出的问题，依法办理被审计单位对审计决定提请行政复议、行政诉讼或县政府裁决中的有关事项，协助配合有关部门查处相关重大案件。</w:t>
      </w:r>
    </w:p>
    <w:p>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8.指导和监督内部审计工作，核查社会审计机构对审计监督对象出具的相关审计报告。</w:t>
      </w:r>
    </w:p>
    <w:p>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9.指导和组织开展信息技术在审计领域的应用。</w:t>
      </w:r>
    </w:p>
    <w:p>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10.负责职责范围内的安全生产和职业健康、生态环境保护等工作。</w:t>
      </w:r>
    </w:p>
    <w:p>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11.完成县委、县政府交办的其他工作。</w:t>
      </w:r>
    </w:p>
    <w:p>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12.职能转变。进一步完善审计管理体制，加强全县审计工作统筹，明晰职能定位，理顺内部职责关系，优化审计资源配置，充实加强一线审计力量。优化审计工作机制，坚持科技强审，完善业务流程，改进工作方式，加强与有关部门的沟通协调，充分调动内部审计和社会审计力量，增强监督合力。</w:t>
      </w:r>
    </w:p>
    <w:p>
      <w:pPr>
        <w:spacing w:line="600" w:lineRule="exact"/>
        <w:ind w:firstLine="640" w:firstLineChars="200"/>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val="0"/>
          <w:bCs w:val="0"/>
          <w:color w:val="000000"/>
          <w:kern w:val="0"/>
          <w:sz w:val="32"/>
          <w:szCs w:val="32"/>
          <w:shd w:val="clear" w:color="auto" w:fill="FFFFFF"/>
          <w:lang w:val="zh-CN"/>
        </w:rPr>
        <w:t>（三）人员概况</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截至202</w:t>
      </w:r>
      <w:r>
        <w:rPr>
          <w:rFonts w:hint="default" w:ascii="Times New Roman" w:hAnsi="Times New Roman" w:eastAsia="仿宋_GB2312" w:cs="Times New Roman"/>
          <w:sz w:val="32"/>
          <w:szCs w:val="32"/>
        </w:rPr>
        <w:t>5</w:t>
      </w:r>
      <w:r>
        <w:rPr>
          <w:rFonts w:ascii="Times New Roman" w:hAnsi="Times New Roman" w:eastAsia="仿宋_GB2312" w:cs="Times New Roman"/>
          <w:sz w:val="32"/>
          <w:szCs w:val="32"/>
        </w:rPr>
        <w:t>年末，县审计局机关核定行政编制9名、</w:t>
      </w:r>
      <w:r>
        <w:rPr>
          <w:rFonts w:ascii="Times New Roman" w:hAnsi="Times New Roman" w:eastAsia="仿宋_GB2312" w:cs="Times New Roman"/>
          <w:sz w:val="32"/>
          <w:szCs w:val="32"/>
          <w:lang w:val="zh-CN"/>
        </w:rPr>
        <w:t>工勤编制1名，实有</w:t>
      </w:r>
      <w:r>
        <w:rPr>
          <w:rFonts w:ascii="Times New Roman" w:hAnsi="Times New Roman" w:eastAsia="仿宋_GB2312" w:cs="Times New Roman"/>
          <w:sz w:val="32"/>
          <w:szCs w:val="32"/>
        </w:rPr>
        <w:t>行政编制人数为</w:t>
      </w:r>
      <w:r>
        <w:rPr>
          <w:rFonts w:hint="default" w:ascii="Times New Roman" w:hAnsi="Times New Roman" w:eastAsia="仿宋_GB2312" w:cs="Times New Roman"/>
          <w:sz w:val="32"/>
          <w:szCs w:val="32"/>
        </w:rPr>
        <w:t>9</w:t>
      </w:r>
      <w:r>
        <w:rPr>
          <w:rFonts w:ascii="Times New Roman" w:hAnsi="Times New Roman" w:eastAsia="仿宋_GB2312" w:cs="Times New Roman"/>
          <w:sz w:val="32"/>
          <w:szCs w:val="32"/>
        </w:rPr>
        <w:t>名、</w:t>
      </w:r>
      <w:r>
        <w:rPr>
          <w:rFonts w:ascii="Times New Roman" w:hAnsi="Times New Roman" w:eastAsia="仿宋_GB2312" w:cs="Times New Roman"/>
          <w:sz w:val="32"/>
          <w:szCs w:val="32"/>
          <w:lang w:val="zh-CN"/>
        </w:rPr>
        <w:t>工勤编制</w:t>
      </w:r>
      <w:r>
        <w:rPr>
          <w:rFonts w:ascii="Times New Roman" w:hAnsi="Times New Roman" w:eastAsia="仿宋_GB2312" w:cs="Times New Roman"/>
          <w:sz w:val="32"/>
          <w:szCs w:val="32"/>
        </w:rPr>
        <w:t>人数为</w:t>
      </w:r>
      <w:r>
        <w:rPr>
          <w:rFonts w:ascii="Times New Roman" w:hAnsi="Times New Roman" w:eastAsia="仿宋_GB2312" w:cs="Times New Roman"/>
          <w:sz w:val="32"/>
          <w:szCs w:val="32"/>
          <w:lang w:val="zh-CN"/>
        </w:rPr>
        <w:t>1名。</w:t>
      </w:r>
      <w:r>
        <w:rPr>
          <w:rFonts w:ascii="Times New Roman" w:hAnsi="Times New Roman" w:eastAsia="仿宋_GB2312" w:cs="Times New Roman"/>
          <w:sz w:val="32"/>
          <w:szCs w:val="32"/>
        </w:rPr>
        <w:t>沐川县审计中心核定事业编制8名，实有事业编制人数为</w:t>
      </w:r>
      <w:r>
        <w:rPr>
          <w:rFonts w:hint="default" w:ascii="Times New Roman" w:hAnsi="Times New Roman" w:eastAsia="仿宋_GB2312" w:cs="Times New Roman"/>
          <w:sz w:val="32"/>
          <w:szCs w:val="32"/>
        </w:rPr>
        <w:t>6</w:t>
      </w:r>
      <w:r>
        <w:rPr>
          <w:rFonts w:ascii="Times New Roman" w:hAnsi="Times New Roman" w:eastAsia="仿宋_GB2312" w:cs="Times New Roman"/>
          <w:sz w:val="32"/>
          <w:szCs w:val="32"/>
        </w:rPr>
        <w:t>名。</w:t>
      </w:r>
    </w:p>
    <w:p>
      <w:pPr>
        <w:widowControl/>
        <w:spacing w:line="600" w:lineRule="exact"/>
        <w:ind w:firstLine="640" w:firstLineChars="200"/>
        <w:contextualSpacing/>
        <w:rPr>
          <w:rFonts w:ascii="Times New Roman" w:hAnsi="Times New Roman" w:eastAsia="黑体" w:cs="Times New Roman"/>
          <w:color w:val="000000"/>
          <w:kern w:val="0"/>
          <w:sz w:val="32"/>
          <w:szCs w:val="32"/>
          <w:shd w:val="clear" w:color="auto" w:fill="FFFFFF"/>
        </w:rPr>
      </w:pPr>
      <w:r>
        <w:rPr>
          <w:rFonts w:ascii="Times New Roman" w:hAnsi="Times New Roman" w:eastAsia="黑体" w:cs="Times New Roman"/>
          <w:color w:val="000000"/>
          <w:kern w:val="0"/>
          <w:sz w:val="32"/>
          <w:szCs w:val="32"/>
          <w:shd w:val="clear" w:color="auto" w:fill="FFFFFF"/>
        </w:rPr>
        <w:t>二、部门资金收支情况</w:t>
      </w:r>
    </w:p>
    <w:p>
      <w:pPr>
        <w:widowControl/>
        <w:spacing w:line="600" w:lineRule="exact"/>
        <w:ind w:firstLine="640" w:firstLineChars="200"/>
        <w:contextualSpacing/>
        <w:rPr>
          <w:rFonts w:ascii="Times New Roman" w:hAnsi="Times New Roman" w:eastAsia="楷体_GB2312" w:cs="Times New Roman"/>
          <w:b w:val="0"/>
          <w:bCs w:val="0"/>
          <w:color w:val="000000"/>
          <w:kern w:val="0"/>
          <w:sz w:val="32"/>
          <w:szCs w:val="32"/>
          <w:shd w:val="clear" w:color="auto" w:fill="FFFFFF"/>
          <w:lang w:val="zh-CN"/>
        </w:rPr>
      </w:pPr>
      <w:r>
        <w:rPr>
          <w:rFonts w:ascii="Times New Roman" w:hAnsi="Times New Roman" w:eastAsia="楷体_GB2312" w:cs="Times New Roman"/>
          <w:b w:val="0"/>
          <w:bCs w:val="0"/>
          <w:color w:val="000000"/>
          <w:kern w:val="0"/>
          <w:sz w:val="32"/>
          <w:szCs w:val="32"/>
          <w:shd w:val="clear" w:color="auto" w:fill="FFFFFF"/>
          <w:lang w:val="zh-CN"/>
        </w:rPr>
        <w:t>（一）收入情况</w:t>
      </w:r>
    </w:p>
    <w:p>
      <w:pPr>
        <w:snapToGrid w:val="0"/>
        <w:spacing w:line="600" w:lineRule="exact"/>
        <w:ind w:firstLine="640" w:firstLineChars="200"/>
        <w:rPr>
          <w:rFonts w:ascii="Times New Roman" w:hAnsi="Times New Roman" w:eastAsia="仿宋_GB2312" w:cs="Times New Roman"/>
          <w:sz w:val="32"/>
          <w:szCs w:val="32"/>
          <w:lang w:val="zh-CN"/>
        </w:rPr>
      </w:pPr>
      <w:r>
        <w:rPr>
          <w:rFonts w:ascii="Times New Roman" w:hAnsi="Times New Roman" w:eastAsia="仿宋_GB2312" w:cs="Times New Roman"/>
          <w:sz w:val="32"/>
          <w:szCs w:val="32"/>
        </w:rPr>
        <w:t>审计</w:t>
      </w:r>
      <w:r>
        <w:rPr>
          <w:rFonts w:ascii="Times New Roman" w:hAnsi="Times New Roman" w:eastAsia="仿宋_GB2312" w:cs="Times New Roman"/>
          <w:sz w:val="32"/>
          <w:szCs w:val="32"/>
          <w:lang w:val="zh-CN"/>
        </w:rPr>
        <w:t>局20</w:t>
      </w:r>
      <w:r>
        <w:rPr>
          <w:rFonts w:ascii="Times New Roman" w:hAnsi="Times New Roman" w:eastAsia="仿宋_GB2312" w:cs="Times New Roman"/>
          <w:sz w:val="32"/>
          <w:szCs w:val="32"/>
        </w:rPr>
        <w:t>2</w:t>
      </w:r>
      <w:r>
        <w:rPr>
          <w:rFonts w:hint="default" w:ascii="Times New Roman" w:hAnsi="Times New Roman" w:eastAsia="仿宋_GB2312" w:cs="Times New Roman"/>
          <w:sz w:val="32"/>
          <w:szCs w:val="32"/>
        </w:rPr>
        <w:t>5</w:t>
      </w:r>
      <w:r>
        <w:rPr>
          <w:rFonts w:ascii="Times New Roman" w:hAnsi="Times New Roman" w:eastAsia="仿宋_GB2312" w:cs="Times New Roman"/>
          <w:sz w:val="32"/>
          <w:szCs w:val="32"/>
          <w:lang w:val="zh-CN"/>
        </w:rPr>
        <w:t>年年初预算收入</w:t>
      </w:r>
      <w:r>
        <w:rPr>
          <w:rFonts w:hint="default" w:ascii="Times New Roman" w:hAnsi="Times New Roman" w:eastAsia="仿宋_GB2312" w:cs="Times New Roman"/>
          <w:sz w:val="32"/>
          <w:szCs w:val="32"/>
        </w:rPr>
        <w:t>275.11</w:t>
      </w:r>
      <w:r>
        <w:rPr>
          <w:rFonts w:ascii="Times New Roman" w:hAnsi="Times New Roman" w:eastAsia="仿宋_GB2312" w:cs="Times New Roman"/>
          <w:sz w:val="32"/>
          <w:szCs w:val="32"/>
          <w:lang w:val="zh-CN"/>
        </w:rPr>
        <w:t>万元，</w:t>
      </w:r>
      <w:r>
        <w:rPr>
          <w:rFonts w:ascii="Times New Roman" w:hAnsi="Times New Roman" w:eastAsia="仿宋_GB2312" w:cs="Times New Roman"/>
          <w:sz w:val="32"/>
          <w:szCs w:val="32"/>
        </w:rPr>
        <w:t>中间调整预算</w:t>
      </w:r>
      <w:r>
        <w:rPr>
          <w:rFonts w:hint="default" w:ascii="Times New Roman" w:hAnsi="Times New Roman" w:eastAsia="仿宋_GB2312" w:cs="Times New Roman"/>
          <w:sz w:val="32"/>
          <w:szCs w:val="32"/>
        </w:rPr>
        <w:t>72.85</w:t>
      </w:r>
      <w:r>
        <w:rPr>
          <w:rFonts w:ascii="Times New Roman" w:hAnsi="Times New Roman" w:eastAsia="仿宋_GB2312" w:cs="Times New Roman"/>
          <w:sz w:val="32"/>
          <w:szCs w:val="32"/>
        </w:rPr>
        <w:t>万元，</w:t>
      </w:r>
      <w:r>
        <w:rPr>
          <w:rFonts w:ascii="Times New Roman" w:hAnsi="Times New Roman" w:eastAsia="仿宋_GB2312" w:cs="Times New Roman"/>
          <w:sz w:val="32"/>
          <w:szCs w:val="32"/>
          <w:lang w:val="zh-CN"/>
        </w:rPr>
        <w:t>202</w:t>
      </w:r>
      <w:r>
        <w:rPr>
          <w:rFonts w:hint="default" w:ascii="Times New Roman" w:hAnsi="Times New Roman" w:eastAsia="仿宋_GB2312" w:cs="Times New Roman"/>
          <w:sz w:val="32"/>
          <w:szCs w:val="32"/>
        </w:rPr>
        <w:t>5</w:t>
      </w:r>
      <w:r>
        <w:rPr>
          <w:rFonts w:ascii="Times New Roman" w:hAnsi="Times New Roman" w:eastAsia="仿宋_GB2312" w:cs="Times New Roman"/>
          <w:sz w:val="32"/>
          <w:szCs w:val="32"/>
          <w:lang w:val="zh-CN"/>
        </w:rPr>
        <w:t>年决算收入</w:t>
      </w:r>
      <w:r>
        <w:rPr>
          <w:rFonts w:hint="default" w:ascii="Times New Roman" w:hAnsi="Times New Roman" w:eastAsia="仿宋_GB2312" w:cs="Times New Roman"/>
          <w:sz w:val="32"/>
          <w:szCs w:val="32"/>
        </w:rPr>
        <w:t>340.01</w:t>
      </w:r>
      <w:r>
        <w:rPr>
          <w:rFonts w:ascii="Times New Roman" w:hAnsi="Times New Roman" w:eastAsia="仿宋_GB2312" w:cs="Times New Roman"/>
          <w:sz w:val="32"/>
          <w:szCs w:val="32"/>
          <w:lang w:val="zh-CN"/>
        </w:rPr>
        <w:t>万元。</w:t>
      </w:r>
    </w:p>
    <w:p>
      <w:pPr>
        <w:snapToGrid w:val="0"/>
        <w:spacing w:line="600" w:lineRule="exact"/>
        <w:ind w:firstLine="640" w:firstLineChars="200"/>
        <w:rPr>
          <w:rFonts w:ascii="Times New Roman" w:hAnsi="Times New Roman" w:eastAsia="楷体_GB2312" w:cs="Times New Roman"/>
          <w:b w:val="0"/>
          <w:bCs w:val="0"/>
          <w:color w:val="000000"/>
          <w:kern w:val="0"/>
          <w:sz w:val="32"/>
          <w:szCs w:val="32"/>
          <w:shd w:val="clear" w:color="auto" w:fill="FFFFFF"/>
          <w:lang w:val="zh-CN"/>
        </w:rPr>
      </w:pPr>
      <w:r>
        <w:rPr>
          <w:rFonts w:ascii="Times New Roman" w:hAnsi="Times New Roman" w:eastAsia="楷体_GB2312" w:cs="Times New Roman"/>
          <w:b w:val="0"/>
          <w:bCs w:val="0"/>
          <w:color w:val="000000"/>
          <w:kern w:val="0"/>
          <w:sz w:val="32"/>
          <w:szCs w:val="32"/>
          <w:shd w:val="clear" w:color="auto" w:fill="FFFFFF"/>
          <w:lang w:val="zh-CN"/>
        </w:rPr>
        <w:t>（</w:t>
      </w:r>
      <w:r>
        <w:rPr>
          <w:rFonts w:ascii="Times New Roman" w:hAnsi="Times New Roman" w:eastAsia="楷体_GB2312" w:cs="Times New Roman"/>
          <w:b w:val="0"/>
          <w:bCs w:val="0"/>
          <w:color w:val="000000"/>
          <w:kern w:val="0"/>
          <w:sz w:val="32"/>
          <w:szCs w:val="32"/>
          <w:shd w:val="clear" w:color="auto" w:fill="FFFFFF"/>
        </w:rPr>
        <w:t>二</w:t>
      </w:r>
      <w:r>
        <w:rPr>
          <w:rFonts w:ascii="Times New Roman" w:hAnsi="Times New Roman" w:eastAsia="楷体_GB2312" w:cs="Times New Roman"/>
          <w:b w:val="0"/>
          <w:bCs w:val="0"/>
          <w:color w:val="000000"/>
          <w:kern w:val="0"/>
          <w:sz w:val="32"/>
          <w:szCs w:val="32"/>
          <w:shd w:val="clear" w:color="auto" w:fill="FFFFFF"/>
          <w:lang w:val="zh-CN"/>
        </w:rPr>
        <w:t>）支出情况</w:t>
      </w:r>
    </w:p>
    <w:p>
      <w:pPr>
        <w:widowControl/>
        <w:adjustRightInd w:val="0"/>
        <w:snapToGrid w:val="0"/>
        <w:spacing w:line="600" w:lineRule="exact"/>
        <w:ind w:firstLine="640" w:firstLineChars="200"/>
        <w:contextualSpacing/>
        <w:jc w:val="left"/>
        <w:rPr>
          <w:rFonts w:ascii="Times New Roman" w:hAnsi="Times New Roman" w:eastAsia="仿宋_GB2312" w:cs="Times New Roman"/>
          <w:color w:val="0000FF"/>
          <w:kern w:val="0"/>
          <w:sz w:val="32"/>
          <w:szCs w:val="32"/>
          <w:shd w:val="clear" w:color="auto" w:fill="FFFFFF"/>
          <w:lang w:val="zh-CN"/>
        </w:rPr>
      </w:pPr>
      <w:r>
        <w:rPr>
          <w:rFonts w:ascii="Times New Roman" w:hAnsi="Times New Roman" w:eastAsia="仿宋_GB2312" w:cs="Times New Roman"/>
          <w:sz w:val="32"/>
          <w:szCs w:val="32"/>
          <w:lang w:val="zh-CN"/>
        </w:rPr>
        <w:t>202</w:t>
      </w:r>
      <w:r>
        <w:rPr>
          <w:rFonts w:hint="default" w:ascii="Times New Roman" w:hAnsi="Times New Roman" w:eastAsia="仿宋_GB2312" w:cs="Times New Roman"/>
          <w:sz w:val="32"/>
          <w:szCs w:val="32"/>
        </w:rPr>
        <w:t>5</w:t>
      </w:r>
      <w:r>
        <w:rPr>
          <w:rFonts w:ascii="Times New Roman" w:hAnsi="Times New Roman" w:eastAsia="仿宋_GB2312" w:cs="Times New Roman"/>
          <w:sz w:val="32"/>
          <w:szCs w:val="32"/>
          <w:lang w:val="zh-CN"/>
        </w:rPr>
        <w:t>年决算支出</w:t>
      </w:r>
      <w:r>
        <w:rPr>
          <w:rFonts w:hint="default" w:ascii="Times New Roman" w:hAnsi="Times New Roman" w:eastAsia="仿宋_GB2312" w:cs="Times New Roman"/>
          <w:sz w:val="32"/>
          <w:szCs w:val="32"/>
        </w:rPr>
        <w:t>340.01</w:t>
      </w:r>
      <w:r>
        <w:rPr>
          <w:rFonts w:ascii="Times New Roman" w:hAnsi="Times New Roman" w:eastAsia="仿宋_GB2312" w:cs="Times New Roman"/>
          <w:sz w:val="32"/>
          <w:szCs w:val="32"/>
          <w:lang w:val="zh-CN"/>
        </w:rPr>
        <w:t>万元，其中：基本支出</w:t>
      </w:r>
      <w:r>
        <w:rPr>
          <w:rFonts w:hint="default" w:ascii="Times New Roman" w:hAnsi="Times New Roman" w:eastAsia="仿宋_GB2312" w:cs="Times New Roman"/>
          <w:sz w:val="32"/>
          <w:szCs w:val="32"/>
        </w:rPr>
        <w:t>330.9</w:t>
      </w:r>
      <w:r>
        <w:rPr>
          <w:rFonts w:ascii="Times New Roman" w:hAnsi="Times New Roman" w:eastAsia="仿宋_GB2312" w:cs="Times New Roman"/>
          <w:sz w:val="32"/>
          <w:szCs w:val="32"/>
          <w:lang w:val="zh-CN"/>
        </w:rPr>
        <w:t>万元，占</w:t>
      </w:r>
      <w:r>
        <w:rPr>
          <w:rFonts w:hint="default" w:ascii="Times New Roman" w:hAnsi="Times New Roman" w:eastAsia="仿宋_GB2312" w:cs="Times New Roman"/>
          <w:sz w:val="32"/>
          <w:szCs w:val="32"/>
        </w:rPr>
        <w:t>97.32</w:t>
      </w:r>
      <w:r>
        <w:rPr>
          <w:rFonts w:ascii="Times New Roman" w:hAnsi="Times New Roman" w:eastAsia="仿宋_GB2312" w:cs="Times New Roman"/>
          <w:sz w:val="32"/>
          <w:szCs w:val="32"/>
          <w:lang w:val="zh-CN"/>
        </w:rPr>
        <w:t>%；项目支</w:t>
      </w:r>
      <w:r>
        <w:rPr>
          <w:rFonts w:hint="default" w:ascii="Times New Roman" w:hAnsi="Times New Roman" w:eastAsia="仿宋_GB2312" w:cs="Times New Roman"/>
          <w:sz w:val="32"/>
          <w:szCs w:val="32"/>
        </w:rPr>
        <w:t>3.55</w:t>
      </w:r>
      <w:r>
        <w:rPr>
          <w:rFonts w:ascii="Times New Roman" w:hAnsi="Times New Roman" w:eastAsia="仿宋_GB2312" w:cs="Times New Roman"/>
          <w:sz w:val="32"/>
          <w:szCs w:val="32"/>
          <w:lang w:val="zh-CN"/>
        </w:rPr>
        <w:t>万元，占</w:t>
      </w:r>
      <w:r>
        <w:rPr>
          <w:rFonts w:hint="default" w:ascii="Times New Roman" w:hAnsi="Times New Roman" w:eastAsia="仿宋_GB2312" w:cs="Times New Roman"/>
          <w:sz w:val="32"/>
          <w:szCs w:val="32"/>
        </w:rPr>
        <w:t>1.04</w:t>
      </w:r>
      <w:r>
        <w:rPr>
          <w:rFonts w:ascii="Times New Roman" w:hAnsi="Times New Roman" w:eastAsia="仿宋_GB2312" w:cs="Times New Roman"/>
          <w:sz w:val="32"/>
          <w:szCs w:val="32"/>
          <w:lang w:val="zh-CN"/>
        </w:rPr>
        <w:t>%。</w:t>
      </w:r>
    </w:p>
    <w:p>
      <w:pPr>
        <w:widowControl/>
        <w:numPr>
          <w:ilvl w:val="0"/>
          <w:numId w:val="2"/>
        </w:numPr>
        <w:spacing w:line="600" w:lineRule="exact"/>
        <w:ind w:firstLine="640" w:firstLineChars="200"/>
        <w:contextualSpacing/>
        <w:rPr>
          <w:rFonts w:ascii="Times New Roman" w:hAnsi="Times New Roman" w:eastAsia="楷体_GB2312" w:cs="Times New Roman"/>
          <w:b w:val="0"/>
          <w:bCs/>
          <w:sz w:val="32"/>
          <w:szCs w:val="32"/>
        </w:rPr>
      </w:pPr>
      <w:r>
        <w:rPr>
          <w:rFonts w:ascii="Times New Roman" w:hAnsi="Times New Roman" w:eastAsia="楷体_GB2312" w:cs="Times New Roman"/>
          <w:b w:val="0"/>
          <w:bCs/>
          <w:sz w:val="32"/>
          <w:szCs w:val="32"/>
        </w:rPr>
        <w:t>结余分配和结转结余情况</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2025年决算支出</w:t>
      </w:r>
      <w:r>
        <w:rPr>
          <w:rFonts w:ascii="Times New Roman" w:hAnsi="Times New Roman" w:eastAsia="仿宋_GB2312" w:cs="Times New Roman"/>
          <w:sz w:val="32"/>
          <w:szCs w:val="32"/>
          <w:lang w:val="zh-CN"/>
        </w:rPr>
        <w:t>年末结转和结余</w:t>
      </w:r>
      <w:r>
        <w:rPr>
          <w:rFonts w:hint="default" w:ascii="Times New Roman" w:hAnsi="Times New Roman" w:eastAsia="仿宋_GB2312" w:cs="Times New Roman"/>
          <w:sz w:val="32"/>
          <w:szCs w:val="32"/>
        </w:rPr>
        <w:t>5.57万元</w:t>
      </w:r>
      <w:r>
        <w:rPr>
          <w:rFonts w:ascii="Times New Roman" w:hAnsi="Times New Roman" w:eastAsia="仿宋_GB2312" w:cs="Times New Roman"/>
          <w:sz w:val="32"/>
          <w:szCs w:val="32"/>
        </w:rPr>
        <w:t>。</w:t>
      </w:r>
    </w:p>
    <w:p>
      <w:pPr>
        <w:widowControl/>
        <w:spacing w:line="600" w:lineRule="exact"/>
        <w:ind w:firstLine="640" w:firstLineChars="200"/>
        <w:contextualSpacing/>
        <w:rPr>
          <w:rFonts w:ascii="Times New Roman" w:hAnsi="Times New Roman" w:eastAsia="黑体" w:cs="Times New Roman"/>
          <w:color w:val="000000" w:themeColor="text1"/>
          <w:kern w:val="0"/>
          <w:sz w:val="32"/>
          <w:szCs w:val="32"/>
          <w:shd w:val="clear" w:color="auto" w:fill="FFFFFF"/>
          <w14:textFill>
            <w14:solidFill>
              <w14:schemeClr w14:val="tx1"/>
            </w14:solidFill>
          </w14:textFill>
        </w:rPr>
      </w:pPr>
      <w:r>
        <w:rPr>
          <w:rFonts w:ascii="Times New Roman" w:hAnsi="Times New Roman" w:eastAsia="黑体" w:cs="Times New Roman"/>
          <w:color w:val="000000"/>
          <w:kern w:val="0"/>
          <w:sz w:val="32"/>
          <w:szCs w:val="32"/>
          <w:shd w:val="clear" w:color="auto" w:fill="FFFFFF"/>
        </w:rPr>
        <w:t>三、部门预算绩效分析</w:t>
      </w:r>
    </w:p>
    <w:p>
      <w:pPr>
        <w:spacing w:line="600" w:lineRule="exact"/>
        <w:ind w:firstLine="640" w:firstLineChars="200"/>
        <w:contextualSpacing/>
        <w:rPr>
          <w:rFonts w:ascii="Times New Roman" w:hAnsi="Times New Roman" w:eastAsia="楷体_GB2312" w:cs="Times New Roman"/>
          <w:b w:val="0"/>
          <w:bCs w:val="0"/>
          <w:color w:val="000000"/>
          <w:kern w:val="0"/>
          <w:sz w:val="32"/>
          <w:szCs w:val="32"/>
          <w:shd w:val="clear" w:color="auto" w:fill="FFFFFF"/>
          <w:lang w:val="zh-CN"/>
        </w:rPr>
      </w:pPr>
      <w:r>
        <w:rPr>
          <w:rFonts w:ascii="Times New Roman" w:hAnsi="Times New Roman" w:eastAsia="楷体_GB2312" w:cs="Times New Roman"/>
          <w:b w:val="0"/>
          <w:bCs w:val="0"/>
          <w:color w:val="000000"/>
          <w:kern w:val="0"/>
          <w:sz w:val="32"/>
          <w:szCs w:val="32"/>
          <w:shd w:val="clear" w:color="auto" w:fill="FFFFFF"/>
          <w:lang w:val="zh-CN"/>
        </w:rPr>
        <w:t>（一）部门预算总体绩效分析</w:t>
      </w:r>
    </w:p>
    <w:p>
      <w:pPr>
        <w:widowControl/>
        <w:adjustRightInd w:val="0"/>
        <w:snapToGrid w:val="0"/>
        <w:spacing w:line="600" w:lineRule="exact"/>
        <w:ind w:firstLine="640" w:firstLineChars="200"/>
        <w:contextualSpacing/>
        <w:jc w:val="both"/>
        <w:rPr>
          <w:rFonts w:ascii="Times New Roman" w:hAnsi="Times New Roman" w:eastAsia="仿宋_GB2312" w:cs="Times New Roman"/>
          <w:sz w:val="32"/>
          <w:lang w:val="zh-CN"/>
        </w:rPr>
      </w:pPr>
      <w:r>
        <w:rPr>
          <w:rFonts w:ascii="Times New Roman" w:hAnsi="Times New Roman" w:eastAsia="仿宋_GB2312" w:cs="Times New Roman"/>
          <w:sz w:val="32"/>
          <w:szCs w:val="32"/>
        </w:rPr>
        <w:t>我单位针对县级财政收支和法律法规规定属于审计监督范围的财务收支的真实、合法和效益进行审计监督。对公共资金、国有资产、国有资源和领导干部履行经济责任情况实行审计全覆盖，对领导干部实行自然资源资产离任审计。对国家、省、市、县有关重大政策措施贯彻落实情况进行跟踪审计。对审计、专项审计调查和核查社会审计机构相关审计报告的结果承担责任，并负有督促被审计单位整改的责任。贯彻执行国家、省、市有关审计工作的方针、政策和法律法规。依法向社会公布审计结果。指导和监督内部审计工作。</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1.履职效能</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rPr>
      </w:pPr>
      <w:r>
        <w:rPr>
          <w:rFonts w:ascii="Times New Roman" w:hAnsi="Times New Roman" w:eastAsia="仿宋_GB2312" w:cs="Times New Roman"/>
          <w:sz w:val="32"/>
          <w:szCs w:val="32"/>
          <w:lang w:val="zh-CN"/>
        </w:rPr>
        <w:t>目标1：</w:t>
      </w:r>
      <w:r>
        <w:rPr>
          <w:rFonts w:ascii="Times New Roman" w:hAnsi="Times New Roman" w:eastAsia="仿宋_GB2312" w:cs="Times New Roman"/>
          <w:sz w:val="32"/>
          <w:szCs w:val="32"/>
        </w:rPr>
        <w:t>数量指标</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三级指标：</w:t>
      </w:r>
      <w:r>
        <w:rPr>
          <w:rFonts w:ascii="Times New Roman" w:hAnsi="Times New Roman" w:eastAsia="仿宋_GB2312" w:cs="Times New Roman"/>
          <w:sz w:val="32"/>
          <w:szCs w:val="32"/>
        </w:rPr>
        <w:t>完成审计项目</w:t>
      </w:r>
      <w:r>
        <w:rPr>
          <w:rFonts w:ascii="Times New Roman" w:hAnsi="Times New Roman" w:eastAsia="仿宋_GB2312" w:cs="Times New Roman"/>
          <w:sz w:val="32"/>
          <w:szCs w:val="32"/>
          <w:lang w:val="zh-CN"/>
        </w:rPr>
        <w:t>≥</w:t>
      </w:r>
      <w:r>
        <w:rPr>
          <w:rFonts w:ascii="Times New Roman" w:hAnsi="Times New Roman" w:eastAsia="仿宋_GB2312" w:cs="Times New Roman"/>
          <w:sz w:val="32"/>
          <w:szCs w:val="32"/>
        </w:rPr>
        <w:t>8个，权重占比20%</w:t>
      </w:r>
      <w:r>
        <w:rPr>
          <w:rFonts w:ascii="Times New Roman" w:hAnsi="Times New Roman" w:eastAsia="仿宋_GB2312" w:cs="Times New Roman"/>
          <w:sz w:val="32"/>
          <w:szCs w:val="32"/>
          <w:lang w:val="zh-CN"/>
        </w:rPr>
        <w:t>。</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rPr>
      </w:pPr>
      <w:r>
        <w:rPr>
          <w:rFonts w:ascii="Times New Roman" w:hAnsi="Times New Roman" w:eastAsia="仿宋_GB2312" w:cs="Times New Roman"/>
          <w:sz w:val="32"/>
          <w:szCs w:val="32"/>
          <w:lang w:val="zh-CN"/>
        </w:rPr>
        <w:t>目标2：</w:t>
      </w:r>
      <w:r>
        <w:rPr>
          <w:rFonts w:ascii="Times New Roman" w:hAnsi="Times New Roman" w:eastAsia="仿宋_GB2312" w:cs="Times New Roman"/>
          <w:sz w:val="32"/>
          <w:szCs w:val="32"/>
        </w:rPr>
        <w:t>质量指标</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三级指标：</w:t>
      </w:r>
      <w:r>
        <w:rPr>
          <w:rFonts w:ascii="Times New Roman" w:hAnsi="Times New Roman" w:eastAsia="仿宋_GB2312" w:cs="Times New Roman"/>
          <w:sz w:val="32"/>
          <w:szCs w:val="32"/>
        </w:rPr>
        <w:t>审计整改完成率</w:t>
      </w:r>
      <w:r>
        <w:rPr>
          <w:rFonts w:ascii="Times New Roman" w:hAnsi="Times New Roman" w:eastAsia="仿宋_GB2312" w:cs="Times New Roman"/>
          <w:sz w:val="32"/>
          <w:szCs w:val="32"/>
          <w:lang w:val="zh-CN"/>
        </w:rPr>
        <w:t>≥</w:t>
      </w:r>
      <w:r>
        <w:rPr>
          <w:rFonts w:ascii="Times New Roman" w:hAnsi="Times New Roman" w:eastAsia="仿宋_GB2312" w:cs="Times New Roman"/>
          <w:sz w:val="32"/>
          <w:szCs w:val="32"/>
        </w:rPr>
        <w:t>80%，权重占比10%</w:t>
      </w:r>
      <w:r>
        <w:rPr>
          <w:rFonts w:ascii="Times New Roman" w:hAnsi="Times New Roman" w:eastAsia="仿宋_GB2312" w:cs="Times New Roman"/>
          <w:sz w:val="32"/>
          <w:szCs w:val="32"/>
          <w:lang w:val="zh-CN"/>
        </w:rPr>
        <w:t>。</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rPr>
      </w:pPr>
      <w:r>
        <w:rPr>
          <w:rFonts w:ascii="Times New Roman" w:hAnsi="Times New Roman" w:eastAsia="仿宋_GB2312" w:cs="Times New Roman"/>
          <w:sz w:val="32"/>
          <w:szCs w:val="32"/>
          <w:lang w:val="zh-CN"/>
        </w:rPr>
        <w:t>目标</w:t>
      </w:r>
      <w:r>
        <w:rPr>
          <w:rFonts w:ascii="Times New Roman" w:hAnsi="Times New Roman" w:eastAsia="仿宋_GB2312" w:cs="Times New Roman"/>
          <w:sz w:val="32"/>
          <w:szCs w:val="32"/>
        </w:rPr>
        <w:t>3</w:t>
      </w:r>
      <w:r>
        <w:rPr>
          <w:rFonts w:ascii="Times New Roman" w:hAnsi="Times New Roman" w:eastAsia="仿宋_GB2312" w:cs="Times New Roman"/>
          <w:sz w:val="32"/>
          <w:szCs w:val="32"/>
          <w:lang w:val="zh-CN"/>
        </w:rPr>
        <w:t>：</w:t>
      </w:r>
      <w:r>
        <w:rPr>
          <w:rFonts w:ascii="Times New Roman" w:hAnsi="Times New Roman" w:eastAsia="仿宋_GB2312" w:cs="Times New Roman"/>
          <w:sz w:val="32"/>
          <w:szCs w:val="32"/>
        </w:rPr>
        <w:t>成本指标</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lang w:val="zh-CN"/>
        </w:rPr>
      </w:pPr>
      <w:r>
        <w:rPr>
          <w:rFonts w:ascii="Times New Roman" w:hAnsi="Times New Roman" w:eastAsia="仿宋_GB2312" w:cs="Times New Roman"/>
          <w:sz w:val="32"/>
          <w:szCs w:val="32"/>
          <w:lang w:val="zh-CN"/>
        </w:rPr>
        <w:t>三级指标：</w:t>
      </w:r>
      <w:r>
        <w:rPr>
          <w:rFonts w:ascii="Times New Roman" w:hAnsi="Times New Roman" w:eastAsia="仿宋_GB2312" w:cs="Times New Roman"/>
          <w:sz w:val="32"/>
          <w:szCs w:val="32"/>
        </w:rPr>
        <w:t>成本控制在预算内定性高中低，实际完成指标值高，权重20%。</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rPr>
      </w:pPr>
      <w:r>
        <w:rPr>
          <w:rFonts w:ascii="Times New Roman" w:hAnsi="Times New Roman" w:eastAsia="仿宋_GB2312" w:cs="Times New Roman"/>
          <w:sz w:val="32"/>
          <w:szCs w:val="32"/>
          <w:lang w:val="zh-CN"/>
        </w:rPr>
        <w:t>目标</w:t>
      </w:r>
      <w:r>
        <w:rPr>
          <w:rFonts w:ascii="Times New Roman" w:hAnsi="Times New Roman" w:eastAsia="仿宋_GB2312" w:cs="Times New Roman"/>
          <w:sz w:val="32"/>
          <w:szCs w:val="32"/>
        </w:rPr>
        <w:t>4</w:t>
      </w:r>
      <w:r>
        <w:rPr>
          <w:rFonts w:ascii="Times New Roman" w:hAnsi="Times New Roman" w:eastAsia="仿宋_GB2312" w:cs="Times New Roman"/>
          <w:sz w:val="32"/>
          <w:szCs w:val="32"/>
          <w:lang w:val="zh-CN"/>
        </w:rPr>
        <w:t>：</w:t>
      </w:r>
      <w:r>
        <w:rPr>
          <w:rFonts w:ascii="Times New Roman" w:hAnsi="Times New Roman" w:eastAsia="仿宋_GB2312" w:cs="Times New Roman"/>
          <w:sz w:val="32"/>
          <w:szCs w:val="32"/>
        </w:rPr>
        <w:t>时效指标</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rPr>
      </w:pPr>
      <w:r>
        <w:rPr>
          <w:rFonts w:ascii="Times New Roman" w:hAnsi="Times New Roman" w:eastAsia="仿宋_GB2312" w:cs="Times New Roman"/>
          <w:sz w:val="32"/>
          <w:szCs w:val="32"/>
          <w:lang w:val="zh-CN"/>
        </w:rPr>
        <w:t>三级指标：</w:t>
      </w:r>
      <w:r>
        <w:rPr>
          <w:rFonts w:ascii="Times New Roman" w:hAnsi="Times New Roman" w:eastAsia="仿宋_GB2312" w:cs="Times New Roman"/>
          <w:sz w:val="32"/>
          <w:szCs w:val="32"/>
        </w:rPr>
        <w:t>经济事项请示按时办结率</w:t>
      </w:r>
      <w:r>
        <w:rPr>
          <w:rFonts w:ascii="Times New Roman" w:hAnsi="Times New Roman" w:eastAsia="仿宋_GB2312" w:cs="Times New Roman"/>
          <w:sz w:val="32"/>
          <w:szCs w:val="32"/>
          <w:lang w:val="zh-CN"/>
        </w:rPr>
        <w:t>≥</w:t>
      </w:r>
      <w:r>
        <w:rPr>
          <w:rFonts w:ascii="Times New Roman" w:hAnsi="Times New Roman" w:eastAsia="仿宋_GB2312" w:cs="Times New Roman"/>
          <w:sz w:val="32"/>
          <w:szCs w:val="32"/>
        </w:rPr>
        <w:t>90%，权重占比10%；审计项目按年度审计计划完成率</w:t>
      </w:r>
      <w:r>
        <w:rPr>
          <w:rFonts w:ascii="Times New Roman" w:hAnsi="Times New Roman" w:eastAsia="仿宋_GB2312" w:cs="Times New Roman"/>
          <w:sz w:val="32"/>
          <w:szCs w:val="32"/>
          <w:lang w:val="zh-CN"/>
        </w:rPr>
        <w:t>≥</w:t>
      </w:r>
      <w:r>
        <w:rPr>
          <w:rFonts w:ascii="Times New Roman" w:hAnsi="Times New Roman" w:eastAsia="仿宋_GB2312" w:cs="Times New Roman"/>
          <w:sz w:val="32"/>
          <w:szCs w:val="32"/>
        </w:rPr>
        <w:t>90%，权重占比10%。</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rPr>
      </w:pPr>
      <w:r>
        <w:rPr>
          <w:rFonts w:ascii="Times New Roman" w:hAnsi="Times New Roman" w:eastAsia="仿宋_GB2312" w:cs="Times New Roman"/>
          <w:sz w:val="32"/>
          <w:szCs w:val="32"/>
          <w:lang w:val="zh-CN"/>
        </w:rPr>
        <w:t>目标</w:t>
      </w:r>
      <w:r>
        <w:rPr>
          <w:rFonts w:ascii="Times New Roman" w:hAnsi="Times New Roman" w:eastAsia="仿宋_GB2312" w:cs="Times New Roman"/>
          <w:sz w:val="32"/>
          <w:szCs w:val="32"/>
        </w:rPr>
        <w:t>5</w:t>
      </w:r>
      <w:r>
        <w:rPr>
          <w:rFonts w:ascii="Times New Roman" w:hAnsi="Times New Roman" w:eastAsia="仿宋_GB2312" w:cs="Times New Roman"/>
          <w:sz w:val="32"/>
          <w:szCs w:val="32"/>
          <w:lang w:val="zh-CN"/>
        </w:rPr>
        <w:t>：</w:t>
      </w:r>
      <w:r>
        <w:rPr>
          <w:rFonts w:ascii="Times New Roman" w:hAnsi="Times New Roman" w:eastAsia="仿宋_GB2312" w:cs="Times New Roman"/>
          <w:sz w:val="32"/>
          <w:szCs w:val="32"/>
        </w:rPr>
        <w:t>效益指标</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rPr>
      </w:pPr>
      <w:r>
        <w:rPr>
          <w:rFonts w:ascii="Times New Roman" w:hAnsi="Times New Roman" w:eastAsia="仿宋_GB2312" w:cs="Times New Roman"/>
          <w:sz w:val="32"/>
          <w:szCs w:val="32"/>
          <w:lang w:val="zh-CN"/>
        </w:rPr>
        <w:t>三级指标：</w:t>
      </w:r>
      <w:r>
        <w:rPr>
          <w:rFonts w:ascii="Times New Roman" w:hAnsi="Times New Roman" w:eastAsia="仿宋_GB2312" w:cs="Times New Roman"/>
          <w:sz w:val="32"/>
          <w:szCs w:val="32"/>
        </w:rPr>
        <w:t>利于经济社会发展定性高中低，实际完成指标值高，权重10%；按财务制度严格掌控定性高中低，实际完成指标值高，权重10%。</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rPr>
      </w:pPr>
      <w:r>
        <w:rPr>
          <w:rFonts w:ascii="Times New Roman" w:hAnsi="Times New Roman" w:eastAsia="仿宋_GB2312" w:cs="Times New Roman"/>
          <w:sz w:val="32"/>
          <w:szCs w:val="32"/>
          <w:lang w:val="zh-CN"/>
        </w:rPr>
        <w:t>目标</w:t>
      </w:r>
      <w:r>
        <w:rPr>
          <w:rFonts w:ascii="Times New Roman" w:hAnsi="Times New Roman" w:eastAsia="仿宋_GB2312" w:cs="Times New Roman"/>
          <w:sz w:val="32"/>
          <w:szCs w:val="32"/>
        </w:rPr>
        <w:t>6</w:t>
      </w:r>
      <w:r>
        <w:rPr>
          <w:rFonts w:ascii="Times New Roman" w:hAnsi="Times New Roman" w:eastAsia="仿宋_GB2312" w:cs="Times New Roman"/>
          <w:sz w:val="32"/>
          <w:szCs w:val="32"/>
          <w:lang w:val="zh-CN"/>
        </w:rPr>
        <w:t>：</w:t>
      </w:r>
      <w:r>
        <w:rPr>
          <w:rFonts w:ascii="Times New Roman" w:hAnsi="Times New Roman" w:eastAsia="仿宋_GB2312" w:cs="Times New Roman"/>
          <w:sz w:val="32"/>
          <w:szCs w:val="32"/>
        </w:rPr>
        <w:t>满意度指标</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rPr>
      </w:pPr>
      <w:r>
        <w:rPr>
          <w:rFonts w:ascii="Times New Roman" w:hAnsi="Times New Roman" w:eastAsia="仿宋_GB2312" w:cs="Times New Roman"/>
          <w:sz w:val="32"/>
          <w:szCs w:val="32"/>
          <w:lang w:val="zh-CN"/>
        </w:rPr>
        <w:t>三级指标：</w:t>
      </w:r>
      <w:r>
        <w:rPr>
          <w:rFonts w:ascii="Times New Roman" w:hAnsi="Times New Roman" w:eastAsia="仿宋_GB2312" w:cs="Times New Roman"/>
          <w:sz w:val="32"/>
          <w:szCs w:val="32"/>
        </w:rPr>
        <w:t>被审计单位满意度率</w:t>
      </w:r>
      <w:r>
        <w:rPr>
          <w:rFonts w:ascii="Times New Roman" w:hAnsi="Times New Roman" w:eastAsia="仿宋_GB2312" w:cs="Times New Roman"/>
          <w:sz w:val="32"/>
          <w:szCs w:val="32"/>
          <w:lang w:val="zh-CN"/>
        </w:rPr>
        <w:t>≥</w:t>
      </w:r>
      <w:r>
        <w:rPr>
          <w:rFonts w:ascii="Times New Roman" w:hAnsi="Times New Roman" w:eastAsia="仿宋_GB2312" w:cs="Times New Roman"/>
          <w:sz w:val="32"/>
          <w:szCs w:val="32"/>
        </w:rPr>
        <w:t>95%，实际完成指标值100%，权重10%。</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2.预算管理</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lang w:val="zh-CN"/>
        </w:rPr>
      </w:pPr>
      <w:r>
        <w:rPr>
          <w:rFonts w:ascii="Times New Roman" w:hAnsi="Times New Roman" w:eastAsia="仿宋_GB2312" w:cs="Times New Roman"/>
          <w:sz w:val="32"/>
          <w:szCs w:val="32"/>
        </w:rPr>
        <w:t>严格按照《预算法》进行预算管理工作，</w:t>
      </w:r>
      <w:r>
        <w:rPr>
          <w:rFonts w:ascii="Times New Roman" w:hAnsi="Times New Roman" w:eastAsia="仿宋_GB2312" w:cs="Times New Roman"/>
          <w:sz w:val="32"/>
          <w:szCs w:val="32"/>
          <w:lang w:val="zh-CN"/>
        </w:rPr>
        <w:t>预算编制细化率（二级项目资金占比）≥</w:t>
      </w:r>
      <w:r>
        <w:rPr>
          <w:rFonts w:ascii="Times New Roman" w:hAnsi="Times New Roman" w:eastAsia="仿宋_GB2312" w:cs="Times New Roman"/>
          <w:sz w:val="32"/>
          <w:szCs w:val="32"/>
        </w:rPr>
        <w:t>95</w:t>
      </w:r>
      <w:r>
        <w:rPr>
          <w:rFonts w:ascii="Times New Roman" w:hAnsi="Times New Roman" w:eastAsia="仿宋_GB2312" w:cs="Times New Roman"/>
          <w:sz w:val="32"/>
          <w:szCs w:val="32"/>
          <w:lang w:val="zh-CN"/>
        </w:rPr>
        <w:t>%；1-12月分</w:t>
      </w:r>
      <w:r>
        <w:rPr>
          <w:rFonts w:ascii="Times New Roman" w:hAnsi="Times New Roman" w:eastAsia="仿宋_GB2312" w:cs="Times New Roman"/>
          <w:sz w:val="32"/>
          <w:szCs w:val="32"/>
        </w:rPr>
        <w:t>按</w:t>
      </w:r>
      <w:r>
        <w:rPr>
          <w:rFonts w:ascii="Times New Roman" w:hAnsi="Times New Roman" w:eastAsia="仿宋_GB2312" w:cs="Times New Roman"/>
          <w:sz w:val="32"/>
          <w:szCs w:val="32"/>
          <w:lang w:val="zh-CN"/>
        </w:rPr>
        <w:t>季度执行</w:t>
      </w:r>
      <w:r>
        <w:rPr>
          <w:rFonts w:ascii="Times New Roman" w:hAnsi="Times New Roman" w:eastAsia="仿宋_GB2312" w:cs="Times New Roman"/>
          <w:sz w:val="32"/>
          <w:szCs w:val="32"/>
        </w:rPr>
        <w:t>支付</w:t>
      </w:r>
      <w:r>
        <w:rPr>
          <w:rFonts w:ascii="Times New Roman" w:hAnsi="Times New Roman" w:eastAsia="仿宋_GB2312" w:cs="Times New Roman"/>
          <w:sz w:val="32"/>
          <w:szCs w:val="32"/>
          <w:lang w:val="zh-CN"/>
        </w:rPr>
        <w:t>，</w:t>
      </w:r>
      <w:r>
        <w:rPr>
          <w:rFonts w:ascii="Times New Roman" w:hAnsi="Times New Roman" w:eastAsia="仿宋_GB2312" w:cs="Times New Roman"/>
          <w:sz w:val="32"/>
          <w:szCs w:val="32"/>
        </w:rPr>
        <w:t>不存在集中用款情况</w:t>
      </w:r>
      <w:r>
        <w:rPr>
          <w:rFonts w:ascii="Times New Roman" w:hAnsi="Times New Roman" w:eastAsia="仿宋_GB2312" w:cs="Times New Roman"/>
          <w:sz w:val="32"/>
          <w:szCs w:val="32"/>
          <w:lang w:val="zh-CN"/>
        </w:rPr>
        <w:t>。</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3.财务管理</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lang w:val="zh-CN"/>
        </w:rPr>
      </w:pPr>
      <w:r>
        <w:rPr>
          <w:rFonts w:ascii="Times New Roman" w:hAnsi="Times New Roman" w:eastAsia="仿宋_GB2312" w:cs="Times New Roman"/>
          <w:sz w:val="32"/>
          <w:szCs w:val="32"/>
        </w:rPr>
        <w:t>已建立健全相关财务</w:t>
      </w:r>
      <w:r>
        <w:rPr>
          <w:rFonts w:ascii="Times New Roman" w:hAnsi="Times New Roman" w:eastAsia="仿宋_GB2312" w:cs="Times New Roman"/>
          <w:sz w:val="32"/>
          <w:szCs w:val="32"/>
          <w:lang w:val="zh-CN"/>
        </w:rPr>
        <w:t>制度，财务流程标准化；</w:t>
      </w:r>
      <w:r>
        <w:rPr>
          <w:rFonts w:ascii="Times New Roman" w:hAnsi="Times New Roman" w:eastAsia="仿宋_GB2312" w:cs="Times New Roman"/>
          <w:sz w:val="32"/>
          <w:szCs w:val="32"/>
        </w:rPr>
        <w:t>设立会计岗、出纳岗位，做到了</w:t>
      </w:r>
      <w:r>
        <w:rPr>
          <w:rFonts w:ascii="Times New Roman" w:hAnsi="Times New Roman" w:eastAsia="仿宋_GB2312" w:cs="Times New Roman"/>
          <w:sz w:val="32"/>
          <w:szCs w:val="32"/>
          <w:lang w:val="zh-CN"/>
        </w:rPr>
        <w:t>不相容岗位分离；</w:t>
      </w:r>
      <w:r>
        <w:rPr>
          <w:rFonts w:ascii="Times New Roman" w:hAnsi="Times New Roman" w:eastAsia="仿宋_GB2312" w:cs="Times New Roman"/>
          <w:sz w:val="32"/>
          <w:szCs w:val="32"/>
        </w:rPr>
        <w:t>严格执行财经纪律，确保</w:t>
      </w:r>
      <w:r>
        <w:rPr>
          <w:rFonts w:ascii="Times New Roman" w:hAnsi="Times New Roman" w:eastAsia="仿宋_GB2312" w:cs="Times New Roman"/>
          <w:sz w:val="32"/>
          <w:szCs w:val="32"/>
          <w:lang w:val="zh-CN"/>
        </w:rPr>
        <w:t>资金使用规范；</w:t>
      </w:r>
      <w:r>
        <w:rPr>
          <w:rFonts w:ascii="Times New Roman" w:hAnsi="Times New Roman" w:eastAsia="仿宋_GB2312" w:cs="Times New Roman"/>
          <w:sz w:val="32"/>
          <w:szCs w:val="32"/>
        </w:rPr>
        <w:t>严格对</w:t>
      </w:r>
      <w:r>
        <w:rPr>
          <w:rFonts w:ascii="Times New Roman" w:hAnsi="Times New Roman" w:eastAsia="仿宋_GB2312" w:cs="Times New Roman"/>
          <w:sz w:val="32"/>
          <w:szCs w:val="32"/>
          <w:lang w:val="zh-CN"/>
        </w:rPr>
        <w:t>原始凭证</w:t>
      </w:r>
      <w:r>
        <w:rPr>
          <w:rFonts w:ascii="Times New Roman" w:hAnsi="Times New Roman" w:eastAsia="仿宋_GB2312" w:cs="Times New Roman"/>
          <w:sz w:val="32"/>
          <w:szCs w:val="32"/>
        </w:rPr>
        <w:t>的审核报关。</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lang w:val="zh-CN"/>
        </w:rPr>
      </w:pPr>
      <w:r>
        <w:rPr>
          <w:rFonts w:hint="default" w:ascii="Times New Roman" w:hAnsi="Times New Roman" w:eastAsia="仿宋_GB2312" w:cs="Times New Roman"/>
          <w:sz w:val="32"/>
          <w:szCs w:val="32"/>
        </w:rPr>
        <w:t>4.</w:t>
      </w:r>
      <w:r>
        <w:rPr>
          <w:rFonts w:ascii="Times New Roman" w:hAnsi="Times New Roman" w:eastAsia="仿宋_GB2312" w:cs="Times New Roman"/>
          <w:sz w:val="32"/>
          <w:szCs w:val="32"/>
          <w:lang w:val="zh-CN"/>
        </w:rPr>
        <w:t>资产管理</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我单位现有固定资产</w:t>
      </w:r>
      <w:r>
        <w:rPr>
          <w:rFonts w:hint="default" w:ascii="Times New Roman" w:hAnsi="Times New Roman" w:eastAsia="仿宋_GB2312" w:cs="Times New Roman"/>
          <w:sz w:val="32"/>
          <w:szCs w:val="32"/>
        </w:rPr>
        <w:t>152</w:t>
      </w:r>
      <w:r>
        <w:rPr>
          <w:rFonts w:ascii="Times New Roman" w:hAnsi="Times New Roman" w:eastAsia="仿宋_GB2312" w:cs="Times New Roman"/>
          <w:sz w:val="32"/>
          <w:szCs w:val="32"/>
        </w:rPr>
        <w:t>个，均已登记入库并建立固定资产卡片。</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5.采购管理</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严格按照政府采购流程实施采购。</w:t>
      </w:r>
    </w:p>
    <w:p>
      <w:pPr>
        <w:widowControl/>
        <w:spacing w:line="600" w:lineRule="exact"/>
        <w:ind w:firstLine="640" w:firstLineChars="200"/>
        <w:contextualSpacing/>
        <w:rPr>
          <w:rFonts w:ascii="Times New Roman" w:hAnsi="Times New Roman" w:eastAsia="仿宋_GB2312" w:cs="Times New Roman"/>
          <w:color w:val="000000"/>
          <w:kern w:val="0"/>
          <w:sz w:val="32"/>
          <w:szCs w:val="32"/>
          <w:shd w:val="clear" w:color="auto" w:fill="FFFFFF"/>
        </w:rPr>
      </w:pPr>
      <w:r>
        <w:rPr>
          <w:rFonts w:ascii="Times New Roman" w:hAnsi="Times New Roman" w:eastAsia="楷体_GB2312" w:cs="Times New Roman"/>
          <w:color w:val="000000"/>
          <w:kern w:val="0"/>
          <w:sz w:val="32"/>
          <w:szCs w:val="32"/>
          <w:shd w:val="clear" w:color="auto" w:fill="FFFFFF"/>
          <w:lang w:val="zh-CN"/>
        </w:rPr>
        <w:t>（二）部门预算项目绩效分析</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常年项目绩效分析</w:t>
      </w:r>
      <w:r>
        <w:rPr>
          <w:rFonts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rPr>
        <w:t>无</w:t>
      </w:r>
      <w:r>
        <w:rPr>
          <w:rFonts w:ascii="Times New Roman" w:hAnsi="Times New Roman" w:eastAsia="仿宋_GB2312" w:cs="Times New Roman"/>
          <w:sz w:val="32"/>
          <w:szCs w:val="32"/>
          <w:highlight w:val="none"/>
          <w:lang w:val="zh-CN"/>
        </w:rPr>
        <w:t>。</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阶段（一次性）项目绩效分析。</w:t>
      </w:r>
      <w:r>
        <w:rPr>
          <w:rFonts w:ascii="Times New Roman" w:hAnsi="Times New Roman" w:eastAsia="仿宋_GB2312" w:cs="Times New Roman"/>
          <w:sz w:val="32"/>
          <w:szCs w:val="32"/>
          <w:lang w:val="zh-CN"/>
        </w:rPr>
        <w:t>该类项目总数</w:t>
      </w:r>
      <w:r>
        <w:rPr>
          <w:rFonts w:hint="default" w:ascii="Times New Roman" w:hAnsi="Times New Roman" w:eastAsia="仿宋_GB2312" w:cs="Times New Roman"/>
          <w:sz w:val="32"/>
          <w:szCs w:val="32"/>
        </w:rPr>
        <w:t>1</w:t>
      </w:r>
      <w:r>
        <w:rPr>
          <w:rFonts w:ascii="Times New Roman" w:hAnsi="Times New Roman" w:eastAsia="仿宋_GB2312" w:cs="Times New Roman"/>
          <w:sz w:val="32"/>
          <w:szCs w:val="32"/>
          <w:lang w:val="zh-CN"/>
        </w:rPr>
        <w:t>个，涉及预算总金额</w:t>
      </w:r>
      <w:r>
        <w:rPr>
          <w:rFonts w:hint="default" w:ascii="Times New Roman" w:hAnsi="Times New Roman" w:eastAsia="仿宋_GB2312" w:cs="Times New Roman"/>
          <w:sz w:val="32"/>
          <w:szCs w:val="32"/>
        </w:rPr>
        <w:t>3.55</w:t>
      </w:r>
      <w:r>
        <w:rPr>
          <w:rFonts w:ascii="Times New Roman" w:hAnsi="Times New Roman" w:eastAsia="仿宋_GB2312" w:cs="Times New Roman"/>
          <w:sz w:val="32"/>
          <w:szCs w:val="32"/>
          <w:lang w:val="zh-CN"/>
        </w:rPr>
        <w:t>万元，1—1</w:t>
      </w:r>
      <w:r>
        <w:rPr>
          <w:rFonts w:ascii="Times New Roman" w:hAnsi="Times New Roman" w:eastAsia="仿宋_GB2312" w:cs="Times New Roman"/>
          <w:sz w:val="32"/>
          <w:szCs w:val="32"/>
        </w:rPr>
        <w:t>2</w:t>
      </w:r>
      <w:r>
        <w:rPr>
          <w:rFonts w:ascii="Times New Roman" w:hAnsi="Times New Roman" w:eastAsia="仿宋_GB2312" w:cs="Times New Roman"/>
          <w:sz w:val="32"/>
          <w:szCs w:val="32"/>
          <w:lang w:val="zh-CN"/>
        </w:rPr>
        <w:t>月预算执行总体进度为</w:t>
      </w:r>
      <w:r>
        <w:rPr>
          <w:rFonts w:ascii="Times New Roman" w:hAnsi="Times New Roman" w:eastAsia="仿宋_GB2312" w:cs="Times New Roman"/>
          <w:sz w:val="32"/>
          <w:szCs w:val="32"/>
        </w:rPr>
        <w:t>100</w:t>
      </w:r>
      <w:r>
        <w:rPr>
          <w:rFonts w:ascii="Times New Roman" w:hAnsi="Times New Roman" w:eastAsia="仿宋_GB2312" w:cs="Times New Roman"/>
          <w:sz w:val="32"/>
          <w:szCs w:val="32"/>
          <w:lang w:val="zh-CN"/>
        </w:rPr>
        <w:t>%。</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一是项目决策方面，入库评审通过率≥98%。</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二是项目执行方面，资金支付与进度匹配偏差率≤5%。</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三是目标实现完成率100%。</w:t>
      </w:r>
    </w:p>
    <w:p>
      <w:pPr>
        <w:widowControl/>
        <w:numPr>
          <w:ilvl w:val="0"/>
          <w:numId w:val="3"/>
        </w:numPr>
        <w:spacing w:line="600" w:lineRule="exact"/>
        <w:ind w:firstLine="640" w:firstLineChars="200"/>
        <w:contextualSpacing/>
        <w:rPr>
          <w:rFonts w:ascii="Times New Roman" w:hAnsi="Times New Roman" w:eastAsia="楷体_GB2312" w:cs="Times New Roman"/>
          <w:color w:val="000000"/>
          <w:kern w:val="0"/>
          <w:sz w:val="32"/>
          <w:szCs w:val="32"/>
          <w:shd w:val="clear" w:color="auto" w:fill="FFFFFF"/>
          <w:lang w:val="zh-CN"/>
        </w:rPr>
      </w:pPr>
      <w:r>
        <w:rPr>
          <w:rFonts w:ascii="Times New Roman" w:hAnsi="Times New Roman" w:eastAsia="楷体_GB2312" w:cs="Times New Roman"/>
          <w:color w:val="000000"/>
          <w:kern w:val="0"/>
          <w:sz w:val="32"/>
          <w:szCs w:val="32"/>
          <w:shd w:val="clear" w:color="auto" w:fill="FFFFFF"/>
          <w:lang w:val="zh-CN"/>
        </w:rPr>
        <w:t>重点领域绩效分析</w:t>
      </w:r>
    </w:p>
    <w:p>
      <w:pPr>
        <w:widowControl/>
        <w:adjustRightInd w:val="0"/>
        <w:snapToGrid w:val="0"/>
        <w:spacing w:line="600" w:lineRule="exact"/>
        <w:ind w:firstLine="640" w:firstLineChars="200"/>
        <w:contextualSpacing/>
        <w:jc w:val="left"/>
        <w:rPr>
          <w:rFonts w:ascii="Times New Roman" w:hAnsi="Times New Roman" w:eastAsia="仿宋_GB2312" w:cs="Times New Roman"/>
          <w:b/>
          <w:bCs/>
          <w:sz w:val="32"/>
          <w:szCs w:val="32"/>
        </w:rPr>
      </w:pPr>
      <w:r>
        <w:rPr>
          <w:rFonts w:ascii="Times New Roman" w:hAnsi="Times New Roman" w:eastAsia="仿宋_GB2312" w:cs="Times New Roman"/>
          <w:sz w:val="32"/>
          <w:szCs w:val="32"/>
        </w:rPr>
        <w:t>我单位202</w:t>
      </w:r>
      <w:r>
        <w:rPr>
          <w:rFonts w:hint="default" w:ascii="Times New Roman" w:hAnsi="Times New Roman" w:eastAsia="仿宋_GB2312" w:cs="Times New Roman"/>
          <w:sz w:val="32"/>
          <w:szCs w:val="32"/>
        </w:rPr>
        <w:t>5</w:t>
      </w:r>
      <w:r>
        <w:rPr>
          <w:rFonts w:ascii="Times New Roman" w:hAnsi="Times New Roman" w:eastAsia="仿宋_GB2312" w:cs="Times New Roman"/>
          <w:sz w:val="32"/>
          <w:szCs w:val="32"/>
        </w:rPr>
        <w:t>年严格政府采购流程完成物资采购，数量指标中采购物质质量定性优良中差，实际完成指标值优，权重占比20%；时效指标中202</w:t>
      </w:r>
      <w:r>
        <w:rPr>
          <w:rFonts w:hint="default" w:ascii="Times New Roman" w:hAnsi="Times New Roman" w:eastAsia="仿宋_GB2312" w:cs="Times New Roman"/>
          <w:sz w:val="32"/>
          <w:szCs w:val="32"/>
        </w:rPr>
        <w:t>5</w:t>
      </w:r>
      <w:r>
        <w:rPr>
          <w:rFonts w:ascii="Times New Roman" w:hAnsi="Times New Roman" w:eastAsia="仿宋_GB2312" w:cs="Times New Roman"/>
          <w:sz w:val="32"/>
          <w:szCs w:val="32"/>
        </w:rPr>
        <w:t>年度完成相关采购为202</w:t>
      </w:r>
      <w:r>
        <w:rPr>
          <w:rFonts w:hint="default" w:ascii="Times New Roman" w:hAnsi="Times New Roman" w:eastAsia="仿宋_GB2312" w:cs="Times New Roman"/>
          <w:sz w:val="32"/>
          <w:szCs w:val="32"/>
        </w:rPr>
        <w:t>5</w:t>
      </w:r>
      <w:r>
        <w:rPr>
          <w:rFonts w:ascii="Times New Roman" w:hAnsi="Times New Roman" w:eastAsia="仿宋_GB2312" w:cs="Times New Roman"/>
          <w:sz w:val="32"/>
          <w:szCs w:val="32"/>
        </w:rPr>
        <w:t>年已完成，权重占比20%；成本指标中厉行节约定性优良中差，实际完成指标值优，权重占比20%；社会效益指标中安全高效开展各项工作定性优良中差，</w:t>
      </w:r>
      <w:bookmarkStart w:id="49" w:name="OLE_LINK1"/>
      <w:r>
        <w:rPr>
          <w:rFonts w:ascii="Times New Roman" w:hAnsi="Times New Roman" w:eastAsia="仿宋_GB2312" w:cs="Times New Roman"/>
          <w:sz w:val="32"/>
          <w:szCs w:val="32"/>
        </w:rPr>
        <w:t>实际完成指标值优，权重占比20%</w:t>
      </w:r>
      <w:bookmarkEnd w:id="49"/>
      <w:r>
        <w:rPr>
          <w:rFonts w:ascii="Times New Roman" w:hAnsi="Times New Roman" w:eastAsia="仿宋_GB2312" w:cs="Times New Roman"/>
          <w:sz w:val="32"/>
          <w:szCs w:val="32"/>
        </w:rPr>
        <w:t>；服务对象满意度指标中职工满意度≥95%，实际完成指标值100%，权重占比20%。</w:t>
      </w:r>
    </w:p>
    <w:p>
      <w:pPr>
        <w:spacing w:line="600" w:lineRule="exact"/>
        <w:ind w:firstLine="640" w:firstLineChars="200"/>
        <w:rPr>
          <w:rFonts w:ascii="Times New Roman" w:hAnsi="Times New Roman" w:eastAsia="楷体_GB2312" w:cs="Times New Roman"/>
          <w:sz w:val="32"/>
          <w:szCs w:val="32"/>
          <w:lang w:val="zh-CN"/>
        </w:rPr>
      </w:pPr>
      <w:r>
        <w:rPr>
          <w:rFonts w:ascii="Times New Roman" w:hAnsi="Times New Roman" w:eastAsia="楷体_GB2312" w:cs="Times New Roman"/>
          <w:sz w:val="32"/>
          <w:szCs w:val="32"/>
          <w:lang w:val="zh-CN"/>
        </w:rPr>
        <w:t>（四）绩效结果应用情况</w:t>
      </w:r>
    </w:p>
    <w:p>
      <w:pPr>
        <w:widowControl/>
        <w:adjustRightInd w:val="0"/>
        <w:snapToGrid w:val="0"/>
        <w:spacing w:line="600" w:lineRule="exact"/>
        <w:ind w:firstLine="640" w:firstLineChars="200"/>
        <w:contextualSpacing/>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按照有关规定及时对部门决算情况、部门整体绩效自评情况、自行组织绩效评价开展情况、自评得分等一并进行了公开。202</w:t>
      </w:r>
      <w:r>
        <w:rPr>
          <w:rFonts w:hint="default" w:ascii="Times New Roman" w:hAnsi="Times New Roman" w:eastAsia="仿宋_GB2312" w:cs="Times New Roman"/>
          <w:sz w:val="32"/>
          <w:szCs w:val="32"/>
        </w:rPr>
        <w:t>5</w:t>
      </w:r>
      <w:r>
        <w:rPr>
          <w:rFonts w:ascii="Times New Roman" w:hAnsi="Times New Roman" w:eastAsia="仿宋_GB2312" w:cs="Times New Roman"/>
          <w:sz w:val="32"/>
          <w:szCs w:val="32"/>
        </w:rPr>
        <w:t>年度未接受绩效目标核查、绩效监控核查何重点绩效评分，不涉及问题整改和反馈。</w:t>
      </w:r>
    </w:p>
    <w:p>
      <w:pPr>
        <w:widowControl/>
        <w:spacing w:line="600" w:lineRule="exact"/>
        <w:ind w:firstLine="640" w:firstLineChars="200"/>
        <w:contextualSpacing/>
        <w:rPr>
          <w:rFonts w:ascii="Times New Roman" w:hAnsi="Times New Roman" w:eastAsia="黑体" w:cs="Times New Roman"/>
          <w:color w:val="000000"/>
          <w:kern w:val="0"/>
          <w:sz w:val="32"/>
          <w:szCs w:val="32"/>
          <w:shd w:val="clear" w:color="auto" w:fill="FFFFFF"/>
        </w:rPr>
      </w:pPr>
      <w:r>
        <w:rPr>
          <w:rFonts w:ascii="Times New Roman" w:hAnsi="Times New Roman" w:eastAsia="黑体" w:cs="Times New Roman"/>
          <w:color w:val="000000"/>
          <w:kern w:val="0"/>
          <w:sz w:val="32"/>
          <w:szCs w:val="32"/>
          <w:shd w:val="clear" w:color="auto" w:fill="FFFFFF"/>
        </w:rPr>
        <w:t>四、评价结论及建议</w:t>
      </w:r>
    </w:p>
    <w:p>
      <w:pPr>
        <w:widowControl/>
        <w:adjustRightInd w:val="0"/>
        <w:snapToGrid w:val="0"/>
        <w:spacing w:line="600" w:lineRule="exact"/>
        <w:ind w:firstLine="640" w:firstLineChars="200"/>
        <w:contextualSpacing/>
        <w:jc w:val="left"/>
        <w:rPr>
          <w:rFonts w:ascii="Times New Roman" w:hAnsi="Times New Roman" w:eastAsia="楷体_GB2312" w:cs="Times New Roman"/>
          <w:color w:val="000000"/>
          <w:kern w:val="0"/>
          <w:sz w:val="32"/>
          <w:szCs w:val="32"/>
          <w:shd w:val="clear" w:color="auto" w:fill="FFFFFF"/>
          <w:lang w:val="zh-CN"/>
        </w:rPr>
      </w:pPr>
      <w:r>
        <w:rPr>
          <w:rFonts w:ascii="Times New Roman" w:hAnsi="Times New Roman" w:eastAsia="楷体_GB2312" w:cs="Times New Roman"/>
          <w:color w:val="000000"/>
          <w:kern w:val="0"/>
          <w:sz w:val="32"/>
          <w:szCs w:val="32"/>
          <w:shd w:val="clear" w:color="auto" w:fill="FFFFFF"/>
          <w:lang w:val="zh-CN"/>
        </w:rPr>
        <w:t>（一）评价结论</w:t>
      </w:r>
    </w:p>
    <w:p>
      <w:pPr>
        <w:widowControl/>
        <w:adjustRightInd w:val="0"/>
        <w:snapToGrid w:val="0"/>
        <w:spacing w:line="600" w:lineRule="exact"/>
        <w:ind w:firstLine="640" w:firstLineChars="200"/>
        <w:contextualSpacing/>
        <w:jc w:val="left"/>
        <w:rPr>
          <w:rFonts w:ascii="Times New Roman" w:hAnsi="Times New Roman" w:eastAsia="仿宋_GB2312" w:cs="Times New Roman"/>
          <w:color w:val="000000"/>
          <w:kern w:val="0"/>
          <w:sz w:val="32"/>
          <w:szCs w:val="32"/>
          <w:shd w:val="clear" w:color="auto" w:fill="FFFFFF"/>
          <w:lang w:val="zh-CN"/>
        </w:rPr>
      </w:pPr>
      <w:r>
        <w:rPr>
          <w:rFonts w:ascii="Times New Roman" w:hAnsi="Times New Roman" w:eastAsia="仿宋_GB2312" w:cs="Times New Roman"/>
          <w:color w:val="000000"/>
          <w:kern w:val="0"/>
          <w:sz w:val="32"/>
          <w:szCs w:val="32"/>
          <w:shd w:val="clear" w:color="auto" w:fill="FFFFFF"/>
          <w:lang w:val="zh-CN"/>
        </w:rPr>
        <w:t>202</w:t>
      </w:r>
      <w:r>
        <w:rPr>
          <w:rFonts w:hint="default" w:ascii="Times New Roman" w:hAnsi="Times New Roman" w:eastAsia="仿宋_GB2312" w:cs="Times New Roman"/>
          <w:color w:val="000000"/>
          <w:kern w:val="0"/>
          <w:sz w:val="32"/>
          <w:szCs w:val="32"/>
          <w:shd w:val="clear" w:color="auto" w:fill="FFFFFF"/>
        </w:rPr>
        <w:t>5</w:t>
      </w:r>
      <w:r>
        <w:rPr>
          <w:rFonts w:ascii="Times New Roman" w:hAnsi="Times New Roman" w:eastAsia="仿宋_GB2312" w:cs="Times New Roman"/>
          <w:color w:val="000000"/>
          <w:kern w:val="0"/>
          <w:sz w:val="32"/>
          <w:szCs w:val="32"/>
          <w:shd w:val="clear" w:color="auto" w:fill="FFFFFF"/>
          <w:lang w:val="zh-CN"/>
        </w:rPr>
        <w:t>年我单位财政预算支出，保障了机关正常运行，认真履行好</w:t>
      </w:r>
      <w:r>
        <w:rPr>
          <w:rFonts w:ascii="Times New Roman" w:hAnsi="Times New Roman" w:eastAsia="仿宋_GB2312" w:cs="Times New Roman"/>
          <w:color w:val="000000"/>
          <w:kern w:val="0"/>
          <w:sz w:val="32"/>
          <w:szCs w:val="32"/>
          <w:shd w:val="clear" w:color="auto" w:fill="FFFFFF"/>
        </w:rPr>
        <w:t>我</w:t>
      </w:r>
      <w:r>
        <w:rPr>
          <w:rFonts w:ascii="Times New Roman" w:hAnsi="Times New Roman" w:eastAsia="仿宋_GB2312" w:cs="Times New Roman"/>
          <w:color w:val="000000"/>
          <w:kern w:val="0"/>
          <w:sz w:val="32"/>
          <w:szCs w:val="32"/>
          <w:shd w:val="clear" w:color="auto" w:fill="FFFFFF"/>
          <w:lang w:val="zh-CN"/>
        </w:rPr>
        <w:t>部门</w:t>
      </w:r>
      <w:r>
        <w:rPr>
          <w:rFonts w:ascii="Times New Roman" w:hAnsi="Times New Roman" w:eastAsia="仿宋_GB2312" w:cs="Times New Roman"/>
          <w:color w:val="000000"/>
          <w:kern w:val="0"/>
          <w:sz w:val="32"/>
          <w:szCs w:val="32"/>
          <w:shd w:val="clear" w:color="auto" w:fill="FFFFFF"/>
        </w:rPr>
        <w:t>职能职责</w:t>
      </w:r>
      <w:r>
        <w:rPr>
          <w:rFonts w:ascii="Times New Roman" w:hAnsi="Times New Roman" w:eastAsia="仿宋_GB2312" w:cs="Times New Roman"/>
          <w:color w:val="000000"/>
          <w:kern w:val="0"/>
          <w:sz w:val="32"/>
          <w:szCs w:val="32"/>
          <w:shd w:val="clear" w:color="auto" w:fill="FFFFFF"/>
          <w:lang w:val="zh-CN"/>
        </w:rPr>
        <w:t>，圆满完成了县委、县政府下达的各项目标任务。沐川县</w:t>
      </w:r>
      <w:r>
        <w:rPr>
          <w:rFonts w:ascii="Times New Roman" w:hAnsi="Times New Roman" w:eastAsia="仿宋_GB2312" w:cs="Times New Roman"/>
          <w:color w:val="000000"/>
          <w:kern w:val="0"/>
          <w:sz w:val="32"/>
          <w:szCs w:val="32"/>
          <w:shd w:val="clear" w:color="auto" w:fill="FFFFFF"/>
        </w:rPr>
        <w:t>审计</w:t>
      </w:r>
      <w:r>
        <w:rPr>
          <w:rFonts w:ascii="Times New Roman" w:hAnsi="Times New Roman" w:eastAsia="仿宋_GB2312" w:cs="Times New Roman"/>
          <w:color w:val="000000"/>
          <w:kern w:val="0"/>
          <w:sz w:val="32"/>
          <w:szCs w:val="32"/>
          <w:shd w:val="clear" w:color="auto" w:fill="FFFFFF"/>
          <w:lang w:val="zh-CN"/>
        </w:rPr>
        <w:t>局</w:t>
      </w:r>
      <w:r>
        <w:rPr>
          <w:rFonts w:ascii="Times New Roman" w:hAnsi="Times New Roman" w:eastAsia="仿宋_GB2312" w:cs="Times New Roman"/>
          <w:color w:val="000000"/>
          <w:kern w:val="0"/>
          <w:sz w:val="32"/>
          <w:szCs w:val="32"/>
          <w:shd w:val="clear" w:color="auto" w:fill="FFFFFF"/>
        </w:rPr>
        <w:t>202</w:t>
      </w:r>
      <w:r>
        <w:rPr>
          <w:rFonts w:hint="default" w:ascii="Times New Roman" w:hAnsi="Times New Roman" w:eastAsia="仿宋_GB2312" w:cs="Times New Roman"/>
          <w:color w:val="000000"/>
          <w:kern w:val="0"/>
          <w:sz w:val="32"/>
          <w:szCs w:val="32"/>
          <w:shd w:val="clear" w:color="auto" w:fill="FFFFFF"/>
        </w:rPr>
        <w:t>5</w:t>
      </w:r>
      <w:r>
        <w:rPr>
          <w:rFonts w:ascii="Times New Roman" w:hAnsi="Times New Roman" w:eastAsia="仿宋_GB2312" w:cs="Times New Roman"/>
          <w:color w:val="000000"/>
          <w:kern w:val="0"/>
          <w:sz w:val="32"/>
          <w:szCs w:val="32"/>
          <w:shd w:val="clear" w:color="auto" w:fill="FFFFFF"/>
          <w:lang w:val="zh-CN"/>
        </w:rPr>
        <w:t>年部门整体支出绩效评价得分</w:t>
      </w:r>
      <w:r>
        <w:rPr>
          <w:rFonts w:ascii="Times New Roman" w:hAnsi="Times New Roman" w:eastAsia="仿宋_GB2312" w:cs="Times New Roman"/>
          <w:color w:val="000000"/>
          <w:kern w:val="0"/>
          <w:sz w:val="32"/>
          <w:szCs w:val="32"/>
          <w:shd w:val="clear" w:color="auto" w:fill="FFFFFF"/>
        </w:rPr>
        <w:t>100</w:t>
      </w:r>
      <w:r>
        <w:rPr>
          <w:rFonts w:ascii="Times New Roman" w:hAnsi="Times New Roman" w:eastAsia="仿宋_GB2312" w:cs="Times New Roman"/>
          <w:color w:val="000000"/>
          <w:kern w:val="0"/>
          <w:sz w:val="32"/>
          <w:szCs w:val="32"/>
          <w:shd w:val="clear" w:color="auto" w:fill="FFFFFF"/>
          <w:lang w:val="zh-CN"/>
        </w:rPr>
        <w:t>分。</w:t>
      </w:r>
      <w:r>
        <w:rPr>
          <w:rFonts w:ascii="Times New Roman" w:hAnsi="Times New Roman" w:eastAsia="仿宋_GB2312" w:cs="Times New Roman"/>
          <w:color w:val="000000"/>
          <w:kern w:val="0"/>
          <w:sz w:val="32"/>
          <w:szCs w:val="32"/>
          <w:shd w:val="clear" w:color="auto" w:fill="FFFFFF"/>
        </w:rPr>
        <w:t>评价等级为优。</w:t>
      </w:r>
    </w:p>
    <w:p>
      <w:pPr>
        <w:numPr>
          <w:ilvl w:val="0"/>
          <w:numId w:val="4"/>
        </w:numPr>
        <w:spacing w:line="600" w:lineRule="exact"/>
        <w:ind w:firstLine="640" w:firstLineChars="200"/>
        <w:contextualSpacing/>
        <w:rPr>
          <w:rFonts w:ascii="Times New Roman" w:hAnsi="Times New Roman" w:eastAsia="楷体_GB2312" w:cs="Times New Roman"/>
          <w:color w:val="000000"/>
          <w:kern w:val="0"/>
          <w:sz w:val="32"/>
          <w:szCs w:val="32"/>
          <w:shd w:val="clear" w:color="auto" w:fill="FFFFFF"/>
          <w:lang w:val="zh-CN"/>
        </w:rPr>
      </w:pPr>
      <w:r>
        <w:rPr>
          <w:rFonts w:ascii="Times New Roman" w:hAnsi="Times New Roman" w:eastAsia="楷体_GB2312" w:cs="Times New Roman"/>
          <w:color w:val="000000"/>
          <w:kern w:val="0"/>
          <w:sz w:val="32"/>
          <w:szCs w:val="32"/>
          <w:shd w:val="clear" w:color="auto" w:fill="FFFFFF"/>
          <w:lang w:val="zh-CN"/>
        </w:rPr>
        <w:t>存在问题</w:t>
      </w:r>
    </w:p>
    <w:p>
      <w:pPr>
        <w:spacing w:line="600" w:lineRule="exact"/>
        <w:ind w:firstLine="640" w:firstLineChars="200"/>
        <w:contextualSpacing/>
        <w:rPr>
          <w:rFonts w:ascii="Times New Roman" w:hAnsi="Times New Roman" w:eastAsia="仿宋_GB2312" w:cs="Times New Roman"/>
          <w:color w:val="000000"/>
          <w:kern w:val="0"/>
          <w:sz w:val="32"/>
          <w:szCs w:val="32"/>
          <w:shd w:val="clear" w:color="auto" w:fill="FFFFFF"/>
          <w:lang w:val="zh-CN"/>
        </w:rPr>
      </w:pPr>
      <w:r>
        <w:rPr>
          <w:rFonts w:ascii="Times New Roman" w:hAnsi="Times New Roman" w:eastAsia="仿宋_GB2312" w:cs="Times New Roman"/>
          <w:color w:val="000000"/>
          <w:kern w:val="0"/>
          <w:sz w:val="32"/>
          <w:szCs w:val="32"/>
          <w:shd w:val="clear" w:color="auto" w:fill="FFFFFF"/>
          <w:lang w:val="zh-CN"/>
        </w:rPr>
        <w:t>预算编制的准确性有待提高，预算编制与实际支出项目有的存在差异，预算编制不够准确，年中追加较多，决算数与预算数相差较大</w:t>
      </w:r>
      <w:r>
        <w:rPr>
          <w:rFonts w:hint="default" w:ascii="Times New Roman" w:hAnsi="Times New Roman" w:eastAsia="仿宋_GB2312" w:cs="Times New Roman"/>
          <w:color w:val="000000"/>
          <w:kern w:val="0"/>
          <w:sz w:val="32"/>
          <w:szCs w:val="32"/>
          <w:shd w:val="clear" w:color="auto" w:fill="FFFFFF"/>
          <w:lang w:val="zh-CN"/>
        </w:rPr>
        <w:t>。</w:t>
      </w:r>
    </w:p>
    <w:p>
      <w:pPr>
        <w:spacing w:line="600" w:lineRule="exact"/>
        <w:ind w:firstLine="640" w:firstLineChars="200"/>
        <w:contextualSpacing/>
        <w:rPr>
          <w:rFonts w:ascii="Times New Roman" w:hAnsi="Times New Roman" w:eastAsia="楷体_GB2312" w:cs="Times New Roman"/>
          <w:color w:val="000000"/>
          <w:kern w:val="0"/>
          <w:sz w:val="32"/>
          <w:szCs w:val="32"/>
          <w:shd w:val="clear" w:color="auto" w:fill="FFFFFF"/>
          <w:lang w:val="zh-CN"/>
        </w:rPr>
      </w:pPr>
      <w:r>
        <w:rPr>
          <w:rFonts w:ascii="Times New Roman" w:hAnsi="Times New Roman" w:eastAsia="楷体_GB2312" w:cs="Times New Roman"/>
          <w:color w:val="000000"/>
          <w:kern w:val="0"/>
          <w:sz w:val="32"/>
          <w:szCs w:val="32"/>
          <w:shd w:val="clear" w:color="auto" w:fill="FFFFFF"/>
          <w:lang w:val="zh-CN"/>
        </w:rPr>
        <w:t>（三）改进建议</w:t>
      </w:r>
    </w:p>
    <w:p>
      <w:pPr>
        <w:spacing w:line="600" w:lineRule="exact"/>
        <w:ind w:firstLine="640" w:firstLineChars="200"/>
        <w:contextualSpacing/>
        <w:rPr>
          <w:rFonts w:ascii="Times New Roman" w:hAnsi="Times New Roman" w:eastAsia="仿宋_GB2312" w:cs="Times New Roman"/>
          <w:color w:val="000000"/>
          <w:kern w:val="0"/>
          <w:sz w:val="32"/>
          <w:szCs w:val="32"/>
          <w:shd w:val="clear" w:color="auto" w:fill="FFFFFF"/>
          <w:lang w:val="zh-CN"/>
        </w:rPr>
      </w:pPr>
      <w:r>
        <w:rPr>
          <w:rFonts w:ascii="Times New Roman" w:hAnsi="Times New Roman" w:eastAsia="仿宋_GB2312" w:cs="Times New Roman"/>
          <w:color w:val="000000"/>
          <w:kern w:val="0"/>
          <w:sz w:val="32"/>
          <w:szCs w:val="32"/>
          <w:shd w:val="clear" w:color="auto" w:fill="FFFFFF"/>
          <w:lang w:val="zh-CN"/>
        </w:rPr>
        <w:t>加强法规、制度学习，组织相关人员认真学习《预算法》、《事业单位会计制度》等相关法规、制度，提高单位领导对全面预算管理的重视程度，增强财务人员的预算意识；全面把握预算编制政策和要求，预算编制贯彻厉行节约，量入而出。统筹兼顾，突出重点，细化编制，确保</w:t>
      </w:r>
      <w:r>
        <w:rPr>
          <w:rFonts w:ascii="Times New Roman" w:hAnsi="Times New Roman" w:eastAsia="仿宋_GB2312" w:cs="Times New Roman"/>
          <w:color w:val="000000"/>
          <w:kern w:val="0"/>
          <w:sz w:val="32"/>
          <w:szCs w:val="32"/>
          <w:shd w:val="clear" w:color="auto" w:fill="FFFFFF"/>
        </w:rPr>
        <w:t>预算准确</w:t>
      </w:r>
      <w:r>
        <w:rPr>
          <w:rFonts w:ascii="Times New Roman" w:hAnsi="Times New Roman" w:eastAsia="仿宋_GB2312" w:cs="Times New Roman"/>
          <w:color w:val="000000"/>
          <w:kern w:val="0"/>
          <w:sz w:val="32"/>
          <w:szCs w:val="32"/>
          <w:shd w:val="clear" w:color="auto" w:fill="FFFFFF"/>
          <w:lang w:val="zh-CN"/>
        </w:rPr>
        <w:t>。</w:t>
      </w:r>
    </w:p>
    <w:p>
      <w:pPr>
        <w:spacing w:line="600" w:lineRule="exact"/>
        <w:ind w:firstLine="640" w:firstLineChars="200"/>
        <w:jc w:val="left"/>
        <w:rPr>
          <w:rFonts w:ascii="Times New Roman" w:hAnsi="Times New Roman" w:eastAsia="仿宋_GB2312" w:cs="Times New Roman"/>
          <w:color w:val="000000"/>
          <w:kern w:val="0"/>
          <w:sz w:val="32"/>
          <w:szCs w:val="32"/>
          <w:shd w:val="clear" w:color="auto" w:fill="FFFFFF"/>
        </w:rPr>
      </w:pP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000000"/>
          <w:kern w:val="0"/>
          <w:sz w:val="32"/>
          <w:szCs w:val="32"/>
          <w:shd w:val="clear" w:color="auto" w:fill="FFFFFF"/>
          <w:lang w:eastAsia="zh-CN"/>
        </w:rPr>
      </w:pPr>
      <w:r>
        <w:rPr>
          <w:rFonts w:ascii="Times New Roman" w:hAnsi="Times New Roman" w:eastAsia="仿宋_GB2312" w:cs="Times New Roman"/>
          <w:color w:val="000000"/>
          <w:kern w:val="0"/>
          <w:sz w:val="32"/>
          <w:szCs w:val="32"/>
          <w:shd w:val="clear" w:color="auto" w:fill="FFFFFF"/>
        </w:rPr>
        <w:t>附表</w:t>
      </w:r>
      <w:r>
        <w:rPr>
          <w:rFonts w:hint="default" w:ascii="Times New Roman" w:hAnsi="Times New Roman" w:eastAsia="仿宋_GB2312" w:cs="Times New Roman"/>
          <w:color w:val="000000"/>
          <w:kern w:val="0"/>
          <w:sz w:val="32"/>
          <w:szCs w:val="32"/>
          <w:shd w:val="clear" w:color="auto" w:fill="FFFFFF"/>
          <w:lang w:eastAsia="zh-CN"/>
        </w:rPr>
        <w:t>：部门整体支出绩效目标完成情况自评表</w:t>
      </w:r>
    </w:p>
    <w:p>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default" w:ascii="Times New Roman" w:hAnsi="Times New Roman" w:cs="Times New Roman"/>
          <w:sz w:val="32"/>
          <w:szCs w:val="32"/>
          <w:highlight w:val="yellow"/>
          <w:lang w:val="zh-CN" w:eastAsia="zh-CN"/>
        </w:rPr>
      </w:pPr>
      <w:r>
        <w:rPr>
          <w:rFonts w:ascii="Times New Roman" w:hAnsi="Times New Roman" w:eastAsia="仿宋_GB2312" w:cs="Times New Roman"/>
          <w:color w:val="000000"/>
          <w:kern w:val="0"/>
          <w:sz w:val="32"/>
          <w:szCs w:val="32"/>
          <w:shd w:val="clear" w:color="auto" w:fill="FFFFFF"/>
        </w:rPr>
        <w:br w:type="page"/>
      </w:r>
    </w:p>
    <w:tbl>
      <w:tblPr>
        <w:tblStyle w:val="17"/>
        <w:tblW w:w="10560" w:type="dxa"/>
        <w:jc w:val="center"/>
        <w:tblLayout w:type="fixed"/>
        <w:tblCellMar>
          <w:top w:w="15" w:type="dxa"/>
          <w:left w:w="15" w:type="dxa"/>
          <w:bottom w:w="15" w:type="dxa"/>
          <w:right w:w="15" w:type="dxa"/>
        </w:tblCellMar>
      </w:tblPr>
      <w:tblGrid>
        <w:gridCol w:w="1308"/>
        <w:gridCol w:w="1347"/>
        <w:gridCol w:w="1273"/>
        <w:gridCol w:w="1100"/>
        <w:gridCol w:w="1145"/>
        <w:gridCol w:w="1289"/>
        <w:gridCol w:w="1058"/>
        <w:gridCol w:w="926"/>
        <w:gridCol w:w="1114"/>
      </w:tblGrid>
      <w:tr>
        <w:tblPrEx>
          <w:tblCellMar>
            <w:top w:w="15" w:type="dxa"/>
            <w:left w:w="15" w:type="dxa"/>
            <w:bottom w:w="15" w:type="dxa"/>
            <w:right w:w="15" w:type="dxa"/>
          </w:tblCellMar>
        </w:tblPrEx>
        <w:trPr>
          <w:trHeight w:val="762" w:hRule="exact"/>
          <w:jc w:val="center"/>
        </w:trPr>
        <w:tc>
          <w:tcPr>
            <w:tcW w:w="10560" w:type="dxa"/>
            <w:gridSpan w:val="9"/>
            <w:shd w:val="clear" w:color="auto" w:fill="auto"/>
            <w:vAlign w:val="center"/>
          </w:tcPr>
          <w:p>
            <w:pPr>
              <w:widowControl/>
              <w:spacing w:line="600" w:lineRule="exact"/>
              <w:jc w:val="center"/>
              <w:textAlignment w:val="center"/>
              <w:rPr>
                <w:rFonts w:ascii="Times New Roman" w:hAnsi="Times New Roman" w:eastAsia="黑体" w:cs="Times New Roman"/>
                <w:color w:val="000000"/>
                <w:sz w:val="28"/>
                <w:szCs w:val="28"/>
              </w:rPr>
            </w:pPr>
            <w:r>
              <w:rPr>
                <w:rFonts w:ascii="Times New Roman" w:hAnsi="Times New Roman" w:eastAsia="方正小标宋简体" w:cs="Times New Roman"/>
                <w:color w:val="000000"/>
                <w:kern w:val="0"/>
                <w:sz w:val="44"/>
                <w:szCs w:val="44"/>
              </w:rPr>
              <w:t>部门整体支出绩效目标完成情况自评表</w:t>
            </w:r>
          </w:p>
        </w:tc>
      </w:tr>
      <w:tr>
        <w:tblPrEx>
          <w:tblCellMar>
            <w:top w:w="15" w:type="dxa"/>
            <w:left w:w="15" w:type="dxa"/>
            <w:bottom w:w="15" w:type="dxa"/>
            <w:right w:w="15" w:type="dxa"/>
          </w:tblCellMar>
        </w:tblPrEx>
        <w:trPr>
          <w:trHeight w:val="23" w:hRule="atLeast"/>
          <w:jc w:val="center"/>
        </w:trPr>
        <w:tc>
          <w:tcPr>
            <w:tcW w:w="10560" w:type="dxa"/>
            <w:gridSpan w:val="9"/>
            <w:shd w:val="clear" w:color="auto" w:fill="auto"/>
            <w:vAlign w:val="center"/>
          </w:tcPr>
          <w:p>
            <w:pPr>
              <w:widowControl/>
              <w:spacing w:line="300" w:lineRule="exact"/>
              <w:jc w:val="center"/>
              <w:textAlignment w:val="center"/>
              <w:rPr>
                <w:rFonts w:ascii="Times New Roman" w:hAnsi="Times New Roman" w:eastAsia="宋体" w:cs="Times New Roman"/>
                <w:color w:val="000000"/>
                <w:sz w:val="28"/>
                <w:szCs w:val="28"/>
              </w:rPr>
            </w:pPr>
            <w:r>
              <w:rPr>
                <w:rFonts w:ascii="Times New Roman" w:hAnsi="Times New Roman" w:eastAsia="宋体" w:cs="Times New Roman"/>
                <w:color w:val="000000"/>
                <w:kern w:val="0"/>
                <w:sz w:val="28"/>
                <w:szCs w:val="28"/>
              </w:rPr>
              <w:t>（202</w:t>
            </w:r>
            <w:r>
              <w:rPr>
                <w:rFonts w:hint="default" w:ascii="Times New Roman" w:hAnsi="Times New Roman" w:eastAsia="宋体" w:cs="Times New Roman"/>
                <w:color w:val="000000"/>
                <w:kern w:val="0"/>
                <w:sz w:val="28"/>
                <w:szCs w:val="28"/>
              </w:rPr>
              <w:t>5</w:t>
            </w:r>
            <w:r>
              <w:rPr>
                <w:rFonts w:ascii="Times New Roman" w:hAnsi="Times New Roman" w:eastAsia="宋体" w:cs="Times New Roman"/>
                <w:color w:val="000000"/>
                <w:kern w:val="0"/>
                <w:sz w:val="28"/>
                <w:szCs w:val="28"/>
              </w:rPr>
              <w:t>年度）</w:t>
            </w:r>
          </w:p>
        </w:tc>
      </w:tr>
      <w:tr>
        <w:tblPrEx>
          <w:tblCellMar>
            <w:top w:w="15" w:type="dxa"/>
            <w:left w:w="15" w:type="dxa"/>
            <w:bottom w:w="15" w:type="dxa"/>
            <w:right w:w="15" w:type="dxa"/>
          </w:tblCellMar>
        </w:tblPrEx>
        <w:trPr>
          <w:trHeight w:val="23" w:hRule="atLeast"/>
          <w:jc w:val="center"/>
        </w:trPr>
        <w:tc>
          <w:tcPr>
            <w:tcW w:w="10560" w:type="dxa"/>
            <w:gridSpan w:val="9"/>
            <w:tcBorders>
              <w:bottom w:val="single" w:color="000000" w:sz="4" w:space="0"/>
            </w:tcBorders>
            <w:shd w:val="clear" w:color="auto" w:fill="auto"/>
            <w:vAlign w:val="center"/>
          </w:tcPr>
          <w:p>
            <w:pPr>
              <w:widowControl/>
              <w:spacing w:line="300" w:lineRule="exact"/>
              <w:jc w:val="right"/>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rPr>
              <w:t>单位：万元</w:t>
            </w:r>
          </w:p>
        </w:tc>
      </w:tr>
      <w:tr>
        <w:tblPrEx>
          <w:tblCellMar>
            <w:top w:w="15" w:type="dxa"/>
            <w:left w:w="15" w:type="dxa"/>
            <w:bottom w:w="15" w:type="dxa"/>
            <w:right w:w="15" w:type="dxa"/>
          </w:tblCellMar>
        </w:tblPrEx>
        <w:trPr>
          <w:trHeight w:val="23" w:hRule="atLeast"/>
          <w:jc w:val="center"/>
        </w:trPr>
        <w:tc>
          <w:tcPr>
            <w:tcW w:w="39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部门名称</w:t>
            </w:r>
          </w:p>
        </w:tc>
        <w:tc>
          <w:tcPr>
            <w:tcW w:w="663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4"/>
              </w:rPr>
              <w:t>沐川县审计局</w:t>
            </w:r>
          </w:p>
        </w:tc>
      </w:tr>
      <w:tr>
        <w:tblPrEx>
          <w:tblCellMar>
            <w:top w:w="15" w:type="dxa"/>
            <w:left w:w="15" w:type="dxa"/>
            <w:bottom w:w="15" w:type="dxa"/>
            <w:right w:w="15" w:type="dxa"/>
          </w:tblCellMar>
        </w:tblPrEx>
        <w:trPr>
          <w:trHeight w:val="23" w:hRule="atLeast"/>
          <w:jc w:val="center"/>
        </w:trPr>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4"/>
              </w:rPr>
              <w:t>年度部门整体预算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4"/>
              </w:rPr>
              <w:t>资金总额</w:t>
            </w: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4"/>
              </w:rPr>
              <w:t>财政拨款</w:t>
            </w:r>
          </w:p>
        </w:tc>
        <w:tc>
          <w:tcPr>
            <w:tcW w:w="4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4"/>
              </w:rPr>
              <w:t>其他资金</w:t>
            </w:r>
          </w:p>
        </w:tc>
      </w:tr>
      <w:tr>
        <w:tblPrEx>
          <w:tblCellMar>
            <w:top w:w="15" w:type="dxa"/>
            <w:left w:w="15" w:type="dxa"/>
            <w:bottom w:w="15" w:type="dxa"/>
            <w:right w:w="15" w:type="dxa"/>
          </w:tblCellMar>
        </w:tblPrEx>
        <w:trPr>
          <w:trHeight w:val="23" w:hRule="atLeast"/>
          <w:jc w:val="center"/>
        </w:trPr>
        <w:tc>
          <w:tcPr>
            <w:tcW w:w="1308" w:type="dxa"/>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收入预算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275.11</w:t>
            </w: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275.11</w:t>
            </w:r>
          </w:p>
        </w:tc>
        <w:tc>
          <w:tcPr>
            <w:tcW w:w="4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eastAsia="宋体" w:cs="Times New Roman"/>
                <w:color w:val="000000"/>
                <w:kern w:val="0"/>
                <w:sz w:val="24"/>
              </w:rPr>
            </w:pPr>
          </w:p>
        </w:tc>
      </w:tr>
      <w:tr>
        <w:tblPrEx>
          <w:tblCellMar>
            <w:top w:w="15" w:type="dxa"/>
            <w:left w:w="15" w:type="dxa"/>
            <w:bottom w:w="15" w:type="dxa"/>
            <w:right w:w="15" w:type="dxa"/>
          </w:tblCellMar>
        </w:tblPrEx>
        <w:trPr>
          <w:trHeight w:val="23" w:hRule="atLeast"/>
          <w:jc w:val="center"/>
        </w:trPr>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4"/>
              </w:rPr>
              <w:t>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4"/>
              </w:rPr>
              <w:t>275.11</w:t>
            </w: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4"/>
              </w:rPr>
              <w:t>275.11</w:t>
            </w:r>
          </w:p>
        </w:tc>
        <w:tc>
          <w:tcPr>
            <w:tcW w:w="4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Times New Roman" w:hAnsi="Times New Roman" w:eastAsia="宋体" w:cs="Times New Roman"/>
                <w:color w:val="000000"/>
                <w:sz w:val="24"/>
              </w:rPr>
            </w:pPr>
          </w:p>
        </w:tc>
      </w:tr>
      <w:tr>
        <w:tblPrEx>
          <w:tblCellMar>
            <w:top w:w="15" w:type="dxa"/>
            <w:left w:w="15" w:type="dxa"/>
            <w:bottom w:w="15" w:type="dxa"/>
            <w:right w:w="15" w:type="dxa"/>
          </w:tblCellMar>
        </w:tblPrEx>
        <w:trPr>
          <w:trHeight w:val="90" w:hRule="atLeast"/>
          <w:jc w:val="center"/>
        </w:trPr>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年度总体</w:t>
            </w:r>
          </w:p>
          <w:p>
            <w:pPr>
              <w:widowControl/>
              <w:spacing w:line="30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目标</w:t>
            </w:r>
          </w:p>
        </w:tc>
        <w:tc>
          <w:tcPr>
            <w:tcW w:w="925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对县级财政收支和法律法规规定属于审计监督范围的财务收支的真实、合法和效益进行审计监督。对公共资金、国有资产、国有资源和领导干部履行经济责任情况实行审计全覆盖，对领导干部实行自然资源资产离任审计。对国家、省、市、县有关重大政策措施贯彻落实情况进行跟踪审计。对审计、专项审计调查和核查社会审计机构相关审计报告的结果承担责任，并负有督促被审计单位整改的责任。贯彻执行国家、省、市有关审计工作的方针、政策和法律法规。依法向社会公布审计结果。指导和监督内部审计工作。</w:t>
            </w:r>
          </w:p>
        </w:tc>
      </w:tr>
      <w:tr>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年度主要</w:t>
            </w:r>
          </w:p>
          <w:p>
            <w:pPr>
              <w:widowControl/>
              <w:spacing w:line="30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任务名称</w:t>
            </w:r>
          </w:p>
        </w:tc>
        <w:tc>
          <w:tcPr>
            <w:tcW w:w="663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主要内容</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积极履行审计职责</w:t>
            </w:r>
          </w:p>
        </w:tc>
        <w:tc>
          <w:tcPr>
            <w:tcW w:w="663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贯彻执行国家、省、市有关审计工作的方针、政策和法律、法规，拟订有关审计内容的规范性文件</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扎实开展审计监督</w:t>
            </w:r>
          </w:p>
        </w:tc>
        <w:tc>
          <w:tcPr>
            <w:tcW w:w="663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负责对县本级财政收支和法律法规规定属于审计监督范围的财务收支的真实、合法和效益进行审计监督</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报告及公布审计结果</w:t>
            </w:r>
          </w:p>
        </w:tc>
        <w:tc>
          <w:tcPr>
            <w:tcW w:w="663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向县长提出县级预算执行和其他财政收支情况的审计结果报告，向政府报告对其他事项的审计和专项审计调查情况及结果，依法向社会公布审计结果</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组织实施审计项目</w:t>
            </w:r>
          </w:p>
        </w:tc>
        <w:tc>
          <w:tcPr>
            <w:tcW w:w="663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对属于审计机关审计监督对象的主要负责人实施经济责任审计；组织实施对国家财经法律、法规、规章、政策和宏观调控措施执行情况等与财政收支有关的特定事项进行专项审计调查</w:t>
            </w:r>
          </w:p>
        </w:tc>
      </w:tr>
      <w:tr>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rPr>
                <w:rFonts w:ascii="Times New Roman" w:hAnsi="Times New Roman" w:eastAsia="宋体" w:cs="Times New Roman"/>
                <w:color w:val="000000"/>
                <w:sz w:val="24"/>
              </w:rPr>
            </w:pPr>
            <w:r>
              <w:rPr>
                <w:rFonts w:hint="default" w:ascii="Times New Roman" w:hAnsi="Times New Roman" w:eastAsia="宋体" w:cs="Times New Roman"/>
                <w:color w:val="000000"/>
                <w:sz w:val="24"/>
              </w:rPr>
              <w:t>指导和监督内部审计工作</w:t>
            </w:r>
          </w:p>
        </w:tc>
        <w:tc>
          <w:tcPr>
            <w:tcW w:w="663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rPr>
                <w:rFonts w:ascii="Times New Roman" w:hAnsi="Times New Roman" w:eastAsia="宋体" w:cs="Times New Roman"/>
                <w:color w:val="000000"/>
                <w:sz w:val="24"/>
              </w:rPr>
            </w:pPr>
            <w:r>
              <w:rPr>
                <w:rFonts w:hint="default" w:ascii="Times New Roman" w:hAnsi="Times New Roman" w:eastAsia="宋体" w:cs="Times New Roman"/>
                <w:color w:val="000000"/>
                <w:sz w:val="24"/>
              </w:rPr>
              <w:t>指导和监督内部审计工作，核查社会审计机构对依法属审计监督对象的单位出具的相关审计报告</w:t>
            </w:r>
          </w:p>
        </w:tc>
      </w:tr>
      <w:tr>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年度绩效</w:t>
            </w:r>
          </w:p>
          <w:p>
            <w:pPr>
              <w:widowControl/>
              <w:spacing w:line="30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三级指标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绩效指标</w:t>
            </w:r>
          </w:p>
          <w:p>
            <w:pPr>
              <w:widowControl/>
              <w:spacing w:line="30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绩效度量单位</w:t>
            </w:r>
          </w:p>
        </w:tc>
        <w:tc>
          <w:tcPr>
            <w:tcW w:w="926" w:type="dxa"/>
            <w:tcBorders>
              <w:top w:val="single" w:color="000000" w:sz="4" w:space="0"/>
              <w:left w:val="single" w:color="000000" w:sz="4" w:space="0"/>
              <w:bottom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权重</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实际完成</w:t>
            </w:r>
          </w:p>
          <w:p>
            <w:pPr>
              <w:widowControl/>
              <w:spacing w:line="30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指标值</w:t>
            </w:r>
          </w:p>
        </w:tc>
      </w:tr>
      <w:tr>
        <w:tblPrEx>
          <w:tblCellMar>
            <w:top w:w="15" w:type="dxa"/>
            <w:left w:w="15" w:type="dxa"/>
            <w:bottom w:w="15" w:type="dxa"/>
            <w:right w:w="15" w:type="dxa"/>
          </w:tblCellMar>
        </w:tblPrEx>
        <w:trPr>
          <w:trHeight w:val="23" w:hRule="atLeast"/>
          <w:jc w:val="center"/>
        </w:trPr>
        <w:tc>
          <w:tcPr>
            <w:tcW w:w="1308" w:type="dxa"/>
            <w:vMerge w:val="continue"/>
            <w:tcBorders>
              <w:left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p>
        </w:tc>
        <w:tc>
          <w:tcPr>
            <w:tcW w:w="1347" w:type="dxa"/>
            <w:vMerge w:val="restart"/>
            <w:tcBorders>
              <w:top w:val="single" w:color="000000" w:sz="4" w:space="0"/>
              <w:left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产出指标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2"/>
                <w:szCs w:val="22"/>
              </w:rPr>
              <w:t>完成审计项目</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2"/>
                <w:szCs w:val="22"/>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2"/>
                <w:szCs w:val="22"/>
              </w:rPr>
              <w:t>8</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2"/>
                <w:szCs w:val="22"/>
              </w:rPr>
              <w:t>个</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20%</w:t>
            </w:r>
          </w:p>
        </w:tc>
        <w:tc>
          <w:tcPr>
            <w:tcW w:w="1114" w:type="dxa"/>
            <w:tcBorders>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8</w:t>
            </w:r>
          </w:p>
        </w:tc>
      </w:tr>
      <w:tr>
        <w:tblPrEx>
          <w:tblCellMar>
            <w:top w:w="15" w:type="dxa"/>
            <w:left w:w="15" w:type="dxa"/>
            <w:bottom w:w="15" w:type="dxa"/>
            <w:right w:w="15" w:type="dxa"/>
          </w:tblCellMar>
        </w:tblPrEx>
        <w:trPr>
          <w:trHeight w:val="23" w:hRule="atLeast"/>
          <w:jc w:val="center"/>
        </w:trPr>
        <w:tc>
          <w:tcPr>
            <w:tcW w:w="1308" w:type="dxa"/>
            <w:vMerge w:val="continue"/>
            <w:tcBorders>
              <w:left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p>
        </w:tc>
        <w:tc>
          <w:tcPr>
            <w:tcW w:w="1347" w:type="dxa"/>
            <w:vMerge w:val="continue"/>
            <w:tcBorders>
              <w:left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质量指标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2"/>
                <w:szCs w:val="22"/>
              </w:rPr>
              <w:t>审计整改完成率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2"/>
                <w:szCs w:val="22"/>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2"/>
                <w:szCs w:val="22"/>
              </w:rPr>
              <w:t>80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2"/>
                <w:szCs w:val="22"/>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10%</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100</w:t>
            </w:r>
          </w:p>
        </w:tc>
      </w:tr>
      <w:tr>
        <w:tblPrEx>
          <w:tblCellMar>
            <w:top w:w="15" w:type="dxa"/>
            <w:left w:w="15" w:type="dxa"/>
            <w:bottom w:w="15" w:type="dxa"/>
            <w:right w:w="15" w:type="dxa"/>
          </w:tblCellMar>
        </w:tblPrEx>
        <w:trPr>
          <w:trHeight w:val="415" w:hRule="atLeast"/>
          <w:jc w:val="center"/>
        </w:trPr>
        <w:tc>
          <w:tcPr>
            <w:tcW w:w="1308" w:type="dxa"/>
            <w:vMerge w:val="continue"/>
            <w:tcBorders>
              <w:left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p>
        </w:tc>
        <w:tc>
          <w:tcPr>
            <w:tcW w:w="1347" w:type="dxa"/>
            <w:vMerge w:val="continue"/>
            <w:tcBorders>
              <w:left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p>
        </w:tc>
        <w:tc>
          <w:tcPr>
            <w:tcW w:w="1273" w:type="dxa"/>
            <w:vMerge w:val="restart"/>
            <w:tcBorders>
              <w:top w:val="single" w:color="000000" w:sz="4" w:space="0"/>
              <w:left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时效指标</w:t>
            </w:r>
          </w:p>
        </w:tc>
        <w:tc>
          <w:tcPr>
            <w:tcW w:w="1100"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2"/>
                <w:szCs w:val="22"/>
              </w:rPr>
              <w:t>经济事项请示按时办结率</w:t>
            </w:r>
          </w:p>
        </w:tc>
        <w:tc>
          <w:tcPr>
            <w:tcW w:w="1145"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2"/>
                <w:szCs w:val="22"/>
              </w:rPr>
              <w:t>≥</w:t>
            </w:r>
          </w:p>
        </w:tc>
        <w:tc>
          <w:tcPr>
            <w:tcW w:w="1289"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2"/>
                <w:szCs w:val="22"/>
              </w:rPr>
              <w:t>90</w:t>
            </w:r>
          </w:p>
        </w:tc>
        <w:tc>
          <w:tcPr>
            <w:tcW w:w="1058"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2"/>
                <w:szCs w:val="22"/>
              </w:rPr>
              <w:t>%</w:t>
            </w:r>
          </w:p>
        </w:tc>
        <w:tc>
          <w:tcPr>
            <w:tcW w:w="926"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10%</w:t>
            </w:r>
          </w:p>
        </w:tc>
        <w:tc>
          <w:tcPr>
            <w:tcW w:w="1114"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100</w:t>
            </w:r>
          </w:p>
        </w:tc>
      </w:tr>
      <w:tr>
        <w:tblPrEx>
          <w:tblCellMar>
            <w:top w:w="15" w:type="dxa"/>
            <w:left w:w="15" w:type="dxa"/>
            <w:bottom w:w="15" w:type="dxa"/>
            <w:right w:w="15" w:type="dxa"/>
          </w:tblCellMar>
        </w:tblPrEx>
        <w:trPr>
          <w:trHeight w:val="415" w:hRule="atLeast"/>
          <w:jc w:val="center"/>
        </w:trPr>
        <w:tc>
          <w:tcPr>
            <w:tcW w:w="1308" w:type="dxa"/>
            <w:vMerge w:val="continue"/>
            <w:tcBorders>
              <w:left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p>
        </w:tc>
        <w:tc>
          <w:tcPr>
            <w:tcW w:w="1347"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p>
        </w:tc>
        <w:tc>
          <w:tcPr>
            <w:tcW w:w="1273" w:type="dxa"/>
            <w:vMerge w:val="continue"/>
            <w:tcBorders>
              <w:left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kern w:val="0"/>
                <w:sz w:val="24"/>
              </w:rPr>
            </w:pPr>
          </w:p>
        </w:tc>
        <w:tc>
          <w:tcPr>
            <w:tcW w:w="1100"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2"/>
                <w:szCs w:val="22"/>
              </w:rPr>
              <w:t>审计项目按时完成率</w:t>
            </w:r>
          </w:p>
        </w:tc>
        <w:tc>
          <w:tcPr>
            <w:tcW w:w="1145"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2"/>
                <w:szCs w:val="22"/>
              </w:rPr>
              <w:t>≥</w:t>
            </w:r>
          </w:p>
        </w:tc>
        <w:tc>
          <w:tcPr>
            <w:tcW w:w="1289"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2"/>
                <w:szCs w:val="22"/>
              </w:rPr>
              <w:t>80</w:t>
            </w:r>
          </w:p>
        </w:tc>
        <w:tc>
          <w:tcPr>
            <w:tcW w:w="1058"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2"/>
                <w:szCs w:val="22"/>
              </w:rPr>
              <w:t>%</w:t>
            </w:r>
          </w:p>
        </w:tc>
        <w:tc>
          <w:tcPr>
            <w:tcW w:w="926"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p>
        </w:tc>
        <w:tc>
          <w:tcPr>
            <w:tcW w:w="1114"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100</w:t>
            </w:r>
          </w:p>
        </w:tc>
      </w:tr>
      <w:tr>
        <w:tblPrEx>
          <w:tblCellMar>
            <w:top w:w="15" w:type="dxa"/>
            <w:left w:w="15" w:type="dxa"/>
            <w:bottom w:w="15" w:type="dxa"/>
            <w:right w:w="15" w:type="dxa"/>
          </w:tblCellMar>
        </w:tblPrEx>
        <w:trPr>
          <w:trHeight w:val="1005" w:hRule="atLeast"/>
          <w:jc w:val="center"/>
        </w:trPr>
        <w:tc>
          <w:tcPr>
            <w:tcW w:w="1308" w:type="dxa"/>
            <w:vMerge w:val="continue"/>
            <w:tcBorders>
              <w:left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效益指标</w:t>
            </w:r>
          </w:p>
        </w:tc>
        <w:tc>
          <w:tcPr>
            <w:tcW w:w="1273" w:type="dxa"/>
            <w:tcBorders>
              <w:top w:val="single" w:color="000000" w:sz="4" w:space="0"/>
              <w:left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社会效益</w:t>
            </w:r>
          </w:p>
          <w:p>
            <w:pPr>
              <w:widowControl/>
              <w:spacing w:line="30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利于经济社会发展</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高中低</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10%</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高</w:t>
            </w:r>
          </w:p>
        </w:tc>
      </w:tr>
      <w:tr>
        <w:tblPrEx>
          <w:tblCellMar>
            <w:top w:w="15" w:type="dxa"/>
            <w:left w:w="15" w:type="dxa"/>
            <w:bottom w:w="15" w:type="dxa"/>
            <w:right w:w="15" w:type="dxa"/>
          </w:tblCellMar>
        </w:tblPrEx>
        <w:trPr>
          <w:trHeight w:val="23" w:hRule="atLeast"/>
          <w:jc w:val="center"/>
        </w:trPr>
        <w:tc>
          <w:tcPr>
            <w:tcW w:w="1308" w:type="dxa"/>
            <w:vMerge w:val="continue"/>
            <w:tcBorders>
              <w:left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4"/>
              </w:rPr>
              <w:t>经济效益指标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经济效益指标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高中低</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10%</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高</w:t>
            </w:r>
          </w:p>
        </w:tc>
      </w:tr>
      <w:tr>
        <w:tblPrEx>
          <w:tblCellMar>
            <w:top w:w="15" w:type="dxa"/>
            <w:left w:w="15" w:type="dxa"/>
            <w:bottom w:w="15" w:type="dxa"/>
            <w:right w:w="15" w:type="dxa"/>
          </w:tblCellMar>
        </w:tblPrEx>
        <w:trPr>
          <w:trHeight w:val="924" w:hRule="atLeast"/>
          <w:jc w:val="center"/>
        </w:trPr>
        <w:tc>
          <w:tcPr>
            <w:tcW w:w="1308" w:type="dxa"/>
            <w:vMerge w:val="continue"/>
            <w:tcBorders>
              <w:left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2"/>
                <w:szCs w:val="22"/>
              </w:rPr>
              <w:t>职工满意度</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2"/>
                <w:szCs w:val="22"/>
              </w:rPr>
              <w:t>好较好差</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10%</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好</w:t>
            </w:r>
          </w:p>
        </w:tc>
      </w:tr>
      <w:tr>
        <w:tblPrEx>
          <w:tblCellMar>
            <w:top w:w="15" w:type="dxa"/>
            <w:left w:w="15" w:type="dxa"/>
            <w:bottom w:w="15" w:type="dxa"/>
            <w:right w:w="15" w:type="dxa"/>
          </w:tblCellMar>
        </w:tblPrEx>
        <w:trPr>
          <w:trHeight w:val="23" w:hRule="atLeast"/>
          <w:jc w:val="center"/>
        </w:trPr>
        <w:tc>
          <w:tcPr>
            <w:tcW w:w="1308"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300" w:lineRule="exact"/>
              <w:jc w:val="center"/>
              <w:rPr>
                <w:rFonts w:ascii="Times New Roman" w:hAnsi="Times New Roman" w:eastAsia="宋体" w:cs="Times New Roman"/>
                <w:color w:val="000000"/>
                <w:sz w:val="24"/>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kern w:val="0"/>
                <w:sz w:val="24"/>
              </w:rPr>
            </w:pPr>
            <w:r>
              <w:rPr>
                <w:rFonts w:hint="default" w:ascii="Times New Roman" w:hAnsi="Times New Roman" w:eastAsia="宋体" w:cs="Times New Roman"/>
                <w:color w:val="000000"/>
                <w:kern w:val="0"/>
                <w:sz w:val="22"/>
                <w:szCs w:val="22"/>
              </w:rPr>
              <w:t>成本指标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kern w:val="0"/>
                <w:sz w:val="24"/>
              </w:rPr>
            </w:pPr>
            <w:r>
              <w:rPr>
                <w:rFonts w:hint="default" w:ascii="Times New Roman" w:hAnsi="Times New Roman" w:eastAsia="宋体" w:cs="Times New Roman"/>
                <w:color w:val="000000"/>
                <w:kern w:val="0"/>
                <w:sz w:val="22"/>
                <w:szCs w:val="22"/>
              </w:rPr>
              <w:t>经济成本指标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2"/>
                <w:szCs w:val="22"/>
              </w:rPr>
              <w:t>从简节约，反对浪费</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2"/>
                <w:szCs w:val="22"/>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2"/>
                <w:szCs w:val="22"/>
              </w:rPr>
              <w:t>高中低</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kern w:val="0"/>
                <w:sz w:val="24"/>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kern w:val="0"/>
                <w:sz w:val="22"/>
                <w:szCs w:val="22"/>
              </w:rPr>
              <w:t>20%</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 w:val="24"/>
              </w:rPr>
            </w:pPr>
            <w:r>
              <w:rPr>
                <w:rFonts w:hint="default" w:ascii="Times New Roman" w:hAnsi="Times New Roman" w:eastAsia="宋体" w:cs="Times New Roman"/>
                <w:color w:val="000000"/>
                <w:sz w:val="24"/>
              </w:rPr>
              <w:t>高</w:t>
            </w:r>
          </w:p>
        </w:tc>
      </w:tr>
    </w:tbl>
    <w:p>
      <w:pPr>
        <w:pStyle w:val="6"/>
        <w:rPr>
          <w:rFonts w:hint="default" w:ascii="Times New Roman" w:hAnsi="Times New Roman" w:cs="Times New Roman"/>
          <w:color w:val="FF0000"/>
          <w:kern w:val="0"/>
          <w:sz w:val="32"/>
          <w:szCs w:val="32"/>
          <w:highlight w:val="yellow"/>
          <w:shd w:val="clear" w:color="auto" w:fill="FFFFFF"/>
          <w:lang w:val="zh-CN"/>
        </w:rPr>
      </w:pPr>
    </w:p>
    <w:p>
      <w:pPr>
        <w:rPr>
          <w:rFonts w:hint="default" w:ascii="Times New Roman" w:hAnsi="Times New Roman" w:eastAsia="黑体" w:cs="Times New Roman"/>
          <w:color w:val="auto"/>
          <w:kern w:val="0"/>
          <w:sz w:val="32"/>
          <w:szCs w:val="32"/>
          <w:highlight w:val="none"/>
          <w:shd w:val="clear" w:color="auto" w:fill="FFFFFF"/>
          <w:lang w:val="zh-CN"/>
        </w:rPr>
      </w:pPr>
      <w:r>
        <w:rPr>
          <w:rFonts w:hint="default" w:ascii="Times New Roman" w:hAnsi="Times New Roman" w:eastAsia="黑体" w:cs="Times New Roman"/>
          <w:color w:val="auto"/>
          <w:kern w:val="0"/>
          <w:sz w:val="32"/>
          <w:szCs w:val="32"/>
          <w:highlight w:val="none"/>
          <w:shd w:val="clear" w:color="auto" w:fill="FFFFFF"/>
          <w:lang w:val="zh-CN"/>
        </w:rPr>
        <w:br w:type="page"/>
      </w:r>
    </w:p>
    <w:p>
      <w:pPr>
        <w:pStyle w:val="6"/>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kern w:val="0"/>
          <w:sz w:val="32"/>
          <w:szCs w:val="32"/>
          <w:highlight w:val="none"/>
          <w:shd w:val="clear" w:color="auto" w:fill="FFFFFF"/>
          <w:lang w:val="zh-CN"/>
        </w:rPr>
        <w:t>附件</w:t>
      </w:r>
      <w:r>
        <w:rPr>
          <w:rFonts w:hint="default" w:ascii="Times New Roman" w:hAnsi="Times New Roman" w:eastAsia="黑体" w:cs="Times New Roman"/>
          <w:color w:val="auto"/>
          <w:kern w:val="0"/>
          <w:sz w:val="32"/>
          <w:szCs w:val="32"/>
          <w:highlight w:val="none"/>
          <w:shd w:val="clear" w:color="auto" w:fill="FFFFFF"/>
          <w:lang w:val="en-US" w:eastAsia="zh-CN"/>
        </w:rPr>
        <w:t>2</w:t>
      </w:r>
    </w:p>
    <w:p>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p>
    <w:p>
      <w:pPr>
        <w:widowControl w:val="0"/>
        <w:spacing w:line="578" w:lineRule="exact"/>
        <w:jc w:val="center"/>
        <w:rPr>
          <w:rFonts w:ascii="Times New Roman" w:hAnsi="Times New Roman" w:eastAsia="方正小标宋简体" w:cs="Times New Roman"/>
          <w:color w:val="auto"/>
          <w:kern w:val="2"/>
          <w:sz w:val="44"/>
          <w:szCs w:val="44"/>
          <w:lang w:val="en-US" w:eastAsia="zh-CN" w:bidi="ar-SA"/>
        </w:rPr>
      </w:pPr>
      <w:r>
        <w:rPr>
          <w:rFonts w:hint="default" w:ascii="Times New Roman" w:hAnsi="Times New Roman" w:eastAsia="方正小标宋简体" w:cs="Times New Roman"/>
          <w:color w:val="auto"/>
          <w:kern w:val="2"/>
          <w:sz w:val="44"/>
          <w:szCs w:val="44"/>
          <w:highlight w:val="none"/>
          <w:lang w:val="en-US" w:eastAsia="zh-CN"/>
        </w:rPr>
        <w:t>专项预算项目绩效评价</w:t>
      </w:r>
      <w:r>
        <w:rPr>
          <w:rFonts w:ascii="Times New Roman" w:hAnsi="Times New Roman" w:eastAsia="方正小标宋简体" w:cs="Times New Roman"/>
          <w:color w:val="auto"/>
          <w:kern w:val="2"/>
          <w:sz w:val="44"/>
          <w:szCs w:val="44"/>
          <w:lang w:val="en-US" w:eastAsia="zh-CN" w:bidi="ar-SA"/>
        </w:rPr>
        <w:t>报告</w:t>
      </w:r>
    </w:p>
    <w:p>
      <w:pPr>
        <w:widowControl w:val="0"/>
        <w:spacing w:line="590" w:lineRule="exact"/>
        <w:ind w:firstLine="640"/>
        <w:jc w:val="center"/>
        <w:rPr>
          <w:rFonts w:ascii="Times New Roman" w:hAnsi="Times New Roman" w:eastAsia="宋体" w:cs="Times New Roman"/>
          <w:color w:val="auto"/>
          <w:kern w:val="2"/>
          <w:sz w:val="32"/>
          <w:szCs w:val="32"/>
          <w:lang w:val="zh-CN" w:eastAsia="zh-CN" w:bidi="ar-SA"/>
        </w:rPr>
      </w:pPr>
    </w:p>
    <w:p>
      <w:pPr>
        <w:spacing w:line="590" w:lineRule="exact"/>
        <w:ind w:firstLine="640" w:firstLineChars="200"/>
        <w:rPr>
          <w:rFonts w:ascii="Times New Roman" w:hAnsi="Times New Roman" w:eastAsia="黑体" w:cs="Times New Roman"/>
          <w:sz w:val="32"/>
          <w:szCs w:val="32"/>
          <w:lang w:val="zh-CN"/>
        </w:rPr>
      </w:pPr>
      <w:bookmarkStart w:id="50" w:name="OLE_LINK2"/>
      <w:r>
        <w:rPr>
          <w:rFonts w:ascii="Times New Roman" w:hAnsi="Times New Roman" w:eastAsia="黑体" w:cs="Times New Roman"/>
          <w:sz w:val="32"/>
          <w:szCs w:val="32"/>
        </w:rPr>
        <w:t>一、</w:t>
      </w:r>
      <w:r>
        <w:rPr>
          <w:rFonts w:ascii="Times New Roman" w:hAnsi="Times New Roman" w:eastAsia="黑体" w:cs="Times New Roman"/>
          <w:sz w:val="32"/>
          <w:szCs w:val="32"/>
          <w:lang w:val="zh-CN"/>
        </w:rPr>
        <w:t>项目概况</w:t>
      </w:r>
    </w:p>
    <w:p>
      <w:pPr>
        <w:widowControl/>
        <w:spacing w:line="600" w:lineRule="exact"/>
        <w:ind w:firstLine="640" w:firstLineChars="200"/>
        <w:jc w:val="both"/>
        <w:rPr>
          <w:rFonts w:ascii="Times New Roman" w:hAnsi="Times New Roman" w:eastAsia="仿宋_GB2312" w:cs="Times New Roman"/>
          <w:kern w:val="2"/>
          <w:sz w:val="32"/>
          <w:szCs w:val="32"/>
          <w:lang w:val="en-US" w:eastAsia="zh-CN" w:bidi="ar-SA"/>
        </w:rPr>
      </w:pPr>
      <w:r>
        <w:rPr>
          <w:rFonts w:ascii="Times New Roman" w:hAnsi="Times New Roman" w:eastAsia="楷体_GB2312" w:cs="Times New Roman"/>
          <w:b w:val="0"/>
          <w:bCs/>
          <w:kern w:val="2"/>
          <w:sz w:val="32"/>
          <w:szCs w:val="32"/>
          <w:lang w:val="en-US" w:eastAsia="zh-CN" w:bidi="ar-SA"/>
        </w:rPr>
        <w:t>（一）</w:t>
      </w:r>
      <w:r>
        <w:rPr>
          <w:rFonts w:ascii="Times New Roman" w:hAnsi="Times New Roman" w:eastAsia="楷体_GB2312" w:cs="Times New Roman"/>
          <w:b w:val="0"/>
          <w:bCs/>
          <w:kern w:val="2"/>
          <w:sz w:val="32"/>
          <w:szCs w:val="32"/>
          <w:lang w:val="zh-CN" w:eastAsia="zh-CN" w:bidi="ar-SA"/>
        </w:rPr>
        <w:t>设立背景及基本情况</w:t>
      </w:r>
      <w:r>
        <w:rPr>
          <w:rFonts w:ascii="Times New Roman" w:hAnsi="Times New Roman" w:eastAsia="微软雅黑" w:cs="Times New Roman"/>
          <w:color w:val="000000"/>
          <w:kern w:val="0"/>
          <w:sz w:val="27"/>
          <w:szCs w:val="27"/>
          <w:lang w:val="en-US" w:eastAsia="zh-CN" w:bidi="ar"/>
        </w:rPr>
        <w:br w:type="textWrapping"/>
      </w:r>
      <w:r>
        <w:rPr>
          <w:rFonts w:ascii="Times New Roman" w:hAnsi="Times New Roman" w:eastAsia="微软雅黑" w:cs="Times New Roman"/>
          <w:color w:val="000000"/>
          <w:kern w:val="0"/>
          <w:sz w:val="32"/>
          <w:szCs w:val="32"/>
          <w:lang w:val="en-US" w:eastAsia="zh-CN" w:bidi="ar"/>
        </w:rPr>
        <w:t xml:space="preserve">  </w:t>
      </w:r>
      <w:r>
        <w:rPr>
          <w:rFonts w:ascii="Times New Roman" w:hAnsi="Times New Roman" w:eastAsia="仿宋_GB2312" w:cs="Times New Roman"/>
          <w:kern w:val="2"/>
          <w:sz w:val="32"/>
          <w:szCs w:val="32"/>
          <w:lang w:val="en-US" w:eastAsia="zh-CN" w:bidi="ar-SA"/>
        </w:rPr>
        <w:t xml:space="preserve">   沐川县审计局202</w:t>
      </w:r>
      <w:r>
        <w:rPr>
          <w:rFonts w:hint="default" w:ascii="Times New Roman" w:hAnsi="Times New Roman" w:eastAsia="仿宋_GB2312" w:cs="Times New Roman"/>
          <w:kern w:val="2"/>
          <w:sz w:val="32"/>
          <w:szCs w:val="32"/>
          <w:lang w:val="en-US" w:eastAsia="zh-CN" w:bidi="ar-SA"/>
        </w:rPr>
        <w:t>5</w:t>
      </w:r>
      <w:r>
        <w:rPr>
          <w:rFonts w:ascii="Times New Roman" w:hAnsi="Times New Roman" w:eastAsia="仿宋_GB2312" w:cs="Times New Roman"/>
          <w:kern w:val="2"/>
          <w:sz w:val="32"/>
          <w:szCs w:val="32"/>
          <w:lang w:val="en-US" w:eastAsia="zh-CN" w:bidi="ar-SA"/>
        </w:rPr>
        <w:t>年实施项目总计</w:t>
      </w:r>
      <w:r>
        <w:rPr>
          <w:rFonts w:hint="default" w:ascii="Times New Roman" w:hAnsi="Times New Roman" w:eastAsia="仿宋_GB2312" w:cs="Times New Roman"/>
          <w:kern w:val="2"/>
          <w:sz w:val="32"/>
          <w:szCs w:val="32"/>
          <w:lang w:val="en-US" w:eastAsia="zh-CN" w:bidi="ar-SA"/>
        </w:rPr>
        <w:t>2</w:t>
      </w:r>
      <w:r>
        <w:rPr>
          <w:rFonts w:ascii="Times New Roman" w:hAnsi="Times New Roman" w:eastAsia="仿宋_GB2312" w:cs="Times New Roman"/>
          <w:kern w:val="2"/>
          <w:sz w:val="32"/>
          <w:szCs w:val="32"/>
          <w:lang w:val="en-US" w:eastAsia="zh-CN" w:bidi="ar-SA"/>
        </w:rPr>
        <w:t>个，资金总额</w:t>
      </w:r>
      <w:r>
        <w:rPr>
          <w:rFonts w:hint="default" w:ascii="Times New Roman" w:hAnsi="Times New Roman" w:eastAsia="仿宋_GB2312" w:cs="Times New Roman"/>
          <w:kern w:val="2"/>
          <w:sz w:val="32"/>
          <w:szCs w:val="32"/>
          <w:lang w:val="en-US" w:eastAsia="zh-CN" w:bidi="ar-SA"/>
        </w:rPr>
        <w:t>17.37</w:t>
      </w:r>
      <w:r>
        <w:rPr>
          <w:rFonts w:ascii="Times New Roman" w:hAnsi="Times New Roman" w:eastAsia="仿宋_GB2312" w:cs="Times New Roman"/>
          <w:kern w:val="2"/>
          <w:sz w:val="32"/>
          <w:szCs w:val="32"/>
          <w:lang w:val="en-US" w:eastAsia="zh-CN" w:bidi="ar-SA"/>
        </w:rPr>
        <w:t>万元，开展自评项目</w:t>
      </w:r>
      <w:r>
        <w:rPr>
          <w:rFonts w:hint="default" w:ascii="Times New Roman" w:hAnsi="Times New Roman" w:eastAsia="仿宋_GB2312" w:cs="Times New Roman"/>
          <w:kern w:val="2"/>
          <w:sz w:val="32"/>
          <w:szCs w:val="32"/>
          <w:lang w:val="en-US" w:eastAsia="zh-CN" w:bidi="ar-SA"/>
        </w:rPr>
        <w:t>2</w:t>
      </w:r>
      <w:r>
        <w:rPr>
          <w:rFonts w:ascii="Times New Roman" w:hAnsi="Times New Roman" w:eastAsia="仿宋_GB2312" w:cs="Times New Roman"/>
          <w:kern w:val="2"/>
          <w:sz w:val="32"/>
          <w:szCs w:val="32"/>
          <w:lang w:val="en-US" w:eastAsia="zh-CN" w:bidi="ar-SA"/>
        </w:rPr>
        <w:t>个，涉及资金</w:t>
      </w:r>
      <w:r>
        <w:rPr>
          <w:rFonts w:hint="default" w:ascii="Times New Roman" w:hAnsi="Times New Roman" w:eastAsia="仿宋_GB2312" w:cs="Times New Roman"/>
          <w:kern w:val="2"/>
          <w:sz w:val="32"/>
          <w:szCs w:val="32"/>
          <w:lang w:val="en-US" w:eastAsia="zh-CN" w:bidi="ar-SA"/>
        </w:rPr>
        <w:t>17.37</w:t>
      </w:r>
      <w:r>
        <w:rPr>
          <w:rFonts w:ascii="Times New Roman" w:hAnsi="Times New Roman" w:eastAsia="仿宋_GB2312" w:cs="Times New Roman"/>
          <w:kern w:val="2"/>
          <w:sz w:val="32"/>
          <w:szCs w:val="32"/>
          <w:lang w:val="en-US" w:eastAsia="zh-CN" w:bidi="ar-SA"/>
        </w:rPr>
        <w:t>万元，主要包括中央和省级财政审计专项资金</w:t>
      </w:r>
      <w:r>
        <w:rPr>
          <w:rFonts w:hint="default" w:ascii="Times New Roman" w:hAnsi="Times New Roman" w:eastAsia="仿宋_GB2312" w:cs="Times New Roman"/>
          <w:kern w:val="2"/>
          <w:sz w:val="32"/>
          <w:szCs w:val="32"/>
          <w:lang w:val="en-US" w:eastAsia="zh-CN" w:bidi="ar-SA"/>
        </w:rPr>
        <w:t>11.5</w:t>
      </w:r>
      <w:r>
        <w:rPr>
          <w:rFonts w:ascii="Times New Roman" w:hAnsi="Times New Roman" w:eastAsia="仿宋_GB2312" w:cs="Times New Roman"/>
          <w:kern w:val="2"/>
          <w:sz w:val="32"/>
          <w:szCs w:val="32"/>
          <w:lang w:val="en-US" w:eastAsia="zh-CN" w:bidi="ar-SA"/>
        </w:rPr>
        <w:t>万元、</w:t>
      </w:r>
      <w:r>
        <w:rPr>
          <w:rFonts w:hint="default" w:ascii="Times New Roman" w:hAnsi="Times New Roman" w:eastAsia="仿宋_GB2312" w:cs="Times New Roman"/>
          <w:kern w:val="2"/>
          <w:sz w:val="32"/>
          <w:szCs w:val="32"/>
          <w:lang w:val="en-US" w:eastAsia="zh-CN" w:bidi="ar-SA"/>
        </w:rPr>
        <w:t>审计</w:t>
      </w:r>
      <w:r>
        <w:rPr>
          <w:rFonts w:ascii="Times New Roman" w:hAnsi="Times New Roman" w:eastAsia="仿宋_GB2312" w:cs="Times New Roman"/>
          <w:kern w:val="2"/>
          <w:sz w:val="32"/>
          <w:szCs w:val="32"/>
          <w:lang w:val="en-US" w:eastAsia="zh-CN" w:bidi="ar-SA"/>
        </w:rPr>
        <w:t>工作经费</w:t>
      </w:r>
      <w:r>
        <w:rPr>
          <w:rFonts w:hint="default" w:ascii="Times New Roman" w:hAnsi="Times New Roman" w:eastAsia="仿宋_GB2312" w:cs="Times New Roman"/>
          <w:kern w:val="2"/>
          <w:sz w:val="32"/>
          <w:szCs w:val="32"/>
          <w:lang w:val="en-US" w:eastAsia="zh-CN" w:bidi="ar-SA"/>
        </w:rPr>
        <w:t>5.87</w:t>
      </w:r>
      <w:r>
        <w:rPr>
          <w:rFonts w:ascii="Times New Roman" w:hAnsi="Times New Roman" w:eastAsia="仿宋_GB2312" w:cs="Times New Roman"/>
          <w:kern w:val="2"/>
          <w:sz w:val="32"/>
          <w:szCs w:val="32"/>
          <w:lang w:val="en-US" w:eastAsia="zh-CN" w:bidi="ar-SA"/>
        </w:rPr>
        <w:t>万元。</w:t>
      </w:r>
    </w:p>
    <w:p>
      <w:pPr>
        <w:widowControl/>
        <w:spacing w:line="600" w:lineRule="exact"/>
        <w:ind w:firstLine="640" w:firstLineChars="200"/>
        <w:jc w:val="left"/>
        <w:rPr>
          <w:rFonts w:ascii="Times New Roman" w:hAnsi="Times New Roman" w:eastAsia="楷体_GB2312" w:cs="Times New Roman"/>
          <w:b/>
          <w:kern w:val="2"/>
          <w:sz w:val="32"/>
          <w:szCs w:val="32"/>
          <w:lang w:val="en-US" w:eastAsia="zh-CN" w:bidi="ar-SA"/>
        </w:rPr>
      </w:pPr>
      <w:r>
        <w:rPr>
          <w:rFonts w:ascii="Times New Roman" w:hAnsi="Times New Roman" w:eastAsia="仿宋_GB2312" w:cs="Times New Roman"/>
          <w:kern w:val="2"/>
          <w:sz w:val="32"/>
          <w:szCs w:val="32"/>
          <w:lang w:val="en-US" w:eastAsia="zh-CN" w:bidi="ar-SA"/>
        </w:rPr>
        <w:t>1.项目名称：中央和省级财政审计专项资金，主要用于保障本单位职工的正常办公、生活秩序、本单位日常工作的顺利开展、审计工作的开展，确保履行好审计监督的基本职能，实施主体：沐川县审计局</w:t>
      </w:r>
      <w:r>
        <w:rPr>
          <w:rFonts w:hint="default" w:ascii="Times New Roman" w:hAnsi="Times New Roman" w:eastAsia="仿宋_GB2312" w:cs="Times New Roman"/>
          <w:kern w:val="2"/>
          <w:sz w:val="32"/>
          <w:szCs w:val="32"/>
          <w:lang w:val="en-US" w:eastAsia="zh-CN" w:bidi="ar-SA"/>
        </w:rPr>
        <w:t>，</w:t>
      </w:r>
      <w:r>
        <w:rPr>
          <w:rFonts w:ascii="Times New Roman" w:hAnsi="Times New Roman" w:eastAsia="仿宋_GB2312" w:cs="Times New Roman"/>
          <w:kern w:val="2"/>
          <w:sz w:val="32"/>
          <w:szCs w:val="32"/>
          <w:lang w:val="en-US" w:eastAsia="zh-CN" w:bidi="ar-SA"/>
        </w:rPr>
        <w:t>预算数</w:t>
      </w:r>
      <w:r>
        <w:rPr>
          <w:rFonts w:hint="default" w:ascii="Times New Roman" w:hAnsi="Times New Roman" w:eastAsia="仿宋_GB2312" w:cs="Times New Roman"/>
          <w:kern w:val="2"/>
          <w:sz w:val="32"/>
          <w:szCs w:val="32"/>
          <w:lang w:val="en-US" w:eastAsia="zh-CN" w:bidi="ar-SA"/>
        </w:rPr>
        <w:t>11.5</w:t>
      </w:r>
      <w:r>
        <w:rPr>
          <w:rFonts w:ascii="Times New Roman" w:hAnsi="Times New Roman" w:eastAsia="仿宋_GB2312" w:cs="Times New Roman"/>
          <w:kern w:val="2"/>
          <w:sz w:val="32"/>
          <w:szCs w:val="32"/>
          <w:lang w:val="en-US" w:eastAsia="zh-CN" w:bidi="ar-SA"/>
        </w:rPr>
        <w:t>万元（沐财预追[2025]总0602第539号</w:t>
      </w:r>
      <w:r>
        <w:rPr>
          <w:rFonts w:hint="default" w:ascii="Times New Roman" w:hAnsi="Times New Roman" w:eastAsia="仿宋_GB2312" w:cs="Times New Roman"/>
          <w:kern w:val="2"/>
          <w:sz w:val="32"/>
          <w:szCs w:val="32"/>
          <w:lang w:val="en-US" w:eastAsia="zh-CN" w:bidi="ar-SA"/>
        </w:rPr>
        <w:t>文件</w:t>
      </w:r>
      <w:r>
        <w:rPr>
          <w:rFonts w:ascii="Times New Roman" w:hAnsi="Times New Roman" w:eastAsia="仿宋_GB2312" w:cs="Times New Roman"/>
          <w:kern w:val="2"/>
          <w:sz w:val="32"/>
          <w:szCs w:val="32"/>
          <w:lang w:val="en-US" w:eastAsia="zh-CN" w:bidi="ar-SA"/>
        </w:rPr>
        <w:t>）。项目绩效目标为：保障本单位职工的正常办公、生活秩序；保障本单位日常工作的顺利开展；保障审计工作的开展，确保履行好审计监督的基本职能。通过项目实施做到了勤俭节约、节能环保，保障了机关正常的办公，干部职工满意度达到100%。</w:t>
      </w:r>
      <w:r>
        <w:rPr>
          <w:rFonts w:ascii="Times New Roman" w:hAnsi="Times New Roman" w:eastAsia="楷体_GB2312" w:cs="Times New Roman"/>
          <w:b/>
          <w:kern w:val="2"/>
          <w:sz w:val="32"/>
          <w:szCs w:val="32"/>
          <w:lang w:val="en-US" w:eastAsia="zh-CN" w:bidi="ar-SA"/>
        </w:rPr>
        <w:t xml:space="preserve"> </w:t>
      </w:r>
    </w:p>
    <w:p>
      <w:pPr>
        <w:widowControl/>
        <w:spacing w:line="600" w:lineRule="exact"/>
        <w:ind w:firstLine="640" w:firstLineChars="200"/>
        <w:jc w:val="left"/>
        <w:rPr>
          <w:rFonts w:ascii="Times New Roman" w:hAnsi="Times New Roman" w:eastAsia="宋体" w:cs="Times New Roman"/>
          <w:kern w:val="0"/>
          <w:sz w:val="24"/>
          <w:szCs w:val="24"/>
          <w:shd w:val="clear" w:color="auto" w:fill="FFFFFF"/>
          <w:lang w:val="zh-CN" w:eastAsia="zh-CN" w:bidi="ar-SA"/>
        </w:rPr>
      </w:pPr>
      <w:r>
        <w:rPr>
          <w:rFonts w:hint="default" w:ascii="Times New Roman" w:hAnsi="Times New Roman" w:eastAsia="仿宋_GB2312" w:cs="Times New Roman"/>
          <w:kern w:val="2"/>
          <w:sz w:val="32"/>
          <w:szCs w:val="32"/>
          <w:lang w:val="en-US" w:eastAsia="zh-CN" w:bidi="ar-SA"/>
        </w:rPr>
        <w:t>2</w:t>
      </w:r>
      <w:r>
        <w:rPr>
          <w:rFonts w:ascii="Times New Roman" w:hAnsi="Times New Roman" w:eastAsia="仿宋_GB2312" w:cs="Times New Roman"/>
          <w:kern w:val="2"/>
          <w:sz w:val="32"/>
          <w:szCs w:val="32"/>
          <w:lang w:val="en-US" w:eastAsia="zh-CN" w:bidi="ar-SA"/>
        </w:rPr>
        <w:t>.项目名称：</w:t>
      </w:r>
      <w:r>
        <w:rPr>
          <w:rFonts w:hint="default" w:ascii="Times New Roman" w:hAnsi="Times New Roman" w:eastAsia="仿宋_GB2312" w:cs="Times New Roman"/>
          <w:kern w:val="2"/>
          <w:sz w:val="32"/>
          <w:szCs w:val="32"/>
          <w:lang w:val="en-US" w:eastAsia="zh-CN" w:bidi="ar-SA"/>
        </w:rPr>
        <w:t>审计</w:t>
      </w:r>
      <w:r>
        <w:rPr>
          <w:rFonts w:ascii="Times New Roman" w:hAnsi="Times New Roman" w:eastAsia="仿宋_GB2312" w:cs="Times New Roman"/>
          <w:kern w:val="2"/>
          <w:sz w:val="32"/>
          <w:szCs w:val="32"/>
          <w:lang w:val="en-US" w:eastAsia="zh-CN" w:bidi="ar-SA"/>
        </w:rPr>
        <w:t>工作经费，主要用于保障本单位职工的正常办公、生活秩序、本单位日常工作的顺利开展、审计工作的开展，确保履行好审计监督的基本职能，实施主体：沐川县审计局，预算数</w:t>
      </w:r>
      <w:r>
        <w:rPr>
          <w:rFonts w:hint="default" w:ascii="Times New Roman" w:hAnsi="Times New Roman" w:eastAsia="仿宋_GB2312" w:cs="Times New Roman"/>
          <w:kern w:val="2"/>
          <w:sz w:val="32"/>
          <w:szCs w:val="32"/>
          <w:lang w:val="en-US" w:eastAsia="zh-CN" w:bidi="ar-SA"/>
        </w:rPr>
        <w:t>5.87</w:t>
      </w:r>
      <w:r>
        <w:rPr>
          <w:rFonts w:ascii="Times New Roman" w:hAnsi="Times New Roman" w:eastAsia="仿宋_GB2312" w:cs="Times New Roman"/>
          <w:kern w:val="2"/>
          <w:sz w:val="32"/>
          <w:szCs w:val="32"/>
          <w:lang w:val="en-US" w:eastAsia="zh-CN" w:bidi="ar-SA"/>
        </w:rPr>
        <w:t>万元。项目绩效目标为：保障本单位职工的正常办公、生活秩序；保障本单位日常工作的顺利开展；保障审计工作的开展，确保履行好审计监督的基本职能。通过项目实施做到了勤俭节约、节能环保，保障了机关正常的办公，干部职工满意度达到100%。</w:t>
      </w:r>
      <w:r>
        <w:rPr>
          <w:rFonts w:ascii="Times New Roman" w:hAnsi="Times New Roman" w:eastAsia="楷体_GB2312" w:cs="Times New Roman"/>
          <w:b/>
          <w:kern w:val="2"/>
          <w:sz w:val="32"/>
          <w:szCs w:val="32"/>
          <w:lang w:val="en-US" w:eastAsia="zh-CN" w:bidi="ar-SA"/>
        </w:rPr>
        <w:t xml:space="preserve">  </w:t>
      </w:r>
    </w:p>
    <w:p>
      <w:pPr>
        <w:spacing w:line="59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二、评价实施</w:t>
      </w:r>
    </w:p>
    <w:p>
      <w:pPr>
        <w:spacing w:line="590" w:lineRule="exact"/>
        <w:ind w:firstLine="640" w:firstLineChars="200"/>
        <w:rPr>
          <w:rFonts w:hint="default" w:ascii="Times New Roman" w:hAnsi="Times New Roman" w:eastAsia="楷体_GB2312" w:cs="Times New Roman"/>
          <w:color w:val="333333"/>
          <w:sz w:val="32"/>
          <w:szCs w:val="32"/>
          <w:shd w:val="clear" w:color="auto" w:fill="FFFFFF"/>
        </w:rPr>
      </w:pPr>
      <w:r>
        <w:rPr>
          <w:rFonts w:hint="default" w:ascii="Times New Roman" w:hAnsi="Times New Roman" w:eastAsia="楷体_GB2312" w:cs="Times New Roman"/>
          <w:color w:val="333333"/>
          <w:sz w:val="32"/>
          <w:szCs w:val="32"/>
          <w:shd w:val="clear" w:color="auto" w:fill="FFFFFF"/>
        </w:rPr>
        <w:t>（一）绩效评价目的、对象和范围</w:t>
      </w:r>
    </w:p>
    <w:p>
      <w:pPr>
        <w:spacing w:line="590" w:lineRule="exact"/>
        <w:ind w:firstLine="640" w:firstLineChars="200"/>
        <w:rPr>
          <w:rFonts w:ascii="Times New Roman" w:hAnsi="Times New Roman" w:eastAsia="仿宋_GB2312" w:cs="Times New Roman"/>
          <w:color w:val="333333"/>
          <w:sz w:val="32"/>
          <w:szCs w:val="32"/>
          <w:shd w:val="clear" w:color="auto" w:fill="FFFFFF"/>
        </w:rPr>
      </w:pPr>
      <w:r>
        <w:rPr>
          <w:rFonts w:ascii="Times New Roman" w:hAnsi="Times New Roman" w:eastAsia="仿宋_GB2312" w:cs="Times New Roman"/>
          <w:color w:val="333333"/>
          <w:sz w:val="32"/>
          <w:szCs w:val="32"/>
          <w:shd w:val="clear" w:color="auto" w:fill="FFFFFF"/>
        </w:rPr>
        <w:t>为更好的发挥经济监督独特作用，提高审计工作效率，落实审计监督职能，沐川县审计局组织相关人员，扎实开展了2024年整体支出和项目支出绩效自评工作。</w:t>
      </w:r>
    </w:p>
    <w:p>
      <w:pPr>
        <w:numPr>
          <w:ilvl w:val="0"/>
          <w:numId w:val="5"/>
        </w:numPr>
        <w:spacing w:line="590" w:lineRule="exact"/>
        <w:ind w:firstLine="640" w:firstLineChars="200"/>
        <w:rPr>
          <w:rFonts w:hint="default" w:ascii="Times New Roman" w:hAnsi="Times New Roman" w:eastAsia="楷体_GB2312" w:cs="Times New Roman"/>
          <w:color w:val="333333"/>
          <w:sz w:val="32"/>
          <w:szCs w:val="32"/>
          <w:shd w:val="clear" w:color="auto" w:fill="FFFFFF"/>
        </w:rPr>
      </w:pPr>
      <w:r>
        <w:rPr>
          <w:rFonts w:hint="default" w:ascii="Times New Roman" w:hAnsi="Times New Roman" w:eastAsia="楷体_GB2312" w:cs="Times New Roman"/>
          <w:color w:val="333333"/>
          <w:sz w:val="32"/>
          <w:szCs w:val="32"/>
          <w:shd w:val="clear" w:color="auto" w:fill="FFFFFF"/>
        </w:rPr>
        <w:t>绩效评价原则、依据、绩效评价指标体系</w:t>
      </w:r>
    </w:p>
    <w:p>
      <w:pPr>
        <w:spacing w:line="590" w:lineRule="exact"/>
        <w:ind w:firstLine="640" w:firstLineChars="200"/>
        <w:rPr>
          <w:rFonts w:ascii="Times New Roman" w:hAnsi="Times New Roman" w:eastAsia="仿宋_GB2312" w:cs="Times New Roman"/>
          <w:color w:val="333333"/>
          <w:sz w:val="32"/>
          <w:szCs w:val="32"/>
          <w:shd w:val="clear" w:color="auto" w:fill="FFFFFF"/>
        </w:rPr>
      </w:pPr>
      <w:r>
        <w:rPr>
          <w:rFonts w:ascii="Times New Roman" w:hAnsi="Times New Roman" w:eastAsia="仿宋_GB2312" w:cs="Times New Roman"/>
          <w:color w:val="333333"/>
          <w:sz w:val="32"/>
          <w:szCs w:val="32"/>
          <w:shd w:val="clear" w:color="auto" w:fill="FFFFFF"/>
        </w:rPr>
        <w:t>1.绩效自评原则绩效自评遵循以下原则：客观、公正、科学、严谨、独立的基础上开展工作。</w:t>
      </w:r>
    </w:p>
    <w:p>
      <w:pPr>
        <w:spacing w:line="590" w:lineRule="exact"/>
        <w:ind w:firstLine="640" w:firstLineChars="200"/>
        <w:rPr>
          <w:rFonts w:ascii="Times New Roman" w:hAnsi="Times New Roman" w:eastAsia="仿宋_GB2312" w:cs="Times New Roman"/>
          <w:color w:val="333333"/>
          <w:sz w:val="32"/>
          <w:szCs w:val="32"/>
          <w:shd w:val="clear" w:color="auto" w:fill="FFFFFF"/>
        </w:rPr>
      </w:pPr>
      <w:r>
        <w:rPr>
          <w:rFonts w:ascii="Times New Roman" w:hAnsi="Times New Roman" w:eastAsia="仿宋_GB2312" w:cs="Times New Roman"/>
          <w:color w:val="333333"/>
          <w:sz w:val="32"/>
          <w:szCs w:val="32"/>
          <w:shd w:val="clear" w:color="auto" w:fill="FFFFFF"/>
        </w:rPr>
        <w:t>2.绩效自评依据《沐川县财政局关于开展2025年度县级预算绩效自评工作的通知》（沐财发〔202</w:t>
      </w:r>
      <w:r>
        <w:rPr>
          <w:rFonts w:hint="default" w:ascii="Times New Roman" w:hAnsi="Times New Roman" w:eastAsia="仿宋_GB2312" w:cs="Times New Roman"/>
          <w:color w:val="333333"/>
          <w:sz w:val="32"/>
          <w:szCs w:val="32"/>
          <w:shd w:val="clear" w:color="auto" w:fill="FFFFFF"/>
        </w:rPr>
        <w:t>6</w:t>
      </w:r>
      <w:r>
        <w:rPr>
          <w:rFonts w:ascii="Times New Roman" w:hAnsi="Times New Roman" w:eastAsia="仿宋_GB2312" w:cs="Times New Roman"/>
          <w:color w:val="333333"/>
          <w:sz w:val="32"/>
          <w:szCs w:val="32"/>
          <w:shd w:val="clear" w:color="auto" w:fill="FFFFFF"/>
        </w:rPr>
        <w:t>〕7</w:t>
      </w:r>
      <w:r>
        <w:rPr>
          <w:rFonts w:hint="default" w:ascii="Times New Roman" w:hAnsi="Times New Roman" w:eastAsia="仿宋_GB2312" w:cs="Times New Roman"/>
          <w:color w:val="333333"/>
          <w:sz w:val="32"/>
          <w:szCs w:val="32"/>
          <w:shd w:val="clear" w:color="auto" w:fill="FFFFFF"/>
        </w:rPr>
        <w:t>6</w:t>
      </w:r>
      <w:r>
        <w:rPr>
          <w:rFonts w:ascii="Times New Roman" w:hAnsi="Times New Roman" w:eastAsia="仿宋_GB2312" w:cs="Times New Roman"/>
          <w:color w:val="333333"/>
          <w:sz w:val="32"/>
          <w:szCs w:val="32"/>
          <w:shd w:val="clear" w:color="auto" w:fill="FFFFFF"/>
        </w:rPr>
        <w:t>号）文件要求开展自评。</w:t>
      </w:r>
    </w:p>
    <w:p>
      <w:pPr>
        <w:spacing w:line="590" w:lineRule="exact"/>
        <w:ind w:firstLine="640" w:firstLineChars="200"/>
        <w:rPr>
          <w:rFonts w:ascii="Times New Roman" w:hAnsi="Times New Roman" w:eastAsia="仿宋_GB2312" w:cs="Times New Roman"/>
          <w:color w:val="333333"/>
          <w:sz w:val="32"/>
          <w:szCs w:val="32"/>
          <w:shd w:val="clear" w:color="auto" w:fill="FFFFFF"/>
        </w:rPr>
      </w:pPr>
      <w:r>
        <w:rPr>
          <w:rFonts w:ascii="Times New Roman" w:hAnsi="Times New Roman" w:eastAsia="仿宋_GB2312" w:cs="Times New Roman"/>
          <w:color w:val="333333"/>
          <w:sz w:val="32"/>
          <w:szCs w:val="32"/>
          <w:shd w:val="clear" w:color="auto" w:fill="FFFFFF"/>
        </w:rPr>
        <w:t>3.绩效评价指标体系本次项目支出自评，设定产出、效益、满意度等一级指标三个，一级指标下各设定了若干个二级指标和三级指标及其分值，具体评价指标与评分标准详见《专项资金绩效目标完成情况自评表》。总分设置为100分，等级划分为四挡：90（含）-100分为优、80（含）-90分为良、60（含）-80分为中、60分以下为差。</w:t>
      </w:r>
    </w:p>
    <w:p>
      <w:pPr>
        <w:widowControl/>
        <w:jc w:val="left"/>
        <w:rPr>
          <w:rFonts w:ascii="Times New Roman" w:hAnsi="Times New Roman" w:eastAsia="黑体" w:cs="Times New Roman"/>
          <w:kern w:val="2"/>
          <w:sz w:val="24"/>
          <w:szCs w:val="24"/>
          <w:lang w:val="en-US" w:eastAsia="zh-CN" w:bidi="ar-SA"/>
        </w:rPr>
      </w:pPr>
      <w:r>
        <w:rPr>
          <w:rFonts w:ascii="Times New Roman" w:hAnsi="Times New Roman" w:eastAsia="黑体" w:cs="Times New Roman"/>
          <w:color w:val="333333"/>
          <w:kern w:val="2"/>
          <w:sz w:val="32"/>
          <w:szCs w:val="32"/>
          <w:shd w:val="clear" w:color="auto" w:fill="FFFFFF"/>
          <w:lang w:val="en-US" w:eastAsia="zh-CN" w:bidi="ar-SA"/>
        </w:rPr>
        <w:t xml:space="preserve">    </w:t>
      </w:r>
      <w:r>
        <w:rPr>
          <w:rFonts w:hint="default" w:ascii="Times New Roman" w:hAnsi="Times New Roman" w:eastAsia="楷体_GB2312" w:cs="Times New Roman"/>
          <w:color w:val="333333"/>
          <w:kern w:val="2"/>
          <w:sz w:val="32"/>
          <w:szCs w:val="32"/>
          <w:shd w:val="clear" w:color="auto" w:fill="FFFFFF"/>
          <w:lang w:val="en-US" w:eastAsia="zh-CN" w:bidi="ar-SA"/>
        </w:rPr>
        <w:t>（三）绩效评价方法</w:t>
      </w:r>
    </w:p>
    <w:p>
      <w:pPr>
        <w:spacing w:line="590" w:lineRule="exact"/>
        <w:ind w:firstLine="640" w:firstLineChars="200"/>
        <w:rPr>
          <w:rFonts w:ascii="Times New Roman" w:hAnsi="Times New Roman" w:eastAsia="仿宋_GB2312" w:cs="Times New Roman"/>
          <w:color w:val="333333"/>
          <w:sz w:val="32"/>
          <w:szCs w:val="32"/>
          <w:shd w:val="clear" w:color="auto" w:fill="FFFFFF"/>
        </w:rPr>
      </w:pPr>
      <w:r>
        <w:rPr>
          <w:rFonts w:ascii="Times New Roman" w:hAnsi="Times New Roman" w:eastAsia="仿宋_GB2312" w:cs="Times New Roman"/>
          <w:color w:val="333333"/>
          <w:sz w:val="32"/>
          <w:szCs w:val="32"/>
          <w:shd w:val="clear" w:color="auto" w:fill="FFFFFF"/>
        </w:rPr>
        <w:t>绩效评价方法绩效评价方法主要包括绩效评价技术方法和工作方法。其中绩效评价技术方法主要有：成本效益分析法、比较法、因素分析法、最低成本法、公众评判法等；绩效评价工作方法主要包括：收集资料、实地勘察、问卷调查和情况汇报等。</w:t>
      </w:r>
    </w:p>
    <w:p>
      <w:pPr>
        <w:widowControl/>
        <w:ind w:firstLine="640" w:firstLineChars="200"/>
        <w:jc w:val="left"/>
        <w:rPr>
          <w:rFonts w:hint="default" w:ascii="Times New Roman" w:hAnsi="Times New Roman" w:eastAsia="楷体_GB2312" w:cs="Times New Roman"/>
          <w:color w:val="333333"/>
          <w:kern w:val="2"/>
          <w:sz w:val="32"/>
          <w:szCs w:val="32"/>
          <w:shd w:val="clear" w:color="auto" w:fill="FFFFFF"/>
          <w:lang w:val="en-US" w:eastAsia="zh-CN" w:bidi="ar-SA"/>
        </w:rPr>
      </w:pPr>
      <w:r>
        <w:rPr>
          <w:rFonts w:hint="default" w:ascii="Times New Roman" w:hAnsi="Times New Roman" w:eastAsia="楷体_GB2312" w:cs="Times New Roman"/>
          <w:color w:val="333333"/>
          <w:kern w:val="2"/>
          <w:sz w:val="32"/>
          <w:szCs w:val="32"/>
          <w:shd w:val="clear" w:color="auto" w:fill="FFFFFF"/>
          <w:lang w:val="en-US" w:eastAsia="zh-CN" w:bidi="ar-SA"/>
        </w:rPr>
        <w:t>（四）评价组织</w:t>
      </w:r>
    </w:p>
    <w:p>
      <w:pPr>
        <w:spacing w:line="590" w:lineRule="exact"/>
        <w:ind w:firstLine="640" w:firstLineChars="200"/>
        <w:rPr>
          <w:rFonts w:ascii="Times New Roman" w:hAnsi="Times New Roman" w:eastAsia="仿宋_GB2312" w:cs="Times New Roman"/>
          <w:color w:val="333333"/>
          <w:sz w:val="32"/>
          <w:szCs w:val="32"/>
          <w:shd w:val="clear" w:color="auto" w:fill="FFFFFF"/>
        </w:rPr>
      </w:pPr>
      <w:r>
        <w:rPr>
          <w:rFonts w:ascii="Times New Roman" w:hAnsi="Times New Roman" w:eastAsia="仿宋_GB2312" w:cs="Times New Roman"/>
          <w:color w:val="333333"/>
          <w:sz w:val="32"/>
          <w:szCs w:val="32"/>
          <w:shd w:val="clear" w:color="auto" w:fill="FFFFFF"/>
        </w:rPr>
        <w:t>由分管财务领导任组长，成员由具体实施项目业务股室人员、财务工作人员组成，要求各成员明晰职责，统一认识，协调安排本单位绩效自评。</w:t>
      </w:r>
    </w:p>
    <w:p>
      <w:pPr>
        <w:spacing w:line="590" w:lineRule="exact"/>
        <w:ind w:firstLine="640" w:firstLineChars="200"/>
        <w:rPr>
          <w:rFonts w:ascii="Times New Roman" w:hAnsi="Times New Roman" w:eastAsia="仿宋_GB2312" w:cs="Times New Roman"/>
          <w:sz w:val="32"/>
          <w:szCs w:val="32"/>
          <w:lang w:val="zh-CN"/>
        </w:rPr>
      </w:pPr>
      <w:r>
        <w:rPr>
          <w:rFonts w:ascii="Times New Roman" w:hAnsi="Times New Roman" w:eastAsia="黑体" w:cs="Times New Roman"/>
          <w:sz w:val="32"/>
          <w:szCs w:val="32"/>
        </w:rPr>
        <w:t>三、绩效分析</w:t>
      </w:r>
      <w:r>
        <w:rPr>
          <w:rFonts w:ascii="Times New Roman" w:hAnsi="Times New Roman" w:eastAsia="仿宋_GB2312" w:cs="Times New Roman"/>
          <w:sz w:val="32"/>
          <w:szCs w:val="32"/>
          <w:lang w:val="zh-CN"/>
        </w:rPr>
        <w:tab/>
      </w:r>
    </w:p>
    <w:p>
      <w:pPr>
        <w:spacing w:line="590" w:lineRule="exact"/>
        <w:ind w:firstLine="640" w:firstLineChars="200"/>
        <w:rPr>
          <w:rFonts w:hint="default" w:ascii="Times New Roman" w:hAnsi="Times New Roman" w:eastAsia="楷体_GB2312" w:cs="Times New Roman"/>
          <w:color w:val="333333"/>
          <w:sz w:val="32"/>
          <w:szCs w:val="32"/>
          <w:shd w:val="clear" w:color="auto" w:fill="FFFFFF"/>
          <w:lang w:val="zh-CN"/>
        </w:rPr>
      </w:pPr>
      <w:r>
        <w:rPr>
          <w:rFonts w:hint="default" w:ascii="Times New Roman" w:hAnsi="Times New Roman" w:eastAsia="楷体_GB2312" w:cs="Times New Roman"/>
          <w:color w:val="333333"/>
          <w:sz w:val="32"/>
          <w:szCs w:val="32"/>
          <w:shd w:val="clear" w:color="auto" w:fill="FFFFFF"/>
          <w:lang w:val="zh-CN"/>
        </w:rPr>
        <w:t>（一）项目决策</w:t>
      </w:r>
    </w:p>
    <w:p>
      <w:pPr>
        <w:spacing w:line="590" w:lineRule="exact"/>
        <w:ind w:firstLine="640" w:firstLineChars="200"/>
        <w:rPr>
          <w:rFonts w:ascii="Times New Roman" w:hAnsi="Times New Roman" w:eastAsia="仿宋_GB2312" w:cs="Times New Roman"/>
          <w:color w:val="333333"/>
          <w:sz w:val="32"/>
          <w:szCs w:val="32"/>
          <w:shd w:val="clear" w:color="auto" w:fill="FFFFFF"/>
          <w:lang w:val="zh-CN"/>
        </w:rPr>
      </w:pPr>
      <w:r>
        <w:rPr>
          <w:rFonts w:ascii="Times New Roman" w:hAnsi="Times New Roman" w:eastAsia="仿宋_GB2312" w:cs="Times New Roman"/>
          <w:color w:val="333333"/>
          <w:sz w:val="32"/>
          <w:szCs w:val="32"/>
          <w:shd w:val="clear" w:color="auto" w:fill="FFFFFF"/>
          <w:lang w:val="zh-CN"/>
        </w:rPr>
        <w:t>项目决策依据符合</w:t>
      </w:r>
      <w:r>
        <w:rPr>
          <w:rFonts w:ascii="Times New Roman" w:hAnsi="Times New Roman" w:eastAsia="仿宋_GB2312" w:cs="Times New Roman"/>
          <w:color w:val="333333"/>
          <w:sz w:val="32"/>
          <w:szCs w:val="32"/>
          <w:shd w:val="clear" w:color="auto" w:fill="FFFFFF"/>
        </w:rPr>
        <w:t>我单位发展</w:t>
      </w:r>
      <w:r>
        <w:rPr>
          <w:rFonts w:ascii="Times New Roman" w:hAnsi="Times New Roman" w:eastAsia="仿宋_GB2312" w:cs="Times New Roman"/>
          <w:color w:val="333333"/>
          <w:sz w:val="32"/>
          <w:szCs w:val="32"/>
          <w:shd w:val="clear" w:color="auto" w:fill="FFFFFF"/>
          <w:lang w:val="zh-CN"/>
        </w:rPr>
        <w:t>规划和部门年度工作计划，并根据实际情况需要制定了年度实施规划。决策过程符合申报条件，申报、批复程序符合相关管理办法。</w:t>
      </w:r>
    </w:p>
    <w:p>
      <w:pPr>
        <w:spacing w:line="590" w:lineRule="exact"/>
        <w:ind w:firstLine="640" w:firstLineChars="200"/>
        <w:rPr>
          <w:rFonts w:hint="default" w:ascii="Times New Roman" w:hAnsi="Times New Roman" w:eastAsia="楷体_GB2312" w:cs="Times New Roman"/>
          <w:color w:val="333333"/>
          <w:sz w:val="32"/>
          <w:szCs w:val="32"/>
          <w:shd w:val="clear" w:color="auto" w:fill="FFFFFF"/>
        </w:rPr>
      </w:pPr>
      <w:r>
        <w:rPr>
          <w:rFonts w:hint="default" w:ascii="Times New Roman" w:hAnsi="Times New Roman" w:eastAsia="楷体_GB2312" w:cs="Times New Roman"/>
          <w:color w:val="333333"/>
          <w:sz w:val="32"/>
          <w:szCs w:val="32"/>
          <w:shd w:val="clear" w:color="auto" w:fill="FFFFFF"/>
          <w:lang w:val="zh-CN"/>
        </w:rPr>
        <w:t>（</w:t>
      </w:r>
      <w:r>
        <w:rPr>
          <w:rFonts w:hint="default" w:ascii="Times New Roman" w:hAnsi="Times New Roman" w:eastAsia="楷体_GB2312" w:cs="Times New Roman"/>
          <w:color w:val="333333"/>
          <w:sz w:val="32"/>
          <w:szCs w:val="32"/>
          <w:shd w:val="clear" w:color="auto" w:fill="FFFFFF"/>
        </w:rPr>
        <w:t>二</w:t>
      </w:r>
      <w:r>
        <w:rPr>
          <w:rFonts w:hint="default" w:ascii="Times New Roman" w:hAnsi="Times New Roman" w:eastAsia="楷体_GB2312" w:cs="Times New Roman"/>
          <w:color w:val="333333"/>
          <w:sz w:val="32"/>
          <w:szCs w:val="32"/>
          <w:shd w:val="clear" w:color="auto" w:fill="FFFFFF"/>
          <w:lang w:val="zh-CN"/>
        </w:rPr>
        <w:t>）项目</w:t>
      </w:r>
      <w:r>
        <w:rPr>
          <w:rFonts w:hint="default" w:ascii="Times New Roman" w:hAnsi="Times New Roman" w:eastAsia="楷体_GB2312" w:cs="Times New Roman"/>
          <w:color w:val="333333"/>
          <w:sz w:val="32"/>
          <w:szCs w:val="32"/>
          <w:shd w:val="clear" w:color="auto" w:fill="FFFFFF"/>
        </w:rPr>
        <w:t>管理</w:t>
      </w:r>
    </w:p>
    <w:p>
      <w:pPr>
        <w:spacing w:line="590" w:lineRule="exact"/>
        <w:ind w:firstLine="640" w:firstLineChars="200"/>
        <w:rPr>
          <w:rFonts w:ascii="Times New Roman" w:hAnsi="Times New Roman" w:eastAsia="仿宋_GB2312" w:cs="Times New Roman"/>
          <w:color w:val="333333"/>
          <w:sz w:val="32"/>
          <w:szCs w:val="32"/>
          <w:shd w:val="clear" w:color="auto" w:fill="FFFFFF"/>
          <w:lang w:val="zh-CN"/>
        </w:rPr>
      </w:pPr>
      <w:r>
        <w:rPr>
          <w:rFonts w:ascii="Times New Roman" w:hAnsi="Times New Roman" w:eastAsia="仿宋_GB2312" w:cs="Times New Roman"/>
          <w:color w:val="333333"/>
          <w:sz w:val="32"/>
          <w:szCs w:val="32"/>
          <w:shd w:val="clear" w:color="auto" w:fill="FFFFFF"/>
          <w:lang w:val="zh-CN"/>
        </w:rPr>
        <w:t>项目在开展过程中严格按照项目的管理办法和资金使用制度，做到项目资金专款专用、按项目独立核算，无截留、挤占、挪用、虚列支出等情况发生。</w:t>
      </w:r>
    </w:p>
    <w:p>
      <w:pPr>
        <w:numPr>
          <w:ilvl w:val="0"/>
          <w:numId w:val="5"/>
        </w:numPr>
        <w:spacing w:line="590" w:lineRule="exact"/>
        <w:ind w:firstLine="640" w:firstLineChars="200"/>
        <w:rPr>
          <w:rFonts w:hint="default" w:ascii="Times New Roman" w:hAnsi="Times New Roman" w:eastAsia="楷体_GB2312" w:cs="Times New Roman"/>
          <w:color w:val="333333"/>
          <w:sz w:val="32"/>
          <w:szCs w:val="32"/>
          <w:shd w:val="clear" w:color="auto" w:fill="FFFFFF"/>
        </w:rPr>
      </w:pPr>
      <w:r>
        <w:rPr>
          <w:rFonts w:hint="default" w:ascii="Times New Roman" w:hAnsi="Times New Roman" w:eastAsia="楷体_GB2312" w:cs="Times New Roman"/>
          <w:color w:val="333333"/>
          <w:sz w:val="32"/>
          <w:szCs w:val="32"/>
          <w:shd w:val="clear" w:color="auto" w:fill="FFFFFF"/>
          <w:lang w:val="zh-CN"/>
        </w:rPr>
        <w:t>项目</w:t>
      </w:r>
      <w:r>
        <w:rPr>
          <w:rFonts w:hint="default" w:ascii="Times New Roman" w:hAnsi="Times New Roman" w:eastAsia="楷体_GB2312" w:cs="Times New Roman"/>
          <w:color w:val="333333"/>
          <w:sz w:val="32"/>
          <w:szCs w:val="32"/>
          <w:shd w:val="clear" w:color="auto" w:fill="FFFFFF"/>
        </w:rPr>
        <w:t>实施</w:t>
      </w:r>
    </w:p>
    <w:p>
      <w:pPr>
        <w:spacing w:line="590" w:lineRule="exact"/>
        <w:ind w:firstLine="640" w:firstLineChars="200"/>
        <w:rPr>
          <w:rFonts w:ascii="Times New Roman" w:hAnsi="Times New Roman" w:eastAsia="仿宋_GB2312" w:cs="Times New Roman"/>
          <w:color w:val="333333"/>
          <w:sz w:val="32"/>
          <w:szCs w:val="32"/>
          <w:shd w:val="clear" w:color="auto" w:fill="FFFFFF"/>
        </w:rPr>
      </w:pPr>
      <w:r>
        <w:rPr>
          <w:rFonts w:ascii="Times New Roman" w:hAnsi="Times New Roman" w:eastAsia="仿宋_GB2312" w:cs="Times New Roman"/>
          <w:color w:val="333333"/>
          <w:sz w:val="32"/>
          <w:szCs w:val="32"/>
          <w:shd w:val="clear" w:color="auto" w:fill="FFFFFF"/>
        </w:rPr>
        <w:t>我单位202</w:t>
      </w:r>
      <w:r>
        <w:rPr>
          <w:rFonts w:hint="default" w:ascii="Times New Roman" w:hAnsi="Times New Roman" w:eastAsia="仿宋_GB2312" w:cs="Times New Roman"/>
          <w:color w:val="333333"/>
          <w:sz w:val="32"/>
          <w:szCs w:val="32"/>
          <w:shd w:val="clear" w:color="auto" w:fill="FFFFFF"/>
        </w:rPr>
        <w:t>5</w:t>
      </w:r>
      <w:r>
        <w:rPr>
          <w:rFonts w:ascii="Times New Roman" w:hAnsi="Times New Roman" w:eastAsia="仿宋_GB2312" w:cs="Times New Roman"/>
          <w:color w:val="333333"/>
          <w:sz w:val="32"/>
          <w:szCs w:val="32"/>
          <w:shd w:val="clear" w:color="auto" w:fill="FFFFFF"/>
        </w:rPr>
        <w:t>年预算实施项目</w:t>
      </w:r>
      <w:r>
        <w:rPr>
          <w:rFonts w:hint="default" w:ascii="Times New Roman" w:hAnsi="Times New Roman" w:eastAsia="仿宋_GB2312" w:cs="Times New Roman"/>
          <w:color w:val="333333"/>
          <w:sz w:val="32"/>
          <w:szCs w:val="32"/>
          <w:shd w:val="clear" w:color="auto" w:fill="FFFFFF"/>
        </w:rPr>
        <w:t>2</w:t>
      </w:r>
      <w:r>
        <w:rPr>
          <w:rFonts w:ascii="Times New Roman" w:hAnsi="Times New Roman" w:eastAsia="仿宋_GB2312" w:cs="Times New Roman"/>
          <w:color w:val="333333"/>
          <w:sz w:val="32"/>
          <w:szCs w:val="32"/>
          <w:shd w:val="clear" w:color="auto" w:fill="FFFFFF"/>
        </w:rPr>
        <w:t>个、资金总额</w:t>
      </w:r>
      <w:r>
        <w:rPr>
          <w:rFonts w:hint="default" w:ascii="Times New Roman" w:hAnsi="Times New Roman" w:eastAsia="仿宋_GB2312" w:cs="Times New Roman"/>
          <w:sz w:val="32"/>
          <w:szCs w:val="32"/>
        </w:rPr>
        <w:t>17.37</w:t>
      </w:r>
      <w:r>
        <w:rPr>
          <w:rFonts w:ascii="Times New Roman" w:hAnsi="Times New Roman" w:eastAsia="仿宋_GB2312" w:cs="Times New Roman"/>
          <w:color w:val="333333"/>
          <w:sz w:val="32"/>
          <w:szCs w:val="32"/>
          <w:shd w:val="clear" w:color="auto" w:fill="FFFFFF"/>
        </w:rPr>
        <w:t>万元，实际实施项目</w:t>
      </w:r>
      <w:r>
        <w:rPr>
          <w:rFonts w:hint="default" w:ascii="Times New Roman" w:hAnsi="Times New Roman" w:eastAsia="仿宋_GB2312" w:cs="Times New Roman"/>
          <w:color w:val="333333"/>
          <w:sz w:val="32"/>
          <w:szCs w:val="32"/>
          <w:shd w:val="clear" w:color="auto" w:fill="FFFFFF"/>
        </w:rPr>
        <w:t>2</w:t>
      </w:r>
      <w:r>
        <w:rPr>
          <w:rFonts w:ascii="Times New Roman" w:hAnsi="Times New Roman" w:eastAsia="仿宋_GB2312" w:cs="Times New Roman"/>
          <w:color w:val="333333"/>
          <w:sz w:val="32"/>
          <w:szCs w:val="32"/>
          <w:shd w:val="clear" w:color="auto" w:fill="FFFFFF"/>
        </w:rPr>
        <w:t>个</w:t>
      </w:r>
      <w:r>
        <w:rPr>
          <w:rFonts w:hint="default" w:ascii="Times New Roman" w:hAnsi="Times New Roman" w:eastAsia="仿宋_GB2312" w:cs="Times New Roman"/>
          <w:color w:val="333333"/>
          <w:sz w:val="32"/>
          <w:szCs w:val="32"/>
          <w:shd w:val="clear" w:color="auto" w:fill="FFFFFF"/>
        </w:rPr>
        <w:t>，均为长期项目</w:t>
      </w:r>
      <w:r>
        <w:rPr>
          <w:rFonts w:ascii="Times New Roman" w:hAnsi="Times New Roman" w:eastAsia="仿宋_GB2312" w:cs="Times New Roman"/>
          <w:color w:val="333333"/>
          <w:sz w:val="32"/>
          <w:szCs w:val="32"/>
          <w:shd w:val="clear" w:color="auto" w:fill="FFFFFF"/>
        </w:rPr>
        <w:t>。</w:t>
      </w:r>
    </w:p>
    <w:p>
      <w:pPr>
        <w:numPr>
          <w:ilvl w:val="0"/>
          <w:numId w:val="5"/>
        </w:numPr>
        <w:spacing w:line="590" w:lineRule="exact"/>
        <w:ind w:firstLine="640" w:firstLineChars="200"/>
        <w:rPr>
          <w:rFonts w:hint="default" w:ascii="Times New Roman" w:hAnsi="Times New Roman" w:eastAsia="楷体_GB2312" w:cs="Times New Roman"/>
          <w:color w:val="333333"/>
          <w:sz w:val="32"/>
          <w:szCs w:val="32"/>
          <w:shd w:val="clear" w:color="auto" w:fill="FFFFFF"/>
        </w:rPr>
      </w:pPr>
      <w:r>
        <w:rPr>
          <w:rFonts w:hint="default" w:ascii="Times New Roman" w:hAnsi="Times New Roman" w:eastAsia="楷体_GB2312" w:cs="Times New Roman"/>
          <w:color w:val="333333"/>
          <w:sz w:val="32"/>
          <w:szCs w:val="32"/>
          <w:shd w:val="clear" w:color="auto" w:fill="FFFFFF"/>
          <w:lang w:val="zh-CN"/>
        </w:rPr>
        <w:t>项目</w:t>
      </w:r>
      <w:r>
        <w:rPr>
          <w:rFonts w:hint="default" w:ascii="Times New Roman" w:hAnsi="Times New Roman" w:eastAsia="楷体_GB2312" w:cs="Times New Roman"/>
          <w:color w:val="333333"/>
          <w:sz w:val="32"/>
          <w:szCs w:val="32"/>
          <w:shd w:val="clear" w:color="auto" w:fill="FFFFFF"/>
        </w:rPr>
        <w:t>结果</w:t>
      </w:r>
    </w:p>
    <w:p>
      <w:pPr>
        <w:spacing w:line="590" w:lineRule="exact"/>
        <w:ind w:firstLine="640" w:firstLineChars="200"/>
        <w:rPr>
          <w:rFonts w:ascii="Times New Roman" w:hAnsi="Times New Roman" w:eastAsia="仿宋_GB2312" w:cs="Times New Roman"/>
          <w:color w:val="333333"/>
          <w:sz w:val="32"/>
          <w:szCs w:val="32"/>
          <w:shd w:val="clear" w:color="auto" w:fill="FFFFFF"/>
        </w:rPr>
      </w:pPr>
      <w:r>
        <w:rPr>
          <w:rFonts w:ascii="Times New Roman" w:hAnsi="Times New Roman" w:eastAsia="仿宋_GB2312" w:cs="Times New Roman"/>
          <w:color w:val="333333"/>
          <w:sz w:val="32"/>
          <w:szCs w:val="32"/>
          <w:shd w:val="clear" w:color="auto" w:fill="FFFFFF"/>
        </w:rPr>
        <w:t xml:space="preserve"> 项目保障了我单位审计工作效率、职工满意度与服务对象满意度均为100%，实现了社会效益与经济效益。</w:t>
      </w:r>
    </w:p>
    <w:p>
      <w:pPr>
        <w:widowControl/>
        <w:spacing w:line="560" w:lineRule="exact"/>
        <w:ind w:firstLine="640" w:firstLineChars="200"/>
        <w:jc w:val="left"/>
        <w:rPr>
          <w:rFonts w:ascii="Times New Roman" w:hAnsi="Times New Roman" w:eastAsia="黑体" w:cs="Times New Roman"/>
          <w:kern w:val="0"/>
          <w:position w:val="3"/>
          <w:sz w:val="32"/>
          <w:szCs w:val="32"/>
          <w:lang w:val="en-US" w:eastAsia="zh-CN" w:bidi="ar-SA"/>
        </w:rPr>
      </w:pPr>
      <w:r>
        <w:rPr>
          <w:rFonts w:ascii="Times New Roman" w:hAnsi="Times New Roman" w:eastAsia="黑体" w:cs="Times New Roman"/>
          <w:kern w:val="0"/>
          <w:position w:val="3"/>
          <w:sz w:val="32"/>
          <w:szCs w:val="32"/>
          <w:lang w:val="en-US" w:eastAsia="zh-CN" w:bidi="ar-SA"/>
        </w:rPr>
        <w:t>四、评价结论</w:t>
      </w:r>
    </w:p>
    <w:p>
      <w:pPr>
        <w:widowControl/>
        <w:spacing w:line="560" w:lineRule="exact"/>
        <w:ind w:firstLine="640" w:firstLineChars="200"/>
        <w:jc w:val="left"/>
        <w:rPr>
          <w:rFonts w:ascii="Times New Roman" w:hAnsi="Times New Roman" w:eastAsia="仿宋_GB2312" w:cs="Times New Roman"/>
          <w:kern w:val="0"/>
          <w:position w:val="0"/>
          <w:sz w:val="32"/>
          <w:szCs w:val="32"/>
          <w:lang w:val="en-US" w:eastAsia="zh-CN" w:bidi="ar-SA"/>
        </w:rPr>
      </w:pPr>
      <w:r>
        <w:rPr>
          <w:rFonts w:ascii="Times New Roman" w:hAnsi="Times New Roman" w:eastAsia="仿宋_GB2312" w:cs="Times New Roman"/>
          <w:kern w:val="0"/>
          <w:position w:val="0"/>
          <w:sz w:val="32"/>
          <w:szCs w:val="32"/>
          <w:lang w:val="en-US" w:eastAsia="zh-CN" w:bidi="ar-SA"/>
        </w:rPr>
        <w:t>我局202</w:t>
      </w:r>
      <w:r>
        <w:rPr>
          <w:rFonts w:hint="default" w:ascii="Times New Roman" w:hAnsi="Times New Roman" w:eastAsia="仿宋_GB2312" w:cs="Times New Roman"/>
          <w:kern w:val="0"/>
          <w:position w:val="0"/>
          <w:sz w:val="32"/>
          <w:szCs w:val="32"/>
          <w:lang w:val="en-US" w:eastAsia="zh-CN" w:bidi="ar-SA"/>
        </w:rPr>
        <w:t>5</w:t>
      </w:r>
      <w:r>
        <w:rPr>
          <w:rFonts w:ascii="Times New Roman" w:hAnsi="Times New Roman" w:eastAsia="仿宋_GB2312" w:cs="Times New Roman"/>
          <w:kern w:val="0"/>
          <w:position w:val="0"/>
          <w:sz w:val="32"/>
          <w:szCs w:val="32"/>
          <w:lang w:val="en-US" w:eastAsia="zh-CN" w:bidi="ar-SA"/>
        </w:rPr>
        <w:t>年项目支出绩效自评均为“优”,得分100分。</w:t>
      </w:r>
    </w:p>
    <w:p>
      <w:pPr>
        <w:widowControl/>
        <w:spacing w:line="560" w:lineRule="exact"/>
        <w:ind w:firstLine="640" w:firstLineChars="200"/>
        <w:jc w:val="left"/>
        <w:rPr>
          <w:rFonts w:ascii="Times New Roman" w:hAnsi="Times New Roman" w:eastAsia="仿宋_GB2312" w:cs="Times New Roman"/>
          <w:kern w:val="0"/>
          <w:position w:val="0"/>
          <w:sz w:val="32"/>
          <w:szCs w:val="32"/>
          <w:lang w:val="en-US" w:eastAsia="zh-CN" w:bidi="ar-SA"/>
        </w:rPr>
      </w:pPr>
      <w:r>
        <w:rPr>
          <w:rFonts w:ascii="Times New Roman" w:hAnsi="Times New Roman" w:eastAsia="仿宋_GB2312" w:cs="Times New Roman"/>
          <w:kern w:val="0"/>
          <w:position w:val="0"/>
          <w:sz w:val="32"/>
          <w:szCs w:val="32"/>
          <w:lang w:val="en-US" w:eastAsia="zh-CN" w:bidi="ar-SA"/>
        </w:rPr>
        <w:t>我局202</w:t>
      </w:r>
      <w:r>
        <w:rPr>
          <w:rFonts w:hint="default" w:ascii="Times New Roman" w:hAnsi="Times New Roman" w:eastAsia="仿宋_GB2312" w:cs="Times New Roman"/>
          <w:kern w:val="0"/>
          <w:position w:val="0"/>
          <w:sz w:val="32"/>
          <w:szCs w:val="32"/>
          <w:lang w:val="en-US" w:eastAsia="zh-CN" w:bidi="ar-SA"/>
        </w:rPr>
        <w:t>5</w:t>
      </w:r>
      <w:r>
        <w:rPr>
          <w:rFonts w:ascii="Times New Roman" w:hAnsi="Times New Roman" w:eastAsia="仿宋_GB2312" w:cs="Times New Roman"/>
          <w:kern w:val="0"/>
          <w:position w:val="0"/>
          <w:sz w:val="32"/>
          <w:szCs w:val="32"/>
          <w:lang w:val="en-US" w:eastAsia="zh-CN" w:bidi="ar-SA"/>
        </w:rPr>
        <w:t>年项目均按照年初设定的绩效目标，稳步推进项目开展，并实现了202</w:t>
      </w:r>
      <w:r>
        <w:rPr>
          <w:rFonts w:hint="default" w:ascii="Times New Roman" w:hAnsi="Times New Roman" w:eastAsia="仿宋_GB2312" w:cs="Times New Roman"/>
          <w:kern w:val="0"/>
          <w:position w:val="0"/>
          <w:sz w:val="32"/>
          <w:szCs w:val="32"/>
          <w:lang w:val="en-US" w:eastAsia="zh-CN" w:bidi="ar-SA"/>
        </w:rPr>
        <w:t>5</w:t>
      </w:r>
      <w:r>
        <w:rPr>
          <w:rFonts w:ascii="Times New Roman" w:hAnsi="Times New Roman" w:eastAsia="仿宋_GB2312" w:cs="Times New Roman"/>
          <w:kern w:val="0"/>
          <w:position w:val="0"/>
          <w:sz w:val="32"/>
          <w:szCs w:val="32"/>
          <w:lang w:val="en-US" w:eastAsia="zh-CN" w:bidi="ar-SA"/>
        </w:rPr>
        <w:t>年项目支出绩效目标。</w:t>
      </w:r>
    </w:p>
    <w:p>
      <w:pPr>
        <w:widowControl/>
        <w:spacing w:line="560" w:lineRule="exact"/>
        <w:ind w:firstLine="640" w:firstLineChars="200"/>
        <w:jc w:val="left"/>
        <w:rPr>
          <w:rFonts w:ascii="Times New Roman" w:hAnsi="Times New Roman" w:eastAsia="黑体" w:cs="Times New Roman"/>
          <w:kern w:val="0"/>
          <w:position w:val="3"/>
          <w:sz w:val="32"/>
          <w:szCs w:val="32"/>
          <w:lang w:val="en-US" w:eastAsia="zh-CN" w:bidi="ar-SA"/>
        </w:rPr>
      </w:pPr>
      <w:r>
        <w:rPr>
          <w:rFonts w:ascii="Times New Roman" w:hAnsi="Times New Roman" w:eastAsia="黑体" w:cs="Times New Roman"/>
          <w:kern w:val="0"/>
          <w:position w:val="3"/>
          <w:sz w:val="32"/>
          <w:szCs w:val="32"/>
          <w:lang w:val="en-US" w:eastAsia="zh-CN" w:bidi="ar-SA"/>
        </w:rPr>
        <w:t>五、存在主要问题</w:t>
      </w:r>
    </w:p>
    <w:p>
      <w:pPr>
        <w:widowControl/>
        <w:spacing w:line="560" w:lineRule="exact"/>
        <w:ind w:firstLine="640" w:firstLineChars="200"/>
        <w:jc w:val="both"/>
        <w:rPr>
          <w:rFonts w:ascii="Times New Roman" w:hAnsi="Times New Roman" w:eastAsia="仿宋_GB2312" w:cs="Times New Roman"/>
          <w:kern w:val="0"/>
          <w:position w:val="0"/>
          <w:sz w:val="32"/>
          <w:szCs w:val="32"/>
          <w:lang w:val="en-US" w:eastAsia="zh-CN" w:bidi="ar-SA"/>
        </w:rPr>
      </w:pPr>
      <w:r>
        <w:rPr>
          <w:rFonts w:ascii="Times New Roman" w:hAnsi="Times New Roman" w:eastAsia="仿宋_GB2312" w:cs="Times New Roman"/>
          <w:kern w:val="0"/>
          <w:position w:val="0"/>
          <w:sz w:val="32"/>
          <w:szCs w:val="32"/>
          <w:lang w:val="en-US" w:eastAsia="zh-CN" w:bidi="ar-SA"/>
        </w:rPr>
        <w:t>202</w:t>
      </w:r>
      <w:r>
        <w:rPr>
          <w:rFonts w:hint="default" w:ascii="Times New Roman" w:hAnsi="Times New Roman" w:eastAsia="仿宋_GB2312" w:cs="Times New Roman"/>
          <w:kern w:val="0"/>
          <w:position w:val="0"/>
          <w:sz w:val="32"/>
          <w:szCs w:val="32"/>
          <w:lang w:val="en-US" w:eastAsia="zh-CN" w:bidi="ar-SA"/>
        </w:rPr>
        <w:t>5</w:t>
      </w:r>
      <w:r>
        <w:rPr>
          <w:rFonts w:ascii="Times New Roman" w:hAnsi="Times New Roman" w:eastAsia="仿宋_GB2312" w:cs="Times New Roman"/>
          <w:kern w:val="0"/>
          <w:position w:val="0"/>
          <w:sz w:val="32"/>
          <w:szCs w:val="32"/>
          <w:lang w:val="en-US" w:eastAsia="zh-CN" w:bidi="ar-SA"/>
        </w:rPr>
        <w:t>年我局科学有效地使用项目资金取得了较好的经济、社会效益，但还存在一些问题：在取得成绩的同时，绩效评价工作也存在一些短板，主要是在人员方面配备不足、缺乏专业的绩效管理人员。在开展部门整体支出、项目支出绩效评价</w:t>
      </w:r>
      <w:r>
        <w:rPr>
          <w:rFonts w:hint="default" w:ascii="Times New Roman" w:hAnsi="Times New Roman" w:eastAsia="仿宋_GB2312" w:cs="Times New Roman"/>
          <w:kern w:val="0"/>
          <w:position w:val="0"/>
          <w:sz w:val="32"/>
          <w:szCs w:val="32"/>
          <w:lang w:val="en-US" w:eastAsia="zh-CN" w:bidi="ar-SA"/>
        </w:rPr>
        <w:t>中</w:t>
      </w:r>
      <w:r>
        <w:rPr>
          <w:rFonts w:ascii="Times New Roman" w:hAnsi="Times New Roman" w:eastAsia="仿宋_GB2312" w:cs="Times New Roman"/>
          <w:kern w:val="0"/>
          <w:position w:val="0"/>
          <w:sz w:val="32"/>
          <w:szCs w:val="32"/>
          <w:lang w:val="en-US" w:eastAsia="zh-CN" w:bidi="ar-SA"/>
        </w:rPr>
        <w:t>难度较大的问题。</w:t>
      </w:r>
    </w:p>
    <w:p>
      <w:pPr>
        <w:widowControl/>
        <w:spacing w:line="560" w:lineRule="exact"/>
        <w:ind w:firstLine="640" w:firstLineChars="200"/>
        <w:jc w:val="left"/>
        <w:rPr>
          <w:rFonts w:ascii="Times New Roman" w:hAnsi="Times New Roman" w:eastAsia="黑体" w:cs="Times New Roman"/>
          <w:kern w:val="0"/>
          <w:position w:val="3"/>
          <w:sz w:val="32"/>
          <w:szCs w:val="32"/>
          <w:lang w:val="zh-CN" w:eastAsia="zh-CN" w:bidi="ar-SA"/>
        </w:rPr>
      </w:pPr>
      <w:r>
        <w:rPr>
          <w:rFonts w:ascii="Times New Roman" w:hAnsi="Times New Roman" w:eastAsia="黑体" w:cs="Times New Roman"/>
          <w:kern w:val="0"/>
          <w:position w:val="3"/>
          <w:sz w:val="32"/>
          <w:szCs w:val="32"/>
          <w:lang w:val="zh-CN" w:eastAsia="zh-CN" w:bidi="ar-SA"/>
        </w:rPr>
        <w:t>六、改进建议</w:t>
      </w:r>
    </w:p>
    <w:bookmarkEnd w:id="50"/>
    <w:p>
      <w:pPr>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预算绩效工作的全面实施，能加强财政支出管理，提高财政资金使用效益，提高财政资源配置效率和使用绩效。下一步，我局将继续加强预算绩效管理相关制度的完善，不断提高绩效目标设置的科学性，加大绩效运行监控的力度，及时调整绩效目标设定的偏差，客观公正对绩效结果进行评价，对绩效结果出现的问题及时整改，提高预算资金的管理水平和能力。</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bookmarkStart w:id="51" w:name="_Toc15396618"/>
      <w:r>
        <w:rPr>
          <w:rFonts w:hint="default" w:ascii="Times New Roman" w:hAnsi="Times New Roman" w:eastAsia="仿宋_GB2312" w:cs="Times New Roman"/>
          <w:b w:val="0"/>
          <w:bCs w:val="0"/>
          <w:kern w:val="0"/>
          <w:position w:val="0"/>
          <w:sz w:val="32"/>
          <w:szCs w:val="32"/>
          <w:highlight w:val="none"/>
          <w:lang w:val="en-US" w:eastAsia="zh-CN" w:bidi="ar-SA"/>
        </w:rPr>
        <w:br w:type="page"/>
      </w:r>
    </w:p>
    <w:p>
      <w:pPr>
        <w:widowControl/>
        <w:jc w:val="center"/>
        <w:rPr>
          <w:rFonts w:hint="default" w:ascii="Times New Roman" w:hAnsi="Times New Roman" w:eastAsia="仿宋"/>
          <w:b w:val="0"/>
          <w:color w:val="auto"/>
          <w:highlight w:val="none"/>
        </w:rPr>
      </w:pPr>
      <w:r>
        <w:rPr>
          <w:rFonts w:hint="default" w:ascii="Times New Roman" w:hAnsi="Times New Roman" w:eastAsia="黑体"/>
          <w:color w:val="auto"/>
          <w:sz w:val="44"/>
          <w:szCs w:val="44"/>
          <w:highlight w:val="none"/>
        </w:rPr>
        <w:t>第</w:t>
      </w:r>
      <w:r>
        <w:rPr>
          <w:rStyle w:val="29"/>
          <w:rFonts w:hint="default" w:ascii="Times New Roman" w:hAnsi="Times New Roman" w:eastAsia="黑体"/>
          <w:b w:val="0"/>
          <w:color w:val="auto"/>
          <w:highlight w:val="none"/>
        </w:rPr>
        <w:t>五部分 附表</w:t>
      </w:r>
      <w:bookmarkEnd w:id="48"/>
      <w:bookmarkEnd w:id="51"/>
      <w:bookmarkStart w:id="52"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bookmarkEnd w:id="5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3" w:name="_Toc15396620"/>
      <w:r>
        <w:rPr>
          <w:rFonts w:hint="default" w:ascii="Times New Roman" w:hAnsi="Times New Roman" w:eastAsia="仿宋_GB2312" w:cs="Times New Roman"/>
          <w:color w:val="auto"/>
          <w:sz w:val="32"/>
          <w:szCs w:val="32"/>
          <w:highlight w:val="none"/>
        </w:rPr>
        <w:t>二、收入决算表</w:t>
      </w:r>
      <w:bookmarkEnd w:id="53"/>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4" w:name="_Toc15396621"/>
      <w:r>
        <w:rPr>
          <w:rFonts w:hint="default" w:ascii="Times New Roman" w:hAnsi="Times New Roman" w:eastAsia="仿宋_GB2312" w:cs="Times New Roman"/>
          <w:color w:val="auto"/>
          <w:sz w:val="32"/>
          <w:szCs w:val="32"/>
          <w:highlight w:val="none"/>
        </w:rPr>
        <w:t>三、支出决算表</w:t>
      </w:r>
      <w:bookmarkEnd w:id="5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5" w:name="_Toc15396622"/>
      <w:r>
        <w:rPr>
          <w:rFonts w:hint="default" w:ascii="Times New Roman" w:hAnsi="Times New Roman" w:eastAsia="仿宋_GB2312" w:cs="Times New Roman"/>
          <w:color w:val="auto"/>
          <w:sz w:val="32"/>
          <w:szCs w:val="32"/>
          <w:highlight w:val="none"/>
        </w:rPr>
        <w:t>四、财政拨款收入支出决算总表</w:t>
      </w:r>
      <w:bookmarkEnd w:id="5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6" w:name="_Toc15396623"/>
      <w:r>
        <w:rPr>
          <w:rFonts w:hint="default" w:ascii="Times New Roman" w:hAnsi="Times New Roman" w:eastAsia="仿宋_GB2312" w:cs="Times New Roman"/>
          <w:color w:val="auto"/>
          <w:sz w:val="32"/>
          <w:szCs w:val="32"/>
          <w:highlight w:val="none"/>
        </w:rPr>
        <w:t>五、财政拨款支出决算明细表</w:t>
      </w:r>
      <w:bookmarkEnd w:id="56"/>
      <w:bookmarkStart w:id="57"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六、一般公共预算财政拨款支出决算表</w:t>
      </w:r>
      <w:bookmarkEnd w:id="5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8" w:name="_Toc15396625"/>
      <w:r>
        <w:rPr>
          <w:rFonts w:hint="default" w:ascii="Times New Roman" w:hAnsi="Times New Roman" w:eastAsia="仿宋_GB2312" w:cs="Times New Roman"/>
          <w:color w:val="auto"/>
          <w:sz w:val="32"/>
          <w:szCs w:val="32"/>
          <w:highlight w:val="none"/>
        </w:rPr>
        <w:t>七、一般公共预算财政拨款支出决算明细表</w:t>
      </w:r>
      <w:bookmarkEnd w:id="5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9" w:name="_Toc15396626"/>
      <w:r>
        <w:rPr>
          <w:rFonts w:hint="default" w:ascii="Times New Roman" w:hAnsi="Times New Roman" w:eastAsia="仿宋_GB2312" w:cs="Times New Roman"/>
          <w:color w:val="auto"/>
          <w:sz w:val="32"/>
          <w:szCs w:val="32"/>
          <w:highlight w:val="none"/>
        </w:rPr>
        <w:t>八、一般公共预算财政拨款基本支出决算表</w:t>
      </w:r>
      <w:bookmarkEnd w:id="5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0" w:name="_Toc15396627"/>
      <w:r>
        <w:rPr>
          <w:rFonts w:hint="default" w:ascii="Times New Roman" w:hAnsi="Times New Roman" w:eastAsia="仿宋_GB2312" w:cs="Times New Roman"/>
          <w:color w:val="auto"/>
          <w:sz w:val="32"/>
          <w:szCs w:val="32"/>
          <w:highlight w:val="none"/>
        </w:rPr>
        <w:t>九、一般公共预算财政拨款项目支出决算表</w:t>
      </w:r>
      <w:bookmarkEnd w:id="6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1" w:name="_Toc15396628"/>
      <w:r>
        <w:rPr>
          <w:rFonts w:hint="default" w:ascii="Times New Roman" w:hAnsi="Times New Roman" w:eastAsia="仿宋_GB2312" w:cs="Times New Roman"/>
          <w:color w:val="auto"/>
          <w:sz w:val="32"/>
          <w:szCs w:val="32"/>
          <w:highlight w:val="none"/>
        </w:rPr>
        <w:t>十、</w:t>
      </w:r>
      <w:bookmarkEnd w:id="61"/>
      <w:r>
        <w:rPr>
          <w:rFonts w:hint="default" w:ascii="Times New Roman" w:hAnsi="Times New Roman" w:eastAsia="仿宋_GB2312" w:cs="Times New Roman"/>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2" w:name="_Toc15396629"/>
      <w:r>
        <w:rPr>
          <w:rFonts w:hint="default" w:ascii="Times New Roman" w:hAnsi="Times New Roman" w:eastAsia="仿宋_GB2312" w:cs="Times New Roman"/>
          <w:color w:val="auto"/>
          <w:sz w:val="32"/>
          <w:szCs w:val="32"/>
          <w:highlight w:val="none"/>
        </w:rPr>
        <w:t>十一、</w:t>
      </w:r>
      <w:bookmarkEnd w:id="62"/>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财政拨款收入</w:t>
      </w:r>
      <w:r>
        <w:rPr>
          <w:rFonts w:hint="default" w:ascii="Times New Roman" w:hAnsi="Times New Roman" w:eastAsia="仿宋_GB2312" w:cs="Times New Roman"/>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3" w:name="_Toc15396630"/>
      <w:r>
        <w:rPr>
          <w:rFonts w:hint="default" w:ascii="Times New Roman" w:hAnsi="Times New Roman" w:eastAsia="仿宋_GB2312" w:cs="Times New Roman"/>
          <w:color w:val="auto"/>
          <w:sz w:val="32"/>
          <w:szCs w:val="32"/>
          <w:highlight w:val="none"/>
        </w:rPr>
        <w:t>十二、</w:t>
      </w:r>
      <w:bookmarkEnd w:id="63"/>
      <w:r>
        <w:rPr>
          <w:rFonts w:hint="default" w:ascii="Times New Roman" w:hAnsi="Times New Roman" w:eastAsia="仿宋_GB2312" w:cs="Times New Roman"/>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lang w:eastAsia="zh-CN"/>
        </w:rPr>
      </w:pPr>
      <w:bookmarkStart w:id="64" w:name="_Toc15396631"/>
      <w:r>
        <w:rPr>
          <w:rFonts w:hint="default" w:ascii="Times New Roman" w:hAnsi="Times New Roman" w:eastAsia="仿宋_GB2312" w:cs="Times New Roman"/>
          <w:color w:val="auto"/>
          <w:sz w:val="32"/>
          <w:szCs w:val="32"/>
          <w:highlight w:val="none"/>
        </w:rPr>
        <w:t>十三、</w:t>
      </w:r>
      <w:bookmarkEnd w:id="64"/>
      <w:r>
        <w:rPr>
          <w:rFonts w:hint="default" w:ascii="Times New Roman" w:hAnsi="Times New Roman" w:eastAsia="仿宋_GB2312" w:cs="Times New Roman"/>
          <w:color w:val="auto"/>
          <w:sz w:val="32"/>
          <w:szCs w:val="32"/>
          <w:highlight w:val="none"/>
          <w:lang w:eastAsia="zh-CN"/>
        </w:rPr>
        <w:t>财政拨款“三公”经费支出决算表</w:t>
      </w:r>
    </w:p>
    <w:p>
      <w:pPr>
        <w:rPr>
          <w:rFonts w:hint="default" w:ascii="Times New Roman" w:hAnsi="Times New Roman"/>
          <w:lang w:eastAsia="zh-CN"/>
        </w:rPr>
      </w:pPr>
    </w:p>
    <w:sectPr>
      <w:footerReference r:id="rId9" w:type="first"/>
      <w:footerReference r:id="rId8" w:type="default"/>
      <w:pgSz w:w="11906" w:h="16838"/>
      <w:pgMar w:top="2041" w:right="1468" w:bottom="1587" w:left="1468"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1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p>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543A7E"/>
    <w:multiLevelType w:val="singleLevel"/>
    <w:tmpl w:val="D6543A7E"/>
    <w:lvl w:ilvl="0" w:tentative="0">
      <w:start w:val="2"/>
      <w:numFmt w:val="chineseCounting"/>
      <w:suff w:val="nothing"/>
      <w:lvlText w:val="（%1）"/>
      <w:lvlJc w:val="left"/>
      <w:rPr>
        <w:rFonts w:hint="eastAsia"/>
      </w:rPr>
    </w:lvl>
  </w:abstractNum>
  <w:abstractNum w:abstractNumId="1">
    <w:nsid w:val="DC0BACEF"/>
    <w:multiLevelType w:val="singleLevel"/>
    <w:tmpl w:val="DC0BACEF"/>
    <w:lvl w:ilvl="0" w:tentative="0">
      <w:start w:val="2"/>
      <w:numFmt w:val="chineseCounting"/>
      <w:suff w:val="nothing"/>
      <w:lvlText w:val="（%1）"/>
      <w:lvlJc w:val="left"/>
      <w:rPr>
        <w:rFonts w:hint="eastAsia"/>
      </w:rPr>
    </w:lvl>
  </w:abstractNum>
  <w:abstractNum w:abstractNumId="2">
    <w:nsid w:val="EB5CE2F9"/>
    <w:multiLevelType w:val="singleLevel"/>
    <w:tmpl w:val="EB5CE2F9"/>
    <w:lvl w:ilvl="0" w:tentative="0">
      <w:start w:val="1"/>
      <w:numFmt w:val="chineseCounting"/>
      <w:suff w:val="space"/>
      <w:lvlText w:val="第%1部分"/>
      <w:lvlJc w:val="left"/>
      <w:rPr>
        <w:rFonts w:hint="eastAsia"/>
      </w:rPr>
    </w:lvl>
  </w:abstractNum>
  <w:abstractNum w:abstractNumId="3">
    <w:nsid w:val="5ACE12A0"/>
    <w:multiLevelType w:val="singleLevel"/>
    <w:tmpl w:val="5ACE12A0"/>
    <w:lvl w:ilvl="0" w:tentative="0">
      <w:start w:val="3"/>
      <w:numFmt w:val="chineseCounting"/>
      <w:suff w:val="nothing"/>
      <w:lvlText w:val="（%1）"/>
      <w:lvlJc w:val="left"/>
      <w:rPr>
        <w:rFonts w:hint="eastAsia"/>
      </w:rPr>
    </w:lvl>
  </w:abstractNum>
  <w:abstractNum w:abstractNumId="4">
    <w:nsid w:val="5CE88251"/>
    <w:multiLevelType w:val="singleLevel"/>
    <w:tmpl w:val="5CE88251"/>
    <w:lvl w:ilvl="0" w:tentative="0">
      <w:start w:val="2"/>
      <w:numFmt w:val="chineseCounting"/>
      <w:suff w:val="nothing"/>
      <w:lvlText w:val="（%1）"/>
      <w:lvlJc w:val="left"/>
      <w:rPr>
        <w:rFonts w:hint="eastAsia"/>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hMDc2YzYzYjhmZjhhZWI0ZTc2M2Q1MWMxZmE4MGU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23713"/>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317229"/>
    <w:rsid w:val="015975B8"/>
    <w:rsid w:val="01A23516"/>
    <w:rsid w:val="01C238D0"/>
    <w:rsid w:val="02317B1B"/>
    <w:rsid w:val="02FEBE30"/>
    <w:rsid w:val="061E35DE"/>
    <w:rsid w:val="066E0107"/>
    <w:rsid w:val="07996F6E"/>
    <w:rsid w:val="07DFD8BA"/>
    <w:rsid w:val="08DB07E4"/>
    <w:rsid w:val="09867E8F"/>
    <w:rsid w:val="0A2032A3"/>
    <w:rsid w:val="0A692587"/>
    <w:rsid w:val="0C6C4794"/>
    <w:rsid w:val="0C6F0575"/>
    <w:rsid w:val="0CA8290A"/>
    <w:rsid w:val="0D35B1ED"/>
    <w:rsid w:val="0DE07E2B"/>
    <w:rsid w:val="0F98263C"/>
    <w:rsid w:val="101860EC"/>
    <w:rsid w:val="10C055FF"/>
    <w:rsid w:val="11772AA4"/>
    <w:rsid w:val="118107EC"/>
    <w:rsid w:val="11DD1FA2"/>
    <w:rsid w:val="124F5F1B"/>
    <w:rsid w:val="13957196"/>
    <w:rsid w:val="13D50BC4"/>
    <w:rsid w:val="14022904"/>
    <w:rsid w:val="152F2A07"/>
    <w:rsid w:val="158D2301"/>
    <w:rsid w:val="165E0673"/>
    <w:rsid w:val="16BB723D"/>
    <w:rsid w:val="16F13FCB"/>
    <w:rsid w:val="18562927"/>
    <w:rsid w:val="186504BB"/>
    <w:rsid w:val="1938089F"/>
    <w:rsid w:val="193B65BF"/>
    <w:rsid w:val="19645844"/>
    <w:rsid w:val="19A445FC"/>
    <w:rsid w:val="1A104C46"/>
    <w:rsid w:val="1B7D550C"/>
    <w:rsid w:val="1BE8440E"/>
    <w:rsid w:val="1D155CEE"/>
    <w:rsid w:val="1DE178F3"/>
    <w:rsid w:val="1E740ACF"/>
    <w:rsid w:val="1FF35744"/>
    <w:rsid w:val="1FF6BC77"/>
    <w:rsid w:val="21962A9E"/>
    <w:rsid w:val="21AE7C77"/>
    <w:rsid w:val="22BC3C41"/>
    <w:rsid w:val="23860B96"/>
    <w:rsid w:val="240371BF"/>
    <w:rsid w:val="24CD1A21"/>
    <w:rsid w:val="250720BA"/>
    <w:rsid w:val="260F557C"/>
    <w:rsid w:val="26190BED"/>
    <w:rsid w:val="281408E2"/>
    <w:rsid w:val="29FD04D3"/>
    <w:rsid w:val="2BFF7BC6"/>
    <w:rsid w:val="2C8A61B5"/>
    <w:rsid w:val="2D2E01CF"/>
    <w:rsid w:val="2DF04E50"/>
    <w:rsid w:val="2E0425E1"/>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4A0694"/>
    <w:rsid w:val="3B7EF35A"/>
    <w:rsid w:val="3B9FDB6C"/>
    <w:rsid w:val="3BF5BC2F"/>
    <w:rsid w:val="3CEBA265"/>
    <w:rsid w:val="3D98207C"/>
    <w:rsid w:val="3D9B0D99"/>
    <w:rsid w:val="3DEE7CF3"/>
    <w:rsid w:val="3DF02244"/>
    <w:rsid w:val="3E78745D"/>
    <w:rsid w:val="3FE31EC0"/>
    <w:rsid w:val="3FF4CAE0"/>
    <w:rsid w:val="3FF7B227"/>
    <w:rsid w:val="40E54C45"/>
    <w:rsid w:val="41313393"/>
    <w:rsid w:val="43036B2F"/>
    <w:rsid w:val="43A407DF"/>
    <w:rsid w:val="44515BEA"/>
    <w:rsid w:val="44E268DA"/>
    <w:rsid w:val="44FE0C65"/>
    <w:rsid w:val="453F7E5B"/>
    <w:rsid w:val="45C23ACE"/>
    <w:rsid w:val="46231BE2"/>
    <w:rsid w:val="486A6C7A"/>
    <w:rsid w:val="49176D9B"/>
    <w:rsid w:val="494006BD"/>
    <w:rsid w:val="49416004"/>
    <w:rsid w:val="4A627F82"/>
    <w:rsid w:val="4B0E749A"/>
    <w:rsid w:val="4B4F25DA"/>
    <w:rsid w:val="4BDA0CFB"/>
    <w:rsid w:val="4BE068DB"/>
    <w:rsid w:val="4D3C0CCC"/>
    <w:rsid w:val="4D577224"/>
    <w:rsid w:val="4DBF1CEB"/>
    <w:rsid w:val="4E1B169B"/>
    <w:rsid w:val="4EAB630A"/>
    <w:rsid w:val="4ECE2238"/>
    <w:rsid w:val="4F833267"/>
    <w:rsid w:val="4FE9BD67"/>
    <w:rsid w:val="4FFB052F"/>
    <w:rsid w:val="53083A92"/>
    <w:rsid w:val="537E6D0A"/>
    <w:rsid w:val="53AF27A2"/>
    <w:rsid w:val="53F74C96"/>
    <w:rsid w:val="53FB20DF"/>
    <w:rsid w:val="56B23DDE"/>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0E108C3"/>
    <w:rsid w:val="62BF3928"/>
    <w:rsid w:val="647F5392"/>
    <w:rsid w:val="664B1D71"/>
    <w:rsid w:val="67AA3209"/>
    <w:rsid w:val="681C4F0D"/>
    <w:rsid w:val="68D232D4"/>
    <w:rsid w:val="68EF220F"/>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031DBF"/>
    <w:rsid w:val="70496804"/>
    <w:rsid w:val="70585085"/>
    <w:rsid w:val="70AB527A"/>
    <w:rsid w:val="712A28F1"/>
    <w:rsid w:val="715C0E4B"/>
    <w:rsid w:val="717D57FD"/>
    <w:rsid w:val="72233669"/>
    <w:rsid w:val="72734D90"/>
    <w:rsid w:val="729B1166"/>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5F27CE"/>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HTML Preformatted"/>
    <w:unhideWhenUsed/>
    <w:qFormat/>
    <w:uiPriority w:val="99"/>
    <w:pPr>
      <w:widowControl/>
      <w:jc w:val="left"/>
    </w:pPr>
    <w:rPr>
      <w:rFonts w:ascii="宋体" w:hAnsi="宋体" w:eastAsia="宋体" w:cs="宋体"/>
      <w:kern w:val="2"/>
      <w:sz w:val="24"/>
      <w:szCs w:val="24"/>
      <w:lang w:val="en-US" w:eastAsia="zh-CN" w:bidi="ar-SA"/>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0"/>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6">
    <w:name w:val="15"/>
    <w:basedOn w:val="18"/>
    <w:qFormat/>
    <w:uiPriority w:val="0"/>
    <w:rPr>
      <w:rFonts w:hint="default" w:ascii="Cambria" w:hAnsi="Cambria" w:eastAsia="宋体" w:cs="Times New Roman"/>
      <w:b/>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themeOverride" Target="../theme/themeOverride5.xml"/><Relationship Id="rId1" Type="http://schemas.openxmlformats.org/officeDocument/2006/relationships/oleObject" Target="file:///C:\Users\thtf\Desktop\&#36130;&#21153;&#24037;&#20316;&#25351;&#23548;\2026&#24180;&#25253;&#36865;\19.&#20915;&#31639;&#20844;&#24320;&#65288;2026&#24180;&#65289;\20250908&#20316;&#21442;&#32771;&#65306;&#39292;&#29366;&#65288;&#30452;&#26041;&#65289;&#22270;&#32472;&#21046;&#26041;&#27861;.xls" TargetMode="External"/></Relationships>
</file>

<file path=word/charts/_rels/chart2.xml.rels><?xml version="1.0" encoding="UTF-8" standalone="yes"?>
<Relationships xmlns="http://schemas.openxmlformats.org/package/2006/relationships"><Relationship Id="rId2" Type="http://schemas.openxmlformats.org/officeDocument/2006/relationships/themeOverride" Target="../theme/themeOverride3.xml"/><Relationship Id="rId1" Type="http://schemas.openxmlformats.org/officeDocument/2006/relationships/oleObject" Target="file:///C:\Users\thtf\Desktop\&#36130;&#21153;&#24037;&#20316;&#25351;&#23548;\2026&#24180;&#25253;&#36865;\19.&#20915;&#31639;&#20844;&#24320;&#65288;2026&#24180;&#65289;\20250908&#20316;&#21442;&#32771;&#65306;&#39292;&#29366;&#65288;&#30452;&#26041;&#65289;&#22270;&#32472;&#21046;&#26041;&#27861;.xls" TargetMode="External"/></Relationships>
</file>

<file path=word/charts/_rels/chart3.xml.rels><?xml version="1.0" encoding="UTF-8" standalone="yes"?>
<Relationships xmlns="http://schemas.openxmlformats.org/package/2006/relationships"><Relationship Id="rId2" Type="http://schemas.openxmlformats.org/officeDocument/2006/relationships/themeOverride" Target="../theme/themeOverride2.xml"/><Relationship Id="rId1" Type="http://schemas.openxmlformats.org/officeDocument/2006/relationships/oleObject" Target="file:///C:\Users\thtf\Desktop\&#36130;&#21153;&#24037;&#20316;&#25351;&#23548;\2026&#24180;&#25253;&#36865;\19.&#20915;&#31639;&#20844;&#24320;&#65288;2026&#24180;&#65289;\20250908&#20316;&#21442;&#32771;&#65306;&#39292;&#29366;&#65288;&#30452;&#26041;&#65289;&#22270;&#32472;&#21046;&#26041;&#27861;.xls" TargetMode="External"/></Relationships>
</file>

<file path=word/charts/_rels/chart4.xml.rels><?xml version="1.0" encoding="UTF-8" standalone="yes"?>
<Relationships xmlns="http://schemas.openxmlformats.org/package/2006/relationships"><Relationship Id="rId2" Type="http://schemas.openxmlformats.org/officeDocument/2006/relationships/themeOverride" Target="../theme/themeOverride7.xml"/><Relationship Id="rId1" Type="http://schemas.openxmlformats.org/officeDocument/2006/relationships/oleObject" Target="file:///C:\Users\thtf\Desktop\&#36130;&#21153;&#24037;&#20316;&#25351;&#23548;\2026&#24180;&#25253;&#36865;\19.&#20915;&#31639;&#20844;&#24320;&#65288;2026&#24180;&#65289;\20250908&#20316;&#21442;&#32771;&#65306;&#39292;&#29366;&#65288;&#30452;&#26041;&#65289;&#22270;&#32472;&#21046;&#26041;&#27861;.xls" TargetMode="External"/></Relationships>
</file>

<file path=word/charts/_rels/chart5.xml.rels><?xml version="1.0" encoding="UTF-8" standalone="yes"?>
<Relationships xmlns="http://schemas.openxmlformats.org/package/2006/relationships"><Relationship Id="rId2" Type="http://schemas.openxmlformats.org/officeDocument/2006/relationships/themeOverride" Target="../theme/themeOverride6.xml"/><Relationship Id="rId1" Type="http://schemas.openxmlformats.org/officeDocument/2006/relationships/oleObject" Target="file:///C:\Users\thtf\Desktop\&#36130;&#21153;&#24037;&#20316;&#25351;&#23548;\2026&#24180;&#25253;&#36865;\19.&#20915;&#31639;&#20844;&#24320;&#65288;2026&#24180;&#65289;\20250908&#20316;&#21442;&#32771;&#65306;&#39292;&#29366;&#65288;&#30452;&#26041;&#65289;&#22270;&#32472;&#21046;&#26041;&#27861;.xls" TargetMode="External"/></Relationships>
</file>

<file path=word/charts/_rels/chart6.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oleObject" Target="file:///C:\Users\thtf\Desktop\&#36130;&#21153;&#24037;&#20316;&#25351;&#23548;\2026&#24180;&#25253;&#36865;\19.&#20915;&#31639;&#20844;&#24320;&#65288;2026&#24180;&#65289;\20250908&#20316;&#21442;&#32771;&#65306;&#39292;&#29366;&#65288;&#30452;&#26041;&#65289;&#22270;&#32472;&#21046;&#26041;&#27861;.xls" TargetMode="External"/></Relationships>
</file>

<file path=word/charts/_rels/chart7.xml.rels><?xml version="1.0" encoding="UTF-8" standalone="yes"?>
<Relationships xmlns="http://schemas.openxmlformats.org/package/2006/relationships"><Relationship Id="rId2" Type="http://schemas.openxmlformats.org/officeDocument/2006/relationships/themeOverride" Target="../theme/themeOverride4.xml"/><Relationship Id="rId1" Type="http://schemas.openxmlformats.org/officeDocument/2006/relationships/oleObject" Target="file:///C:\Users\thtf\Desktop\&#36130;&#21153;&#24037;&#20316;&#25351;&#23548;\2026&#24180;&#25253;&#36865;\19.&#20915;&#31639;&#20844;&#24320;&#65288;2026&#24180;&#65289;\20250908&#20316;&#21442;&#32771;&#65306;&#39292;&#29366;&#65288;&#30452;&#26041;&#65289;&#22270;&#32472;&#21046;&#26041;&#2786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spPr>
        <a:noFill/>
        <a:ln w="3175">
          <a:noFill/>
        </a:ln>
      </c:spPr>
      <c:txPr>
        <a:bodyPr rot="0" spcFirstLastPara="0" vertOverflow="ellipsis" vert="horz" wrap="square" anchor="ctr" anchorCtr="1"/>
        <a:lstStyle/>
        <a:p>
          <a:pPr>
            <a:defRPr lang="zh-CN" sz="11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title>
    <c:autoTitleDeleted val="0"/>
    <c:plotArea>
      <c:layout/>
      <c:barChart>
        <c:barDir val="col"/>
        <c:grouping val="clustered"/>
        <c:varyColors val="0"/>
        <c:ser>
          <c:idx val="0"/>
          <c:order val="0"/>
          <c:tx>
            <c:strRef>
              <c:f>'[20250908作参考：饼状（直方）图绘制方法.xls]收支决算总计变动情况-图1'!$A$4</c:f>
              <c:strCache>
                <c:ptCount val="1"/>
                <c:pt idx="0">
                  <c:v>沐川县审计局收、支决算总计变动情况</c:v>
                </c:pt>
              </c:strCache>
            </c:strRef>
          </c:tx>
          <c:spPr>
            <a:solidFill>
              <a:srgbClr val="9999FF">
                <a:alpha val="100000"/>
              </a:srgbClr>
            </a:solidFill>
            <a:ln w="12700">
              <a:solidFill>
                <a:srgbClr val="000000">
                  <a:alpha val="100000"/>
                </a:srgbClr>
              </a:solidFill>
              <a:prstDash val="solid"/>
            </a:ln>
          </c:spPr>
          <c:invertIfNegative val="0"/>
          <c:dLbls>
            <c:dLbl>
              <c:idx val="0"/>
              <c:layout>
                <c:manualLayout>
                  <c:x val="0.00176132013201321"/>
                  <c:y val="0.223000242424242"/>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68726072607265"/>
                  <c:y val="0.342968727272727"/>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'[20250908作参考：饼状（直方）图绘制方法.xls]收支决算总计变动情况-图1'!$A$1:$B$1</c:f>
              <c:strCache>
                <c:ptCount val="2"/>
                <c:pt idx="0">
                  <c:v>2024年收支</c:v>
                </c:pt>
                <c:pt idx="1">
                  <c:v>2025年收支</c:v>
                </c:pt>
              </c:strCache>
            </c:strRef>
          </c:cat>
          <c:val>
            <c:numRef>
              <c:f>'[20250908作参考：饼状（直方）图绘制方法.xls]收支决算总计变动情况-图1'!$A$2:$B$2</c:f>
              <c:numCache>
                <c:formatCode>General</c:formatCode>
                <c:ptCount val="2"/>
                <c:pt idx="0">
                  <c:v>571.42</c:v>
                </c:pt>
                <c:pt idx="1">
                  <c:v>340.01</c:v>
                </c:pt>
              </c:numCache>
            </c:numRef>
          </c:val>
        </c:ser>
        <c:dLbls>
          <c:showLegendKey val="0"/>
          <c:showVal val="0"/>
          <c:showCatName val="0"/>
          <c:showSerName val="0"/>
          <c:showPercent val="0"/>
          <c:showBubbleSize val="0"/>
        </c:dLbls>
        <c:gapWidth val="150"/>
        <c:overlap val="0"/>
        <c:axId val="527065636"/>
        <c:axId val="564355561"/>
      </c:barChart>
      <c:catAx>
        <c:axId val="527065636"/>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564355561"/>
        <c:crosses val="autoZero"/>
        <c:auto val="1"/>
        <c:lblAlgn val="ctr"/>
        <c:lblOffset val="100"/>
        <c:noMultiLvlLbl val="0"/>
      </c:catAx>
      <c:valAx>
        <c:axId val="564355561"/>
        <c:scaling>
          <c:orientation val="minMax"/>
        </c:scaling>
        <c:delete val="0"/>
        <c:axPos val="l"/>
        <c:majorGridlines>
          <c:spPr>
            <a:ln w="3175" cap="flat" cmpd="sng" algn="ctr">
              <a:solidFill>
                <a:srgbClr val="000000">
                  <a:alpha val="100000"/>
                </a:srgbClr>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6000000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527065636"/>
        <c:crosses val="autoZero"/>
        <c:crossBetween val="between"/>
      </c:valAx>
      <c:spPr>
        <a:solidFill>
          <a:srgbClr val="C0C0C0">
            <a:alpha val="100000"/>
          </a:srgbClr>
        </a:solidFill>
        <a:ln w="12700">
          <a:solidFill>
            <a:srgbClr val="808080">
              <a:alpha val="100000"/>
            </a:srgbClr>
          </a:solidFill>
          <a:prstDash val="solid"/>
        </a:ln>
      </c:spPr>
    </c:plotArea>
    <c:plotVisOnly val="1"/>
    <c:dispBlanksAs val="gap"/>
    <c:showDLblsOverMax val="0"/>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125"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沐川县审计局202</a:t>
            </a:r>
            <a:r>
              <a:rPr lang="en-US" altLang="zh-CN"/>
              <a:t>5</a:t>
            </a:r>
            <a:r>
              <a:t>年收入决算结构图</a:t>
            </a:r>
          </a:p>
        </c:rich>
      </c:tx>
      <c:layout/>
      <c:overlay val="0"/>
      <c:spPr>
        <a:noFill/>
        <a:ln w="3175">
          <a:noFill/>
        </a:ln>
      </c:spPr>
    </c:title>
    <c:autoTitleDeleted val="0"/>
    <c:plotArea>
      <c:layout>
        <c:manualLayout>
          <c:layoutTarget val="inner"/>
          <c:xMode val="edge"/>
          <c:yMode val="edge"/>
          <c:x val="0.17275"/>
          <c:y val="0.277"/>
          <c:w val="0.3375"/>
          <c:h val="0.56075"/>
        </c:manualLayout>
      </c:layout>
      <c:pieChart>
        <c:varyColors val="1"/>
        <c:ser>
          <c:idx val="0"/>
          <c:order val="0"/>
          <c:tx>
            <c:strRef>
              <c:f>'[20250908作参考：饼状（直方）图绘制方法.xls]收入决算结构-图2-1'!$A$5</c:f>
              <c:strCache>
                <c:ptCount val="1"/>
                <c:pt idx="0">
                  <c:v>沐川县审计局2024年收入决算结构图</c:v>
                </c:pt>
              </c:strCache>
            </c:strRef>
          </c:tx>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3175">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Lbls>
            <c:dLbl>
              <c:idx val="0"/>
              <c:layout/>
              <c:tx>
                <c:rich>
                  <a:bodyPr rot="0" spcFirstLastPara="0" vertOverflow="ellipsis" vert="horz" wrap="square" lIns="38100" tIns="19050" rIns="38100" bIns="19050" anchor="ctr" anchorCtr="1"/>
                  <a:lstStyle/>
                  <a:p>
                    <a:pPr defTabSz="914400">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t>98</a:t>
                    </a:r>
                    <a:r>
                      <a:rPr lang="en-US" altLang="zh-CN"/>
                      <a:t>.3</a:t>
                    </a:r>
                    <a:r>
                      <a:t>%</a:t>
                    </a:r>
                  </a:p>
                </c:rich>
              </c:tx>
              <c:numFmt formatCode="0%" sourceLinked="0"/>
              <c:spPr>
                <a:noFill/>
                <a:ln w="3175">
                  <a:noFill/>
                </a:ln>
                <a:effectLst/>
              </c:spPr>
              <c:txPr>
                <a:bodyPr rot="0" spcFirstLastPara="0" vertOverflow="ellipsis" vert="horz" wrap="square" lIns="38100" tIns="19050" rIns="38100" bIns="19050" anchor="ctr" anchorCtr="1"/>
                <a:lstStyle/>
                <a:p>
                  <a:pPr>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en-US" altLang="zh-CN"/>
                      <a:t>1.7</a:t>
                    </a:r>
                    <a:r>
                      <a:t>%</a:t>
                    </a:r>
                  </a:p>
                </c:rich>
              </c:tx>
              <c:numFmt formatCode="0%" sourceLinked="0"/>
              <c:spPr>
                <a:noFill/>
                <a:ln w="3175">
                  <a:noFill/>
                </a:ln>
                <a:effectLst/>
              </c:spPr>
              <c:txPr>
                <a:bodyPr rot="0" spcFirstLastPara="0" vertOverflow="ellipsis" vert="horz" wrap="square" lIns="38100" tIns="19050" rIns="38100" bIns="19050" anchor="ctr" anchorCtr="1"/>
                <a:lstStyle/>
                <a:p>
                  <a:pPr>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extLst>
                <c:ext xmlns:c15="http://schemas.microsoft.com/office/drawing/2012/chart" uri="{CE6537A1-D6FC-4f65-9D91-7224C49458BB}"/>
              </c:extLst>
            </c:dLbl>
            <c:numFmt formatCode="0%" sourceLinked="0"/>
            <c:spPr>
              <a:noFill/>
              <a:ln w="3175">
                <a:noFill/>
              </a:ln>
              <a:effectLst/>
            </c:spPr>
            <c:txPr>
              <a:bodyPr rot="0" spcFirstLastPara="0" vertOverflow="ellipsis" vert="horz" wrap="square" lIns="38100" tIns="19050" rIns="38100" bIns="19050" anchor="ctr" anchorCtr="1"/>
              <a:lstStyle/>
              <a:p>
                <a:pPr>
                  <a:defRPr lang="zh-CN" sz="925"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'[20250908作参考：饼状（直方）图绘制方法.xls]收入决算结构-图2-1'!$A$1:$B$1</c:f>
              <c:strCache>
                <c:ptCount val="2"/>
                <c:pt idx="0">
                  <c:v>一般公共预算财政拨款收入</c:v>
                </c:pt>
                <c:pt idx="1">
                  <c:v>其他收入</c:v>
                </c:pt>
              </c:strCache>
            </c:strRef>
          </c:cat>
          <c:val>
            <c:numRef>
              <c:f>'[20250908作参考：饼状（直方）图绘制方法.xls]收入决算结构-图2-1'!$A$2:$B$2</c:f>
              <c:numCache>
                <c:formatCode>General</c:formatCode>
                <c:ptCount val="2"/>
                <c:pt idx="0">
                  <c:v>334.14</c:v>
                </c:pt>
                <c:pt idx="1">
                  <c:v>5.87</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575"/>
          <c:y val="0.44025"/>
          <c:w val="0.41425"/>
          <c:h val="0.2435"/>
        </c:manualLayout>
      </c:layout>
      <c:overlay val="0"/>
      <c:spPr>
        <a:solidFill>
          <a:srgbClr val="FFFFFF">
            <a:alpha val="100000"/>
          </a:srgbClr>
        </a:solidFill>
        <a:ln w="3175">
          <a:noFill/>
        </a:ln>
      </c:spPr>
      <c:txPr>
        <a:bodyPr rot="0" spcFirstLastPara="0" vertOverflow="ellipsis" vert="horz" wrap="square" anchor="ctr" anchorCtr="1"/>
        <a:lstStyle/>
        <a:p>
          <a:pPr>
            <a:defRPr lang="zh-CN" sz="11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spPr>
        <a:noFill/>
        <a:ln w="3175">
          <a:noFill/>
        </a:ln>
      </c:spPr>
      <c:txPr>
        <a:bodyPr rot="0" spcFirstLastPara="0" vertOverflow="ellipsis" vert="horz" wrap="square" anchor="ctr" anchorCtr="1"/>
        <a:lstStyle/>
        <a:p>
          <a:pPr>
            <a:defRPr lang="zh-CN" sz="12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title>
    <c:autoTitleDeleted val="0"/>
    <c:plotArea>
      <c:layout>
        <c:manualLayout>
          <c:layoutTarget val="inner"/>
          <c:xMode val="edge"/>
          <c:yMode val="edge"/>
          <c:x val="0.2575"/>
          <c:y val="0.277"/>
          <c:w val="0.33325"/>
          <c:h val="0.56425"/>
        </c:manualLayout>
      </c:layout>
      <c:pieChart>
        <c:varyColors val="1"/>
        <c:ser>
          <c:idx val="0"/>
          <c:order val="0"/>
          <c:tx>
            <c:strRef>
              <c:f>'[20250908作参考：饼状（直方）图绘制方法.xls]支出决算结构-图3'!$A$9</c:f>
              <c:strCache>
                <c:ptCount val="1"/>
                <c:pt idx="0">
                  <c:v>沐川县审计局2025年支出决算结构图</c:v>
                </c:pt>
              </c:strCache>
            </c:strRef>
          </c:tx>
          <c:spPr>
            <a:solidFill>
              <a:srgbClr val="9999FF">
                <a:alpha val="100000"/>
              </a:srgbClr>
            </a:solidFill>
            <a:ln w="12700">
              <a:solidFill>
                <a:srgbClr val="000000">
                  <a:alpha val="100000"/>
                </a:srgbClr>
              </a:solidFill>
              <a:prstDash val="solid"/>
            </a:ln>
          </c:spPr>
          <c:explosion val="25"/>
          <c:dPt>
            <c:idx val="0"/>
            <c:bubble3D val="0"/>
            <c:explosion val="25"/>
            <c:spPr>
              <a:solidFill>
                <a:srgbClr val="9999FF">
                  <a:alpha val="100000"/>
                </a:srgbClr>
              </a:solidFill>
              <a:ln w="12700">
                <a:solidFill>
                  <a:srgbClr val="000000">
                    <a:alpha val="100000"/>
                  </a:srgbClr>
                </a:solidFill>
                <a:prstDash val="solid"/>
              </a:ln>
            </c:spPr>
          </c:dPt>
          <c:dPt>
            <c:idx val="1"/>
            <c:bubble3D val="0"/>
            <c:explosion val="25"/>
            <c:spPr>
              <a:solidFill>
                <a:srgbClr val="993366">
                  <a:alpha val="100000"/>
                </a:srgbClr>
              </a:solidFill>
              <a:ln w="12700">
                <a:solidFill>
                  <a:srgbClr val="000000">
                    <a:alpha val="100000"/>
                  </a:srgbClr>
                </a:solidFill>
                <a:prstDash val="solid"/>
              </a:ln>
            </c:spPr>
          </c:dPt>
          <c:dLbls>
            <c:dLbl>
              <c:idx val="0"/>
              <c:layout/>
              <c:tx>
                <c:rich>
                  <a:bodyPr rot="0" spcFirstLastPara="0" vertOverflow="ellipsis" vert="horz" wrap="square" lIns="38100" tIns="19050" rIns="38100" bIns="19050" anchor="ctr" anchorCtr="1"/>
                  <a:lstStyle/>
                  <a:p>
                    <a:pPr defTabSz="914400">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t>98.9%</a:t>
                    </a:r>
                  </a:p>
                </c:rich>
              </c:tx>
              <c:numFmt formatCode="0.00%" sourceLinked="0"/>
              <c:spPr>
                <a:noFill/>
                <a:ln w="3175">
                  <a:noFill/>
                </a:ln>
                <a:effectLst/>
              </c:spPr>
              <c:txPr>
                <a:bodyPr rot="0" spcFirstLastPara="0" vertOverflow="ellipsis" vert="horz" wrap="square" lIns="38100" tIns="19050" rIns="38100" bIns="19050" anchor="ctr" anchorCtr="1"/>
                <a:lstStyle/>
                <a:p>
                  <a:pPr>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extLst>
                <c:ext xmlns:c15="http://schemas.microsoft.com/office/drawing/2012/chart" uri="{CE6537A1-D6FC-4f65-9D91-7224C49458BB}">
                  <c15:layout>
                    <c:manualLayout>
                      <c:w val="0.0875816993464052"/>
                      <c:h val="0.0987690504103165"/>
                    </c:manualLayout>
                  </c15:layout>
                </c:ext>
              </c:extLst>
            </c:dLbl>
            <c:dLbl>
              <c:idx val="1"/>
              <c:layout/>
              <c:tx>
                <c:rich>
                  <a:bodyPr rot="0" spcFirstLastPara="0" vertOverflow="ellipsis" vert="horz" wrap="square" lIns="38100" tIns="19050" rIns="38100" bIns="19050" anchor="ctr" anchorCtr="1"/>
                  <a:lstStyle/>
                  <a:p>
                    <a:pPr defTabSz="914400">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t>1.</a:t>
                    </a:r>
                    <a:r>
                      <a:rPr lang="en-US" altLang="zh-CN"/>
                      <a:t>1</a:t>
                    </a:r>
                    <a:r>
                      <a:t>%</a:t>
                    </a:r>
                  </a:p>
                </c:rich>
              </c:tx>
              <c:numFmt formatCode="0.00%" sourceLinked="0"/>
              <c:spPr>
                <a:noFill/>
                <a:ln w="3175">
                  <a:noFill/>
                </a:ln>
                <a:effectLst/>
              </c:spPr>
              <c:txPr>
                <a:bodyPr rot="0" spcFirstLastPara="0" vertOverflow="ellipsis" vert="horz" wrap="square" lIns="38100" tIns="19050" rIns="38100" bIns="19050" anchor="ctr" anchorCtr="1"/>
                <a:lstStyle/>
                <a:p>
                  <a:pPr>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extLst>
                <c:ext xmlns:c15="http://schemas.microsoft.com/office/drawing/2012/chart" uri="{CE6537A1-D6FC-4f65-9D91-7224C49458BB}"/>
              </c:extLst>
            </c:dLbl>
            <c:numFmt formatCode="0.00%" sourceLinked="0"/>
            <c:spPr>
              <a:noFill/>
              <a:ln w="3175">
                <a:noFill/>
              </a:ln>
              <a:effectLst/>
            </c:spPr>
            <c:txPr>
              <a:bodyPr rot="0" spcFirstLastPara="0" vertOverflow="ellipsis" vert="horz" wrap="square" lIns="38100" tIns="19050" rIns="38100" bIns="19050" anchor="ctr" anchorCtr="1"/>
              <a:lstStyle/>
              <a:p>
                <a:pPr>
                  <a:defRPr lang="zh-CN" sz="11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'[20250908作参考：饼状（直方）图绘制方法.xls]支出决算结构-图3'!$A$1:$B$1</c:f>
              <c:strCache>
                <c:ptCount val="2"/>
                <c:pt idx="0">
                  <c:v>基本支出</c:v>
                </c:pt>
                <c:pt idx="1">
                  <c:v>项目支出</c:v>
                </c:pt>
              </c:strCache>
            </c:strRef>
          </c:cat>
          <c:val>
            <c:numRef>
              <c:f>'[20250908作参考：饼状（直方）图绘制方法.xls]支出决算结构-图3'!$A$4:$B$4</c:f>
              <c:numCache>
                <c:formatCode>0.00%</c:formatCode>
                <c:ptCount val="2"/>
                <c:pt idx="0">
                  <c:v>0.989385558379429</c:v>
                </c:pt>
                <c:pt idx="1">
                  <c:v>0.0106144416205711</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7905"/>
          <c:y val="0.456"/>
          <c:w val="0.1655"/>
          <c:h val="0.13525"/>
        </c:manualLayout>
      </c:layout>
      <c:overlay val="0"/>
      <c:spPr>
        <a:solidFill>
          <a:srgbClr val="FFFFFF">
            <a:alpha val="100000"/>
          </a:srgbClr>
        </a:solidFill>
        <a:ln w="3175">
          <a:noFill/>
        </a:ln>
      </c:spPr>
      <c:txPr>
        <a:bodyPr rot="0" spcFirstLastPara="0" vertOverflow="ellipsis" vert="horz" wrap="square" anchor="ctr" anchorCtr="1"/>
        <a:lstStyle/>
        <a:p>
          <a:pPr>
            <a:defRPr lang="zh-CN" sz="11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spPr>
        <a:noFill/>
        <a:ln w="3175">
          <a:noFill/>
        </a:ln>
      </c:spPr>
      <c:txPr>
        <a:bodyPr rot="0" spcFirstLastPara="0" vertOverflow="ellipsis" vert="horz" wrap="square" anchor="ctr" anchorCtr="1"/>
        <a:lstStyle/>
        <a:p>
          <a:pPr>
            <a:defRPr lang="zh-CN" sz="12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title>
    <c:autoTitleDeleted val="0"/>
    <c:plotArea>
      <c:layout/>
      <c:barChart>
        <c:barDir val="col"/>
        <c:grouping val="clustered"/>
        <c:varyColors val="0"/>
        <c:ser>
          <c:idx val="0"/>
          <c:order val="0"/>
          <c:tx>
            <c:strRef>
              <c:f>'[20250908作参考：饼状（直方）图绘制方法.xls]财政拨款收支决算总计变动情况-图4'!$A$4</c:f>
              <c:strCache>
                <c:ptCount val="1"/>
                <c:pt idx="0">
                  <c:v>沐川县审计局财政拨款收、支决算总计变动情况</c:v>
                </c:pt>
              </c:strCache>
            </c:strRef>
          </c:tx>
          <c:spPr>
            <a:solidFill>
              <a:srgbClr val="9999FF">
                <a:alpha val="100000"/>
              </a:srgbClr>
            </a:solidFill>
            <a:ln w="12700">
              <a:solidFill>
                <a:srgbClr val="000000">
                  <a:alpha val="100000"/>
                </a:srgbClr>
              </a:solidFill>
              <a:prstDash val="solid"/>
            </a:ln>
          </c:spPr>
          <c:invertIfNegative val="0"/>
          <c:dLbls>
            <c:dLbl>
              <c:idx val="0"/>
              <c:layout>
                <c:manualLayout>
                  <c:x val="0.0017832134292566"/>
                  <c:y val="0.217210101010101"/>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8076738609113"/>
                  <c:y val="0.334063636363636"/>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'[20250908作参考：饼状（直方）图绘制方法.xls]财政拨款收支决算总计变动情况-图4'!$A$1:$B$1</c:f>
              <c:strCache>
                <c:ptCount val="2"/>
                <c:pt idx="0">
                  <c:v>2024年财政拨款收支</c:v>
                </c:pt>
                <c:pt idx="1">
                  <c:v>2025年财政拨款收支</c:v>
                </c:pt>
              </c:strCache>
            </c:strRef>
          </c:cat>
          <c:val>
            <c:numRef>
              <c:f>'[20250908作参考：饼状（直方）图绘制方法.xls]财政拨款收支决算总计变动情况-图4'!$A$2:$B$2</c:f>
              <c:numCache>
                <c:formatCode>General</c:formatCode>
                <c:ptCount val="2"/>
                <c:pt idx="0">
                  <c:v>571.42</c:v>
                </c:pt>
                <c:pt idx="1">
                  <c:v>334.14</c:v>
                </c:pt>
              </c:numCache>
            </c:numRef>
          </c:val>
        </c:ser>
        <c:dLbls>
          <c:showLegendKey val="0"/>
          <c:showVal val="0"/>
          <c:showCatName val="0"/>
          <c:showSerName val="0"/>
          <c:showPercent val="0"/>
          <c:showBubbleSize val="0"/>
        </c:dLbls>
        <c:gapWidth val="150"/>
        <c:overlap val="0"/>
        <c:axId val="854806248"/>
        <c:axId val="43247967"/>
      </c:barChart>
      <c:catAx>
        <c:axId val="854806248"/>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43247967"/>
        <c:crosses val="autoZero"/>
        <c:auto val="1"/>
        <c:lblAlgn val="ctr"/>
        <c:lblOffset val="100"/>
        <c:noMultiLvlLbl val="0"/>
      </c:catAx>
      <c:valAx>
        <c:axId val="43247967"/>
        <c:scaling>
          <c:orientation val="minMax"/>
        </c:scaling>
        <c:delete val="0"/>
        <c:axPos val="l"/>
        <c:majorGridlines>
          <c:spPr>
            <a:ln w="3175" cap="flat" cmpd="sng" algn="ctr">
              <a:solidFill>
                <a:srgbClr val="000000">
                  <a:alpha val="100000"/>
                </a:srgbClr>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6000000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854806248"/>
        <c:crosses val="autoZero"/>
        <c:crossBetween val="between"/>
      </c:valAx>
      <c:spPr>
        <a:solidFill>
          <a:srgbClr val="C0C0C0">
            <a:alpha val="100000"/>
          </a:srgbClr>
        </a:solidFill>
        <a:ln w="12700">
          <a:solidFill>
            <a:srgbClr val="808080">
              <a:alpha val="100000"/>
            </a:srgbClr>
          </a:solidFill>
          <a:prstDash val="solid"/>
        </a:ln>
      </c:spPr>
    </c:plotArea>
    <c:plotVisOnly val="1"/>
    <c:dispBlanksAs val="gap"/>
    <c:showDLblsOverMax val="0"/>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1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沐川县审计局一般公共预算财政拨款支出决算变动情况</a:t>
            </a:r>
            <a:endParaRPr sz="1100"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manualLayout>
          <c:layoutTarget val="inner"/>
          <c:xMode val="edge"/>
          <c:yMode val="edge"/>
          <c:x val="0.084"/>
          <c:y val="0.2285"/>
          <c:w val="0.832"/>
          <c:h val="0.68175"/>
        </c:manualLayout>
      </c:layout>
      <c:barChart>
        <c:barDir val="col"/>
        <c:grouping val="clustered"/>
        <c:varyColors val="0"/>
        <c:ser>
          <c:idx val="0"/>
          <c:order val="0"/>
          <c:spPr>
            <a:solidFill>
              <a:srgbClr val="9999FF">
                <a:alpha val="100000"/>
              </a:srgbClr>
            </a:solidFill>
            <a:ln w="12700">
              <a:solidFill>
                <a:srgbClr val="000000">
                  <a:alpha val="100000"/>
                </a:srgbClr>
              </a:solidFill>
              <a:prstDash val="solid"/>
            </a:ln>
          </c:spPr>
          <c:invertIfNegative val="0"/>
          <c:dLbls>
            <c:dLbl>
              <c:idx val="0"/>
              <c:layout>
                <c:manualLayout>
                  <c:x val="0"/>
                  <c:y val="0.2440665"/>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48799999999998"/>
                  <c:y val="0.3476925"/>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'[20250908作参考：饼状（直方）图绘制方法.xls]一般公共预算财政拨款支出决算变动情况-图5'!$A$1:$B$1</c:f>
              <c:strCache>
                <c:ptCount val="2"/>
                <c:pt idx="0">
                  <c:v>2024年一般公共预算财政拨款支出</c:v>
                </c:pt>
                <c:pt idx="1">
                  <c:v>2025年一般公共预算财政拨款支出</c:v>
                </c:pt>
              </c:strCache>
            </c:strRef>
          </c:cat>
          <c:val>
            <c:numRef>
              <c:f>'[20250908作参考：饼状（直方）图绘制方法.xls]一般公共预算财政拨款支出决算变动情况-图5'!$A$2:$B$2</c:f>
              <c:numCache>
                <c:formatCode>General</c:formatCode>
                <c:ptCount val="2"/>
                <c:pt idx="0">
                  <c:v>525.79</c:v>
                </c:pt>
                <c:pt idx="1">
                  <c:v>334.14</c:v>
                </c:pt>
              </c:numCache>
            </c:numRef>
          </c:val>
        </c:ser>
        <c:dLbls>
          <c:showLegendKey val="0"/>
          <c:showVal val="0"/>
          <c:showCatName val="0"/>
          <c:showSerName val="0"/>
          <c:showPercent val="0"/>
          <c:showBubbleSize val="0"/>
        </c:dLbls>
        <c:gapWidth val="150"/>
        <c:overlap val="0"/>
        <c:axId val="417527685"/>
        <c:axId val="493434436"/>
      </c:barChart>
      <c:catAx>
        <c:axId val="417527685"/>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493434436"/>
        <c:crosses val="autoZero"/>
        <c:auto val="1"/>
        <c:lblAlgn val="ctr"/>
        <c:lblOffset val="100"/>
        <c:noMultiLvlLbl val="0"/>
      </c:catAx>
      <c:valAx>
        <c:axId val="493434436"/>
        <c:scaling>
          <c:orientation val="minMax"/>
        </c:scaling>
        <c:delete val="0"/>
        <c:axPos val="l"/>
        <c:numFmt formatCode="General" sourceLinked="1"/>
        <c:majorTickMark val="in"/>
        <c:minorTickMark val="none"/>
        <c:tickLblPos val="nextTo"/>
        <c:spPr>
          <a:ln w="3175" cap="flat" cmpd="sng" algn="ctr">
            <a:solidFill>
              <a:srgbClr val="000000"/>
            </a:solidFill>
            <a:prstDash val="solid"/>
            <a:round/>
          </a:ln>
        </c:spPr>
        <c:txPr>
          <a:bodyPr rot="-6000000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417527685"/>
        <c:crosses val="autoZero"/>
        <c:crossBetween val="between"/>
      </c:valAx>
      <c:spPr>
        <a:noFill/>
        <a:ln w="3175">
          <a:noFill/>
        </a:ln>
      </c:spPr>
    </c:plotArea>
    <c:plotVisOnly val="1"/>
    <c:dispBlanksAs val="gap"/>
    <c:showDLblsOverMax val="0"/>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2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沐川县审计局一般公共预算财政拨款支出决算结构图</a:t>
            </a:r>
            <a:endParaRPr sz="1200"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manualLayout>
          <c:x val="-0.009"/>
          <c:y val="-0.01025"/>
        </c:manualLayout>
      </c:layout>
      <c:overlay val="0"/>
      <c:spPr>
        <a:noFill/>
        <a:ln w="3175">
          <a:noFill/>
        </a:ln>
      </c:spPr>
    </c:title>
    <c:autoTitleDeleted val="0"/>
    <c:plotArea>
      <c:layout>
        <c:manualLayout>
          <c:layoutTarget val="inner"/>
          <c:xMode val="edge"/>
          <c:yMode val="edge"/>
          <c:x val="0.1005"/>
          <c:y val="0.24925"/>
          <c:w val="0.445"/>
          <c:h val="0.67875"/>
        </c:manualLayout>
      </c:layout>
      <c:pieChart>
        <c:varyColors val="1"/>
        <c:ser>
          <c:idx val="0"/>
          <c:order val="0"/>
          <c:tx>
            <c:strRef>
              <c:f>'[20250908作参考：饼状（直方）图绘制方法.xls]一般公共预算财政拨款支出决算结构-图6'!$A$8</c:f>
              <c:strCache>
                <c:ptCount val="1"/>
                <c:pt idx="0">
                  <c:v>沐川县审计局一般公共预算财政拨款支出决算结构图</c:v>
                </c:pt>
              </c:strCache>
            </c:strRef>
          </c:tx>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3175">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Pt>
            <c:idx val="3"/>
            <c:bubble3D val="0"/>
            <c:explosion val="0"/>
            <c:spPr>
              <a:solidFill>
                <a:srgbClr val="CCFFFF">
                  <a:alpha val="100000"/>
                </a:srgbClr>
              </a:solidFill>
              <a:ln w="12700">
                <a:solidFill>
                  <a:srgbClr val="000000">
                    <a:alpha val="100000"/>
                  </a:srgbClr>
                </a:solidFill>
                <a:prstDash val="solid"/>
              </a:ln>
            </c:spPr>
          </c:dPt>
          <c:dLbls>
            <c:dLbl>
              <c:idx val="0"/>
              <c:layout>
                <c:manualLayout>
                  <c:x val="-0.126693886159712"/>
                  <c:y val="-0.256477468288161"/>
                </c:manualLayout>
              </c:layout>
              <c:tx>
                <c:rich>
                  <a:bodyPr rot="0" spcFirstLastPara="0" vertOverflow="ellipsis" vert="horz" wrap="square" lIns="38100" tIns="19050" rIns="38100" bIns="19050" anchor="ctr" anchorCtr="1"/>
                  <a:lstStyle/>
                  <a:p>
                    <a:pPr defTabSz="914400">
                      <a:defRPr lang="zh-CN" sz="925"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lang="en-US" altLang="zh-CN" sz="925" b="0" i="0" u="none" strike="noStrike" baseline="0">
                        <a:solidFill>
                          <a:srgbClr val="000000"/>
                        </a:solidFill>
                        <a:latin typeface="宋体" panose="02010600030101010101" charset="-122"/>
                        <a:ea typeface="宋体" panose="02010600030101010101" charset="-122"/>
                        <a:cs typeface="宋体" panose="02010600030101010101" charset="-122"/>
                      </a:rPr>
                      <a:t>72.8</a:t>
                    </a:r>
                    <a:r>
                      <a:rPr sz="925" b="0" i="0" u="none" strike="noStrike" baseline="0">
                        <a:solidFill>
                          <a:srgbClr val="000000"/>
                        </a:solidFill>
                        <a:latin typeface="宋体" panose="02010600030101010101" charset="-122"/>
                        <a:ea typeface="宋体" panose="02010600030101010101" charset="-122"/>
                        <a:cs typeface="宋体" panose="02010600030101010101" charset="-122"/>
                      </a:rPr>
                      <a:t>%</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numFmt formatCode="0.00%" sourceLinked="0"/>
              <c:spPr>
                <a:noFill/>
                <a:ln w="3175">
                  <a:noFill/>
                </a:ln>
                <a:effectLst/>
              </c:spPr>
              <c:txPr>
                <a:bodyPr rot="0" spcFirstLastPara="0" vertOverflow="ellipsis" vert="horz" wrap="square" lIns="38100" tIns="19050" rIns="38100" bIns="19050" anchor="ctr" anchorCtr="1"/>
                <a:lstStyle/>
                <a:p>
                  <a:pPr>
                    <a:defRPr lang="zh-CN" sz="925"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en-US" altLang="zh-CN" sz="800" b="0" i="0" u="none" strike="noStrike" baseline="0">
                        <a:solidFill>
                          <a:srgbClr val="000000"/>
                        </a:solidFill>
                        <a:latin typeface="宋体" panose="02010600030101010101" charset="-122"/>
                        <a:ea typeface="宋体" panose="02010600030101010101" charset="-122"/>
                        <a:cs typeface="宋体" panose="02010600030101010101" charset="-122"/>
                      </a:rPr>
                      <a:t>16.9</a:t>
                    </a:r>
                    <a:r>
                      <a:rPr sz="800" b="0" i="0" u="none" strike="noStrike" baseline="0">
                        <a:solidFill>
                          <a:srgbClr val="000000"/>
                        </a:solidFill>
                        <a:latin typeface="宋体" panose="02010600030101010101" charset="-122"/>
                        <a:ea typeface="宋体" panose="02010600030101010101" charset="-122"/>
                        <a:cs typeface="宋体" panose="02010600030101010101" charset="-122"/>
                      </a:rPr>
                      <a:t>%</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numFmt formatCode="0.00%" sourceLinked="0"/>
              <c:spPr>
                <a:noFill/>
                <a:ln w="3175">
                  <a:noFill/>
                </a:ln>
                <a:effectLst/>
              </c:spPr>
              <c:txPr>
                <a:bodyPr rot="0" spcFirstLastPara="0" vertOverflow="ellipsis" vert="horz" wrap="square" lIns="38100" tIns="19050" rIns="38100" bIns="19050" anchor="ctr" anchorCtr="1"/>
                <a:lstStyle/>
                <a:p>
                  <a:pPr>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extLst>
                <c:ext xmlns:c15="http://schemas.microsoft.com/office/drawing/2012/chart" uri="{CE6537A1-D6FC-4f65-9D91-7224C49458BB}"/>
              </c:extLst>
            </c:dLbl>
            <c:dLbl>
              <c:idx val="2"/>
              <c:layout>
                <c:manualLayout>
                  <c:x val="-0.0783567087729236"/>
                  <c:y val="-0.0361523602285375"/>
                </c:manualLayout>
              </c:layout>
              <c:tx>
                <c:rich>
                  <a:bodyPr rot="0" spcFirstLastPara="0" vertOverflow="ellipsis" vert="horz" wrap="square" lIns="38100" tIns="19050" rIns="38100" bIns="19050" anchor="ctr" anchorCtr="1"/>
                  <a:lstStyle/>
                  <a:p>
                    <a:pPr defTabSz="914400">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en-US" altLang="zh-CN"/>
                      <a:t>3.5</a:t>
                    </a:r>
                    <a:r>
                      <a:t>%</a:t>
                    </a:r>
                    <a:endParaRPr sz="8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numFmt formatCode="0.00%" sourceLinked="0"/>
              <c:spPr>
                <a:noFill/>
                <a:ln w="3175">
                  <a:noFill/>
                </a:ln>
                <a:effectLst/>
              </c:spPr>
              <c:txPr>
                <a:bodyPr rot="0" spcFirstLastPara="0" vertOverflow="ellipsis" vert="horz" wrap="square" lIns="38100" tIns="19050" rIns="38100" bIns="19050" anchor="ctr" anchorCtr="1"/>
                <a:lstStyle/>
                <a:p>
                  <a:pPr>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0384334425543007"/>
                  <c:y val="-0.0748883631240704"/>
                </c:manualLayout>
              </c:layout>
              <c:tx>
                <c:rich>
                  <a:bodyPr rot="0" spcFirstLastPara="0" vertOverflow="ellipsis" vert="horz" wrap="square" lIns="38100" tIns="19050" rIns="38100" bIns="19050" anchor="ctr" anchorCtr="1"/>
                  <a:lstStyle/>
                  <a:p>
                    <a:pPr defTabSz="914400">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en-US" altLang="zh-CN" sz="800" b="0" i="0" u="none" strike="noStrike" baseline="0">
                        <a:solidFill>
                          <a:srgbClr val="000000"/>
                        </a:solidFill>
                        <a:latin typeface="宋体" panose="02010600030101010101" charset="-122"/>
                        <a:ea typeface="宋体" panose="02010600030101010101" charset="-122"/>
                        <a:cs typeface="宋体" panose="02010600030101010101" charset="-122"/>
                      </a:rPr>
                      <a:t>6.8</a:t>
                    </a:r>
                    <a:r>
                      <a:rPr sz="800" b="0" i="0" u="none" strike="noStrike" baseline="0">
                        <a:solidFill>
                          <a:srgbClr val="000000"/>
                        </a:solidFill>
                        <a:latin typeface="宋体" panose="02010600030101010101" charset="-122"/>
                        <a:ea typeface="宋体" panose="02010600030101010101" charset="-122"/>
                        <a:cs typeface="宋体" panose="02010600030101010101" charset="-122"/>
                      </a:rPr>
                      <a:t>%</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numFmt formatCode="0.00%" sourceLinked="0"/>
              <c:spPr>
                <a:noFill/>
                <a:ln w="3175">
                  <a:noFill/>
                </a:ln>
                <a:effectLst/>
              </c:spPr>
              <c:txPr>
                <a:bodyPr rot="0" spcFirstLastPara="0" vertOverflow="ellipsis" vert="horz" wrap="square" lIns="38100" tIns="19050" rIns="38100" bIns="19050" anchor="ctr" anchorCtr="1"/>
                <a:lstStyle/>
                <a:p>
                  <a:pPr>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w="3175">
                <a:noFill/>
              </a:ln>
              <a:effectLst/>
            </c:spPr>
            <c:txPr>
              <a:bodyPr rot="0" spcFirstLastPara="0" vertOverflow="ellipsis" vert="horz" wrap="square" lIns="38100" tIns="19050" rIns="38100" bIns="19050" anchor="ctr" anchorCtr="1"/>
              <a:lstStyle/>
              <a:p>
                <a:pPr>
                  <a:defRPr lang="zh-CN" sz="925"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'[20250908作参考：饼状（直方）图绘制方法.xls]一般公共预算财政拨款支出决算结构-图6'!$A$1:$D$1</c:f>
              <c:strCache>
                <c:ptCount val="4"/>
                <c:pt idx="0">
                  <c:v>一般公共服务支出</c:v>
                </c:pt>
                <c:pt idx="1">
                  <c:v>社会保障和就业支出</c:v>
                </c:pt>
                <c:pt idx="2">
                  <c:v>卫生健康支出</c:v>
                </c:pt>
                <c:pt idx="3">
                  <c:v>住房保障支出</c:v>
                </c:pt>
              </c:strCache>
            </c:strRef>
          </c:cat>
          <c:val>
            <c:numRef>
              <c:f>'[20250908作参考：饼状（直方）图绘制方法.xls]一般公共预算财政拨款支出决算结构-图6'!$A$2:$D$2</c:f>
              <c:numCache>
                <c:formatCode>General</c:formatCode>
                <c:ptCount val="4"/>
                <c:pt idx="0">
                  <c:v>243.17</c:v>
                </c:pt>
                <c:pt idx="1">
                  <c:v>56.55</c:v>
                </c:pt>
                <c:pt idx="2">
                  <c:v>11.7</c:v>
                </c:pt>
                <c:pt idx="3">
                  <c:v>22.73</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651539473684211"/>
          <c:y val="0.26887015503876"/>
          <c:w val="0.34425"/>
          <c:h val="0.5555"/>
        </c:manualLayout>
      </c:layout>
      <c:overlay val="0"/>
      <c:spPr>
        <a:solidFill>
          <a:srgbClr val="FFFFFF">
            <a:alpha val="100000"/>
          </a:srgbClr>
        </a:solidFill>
        <a:ln w="3175">
          <a:noFill/>
        </a:ln>
      </c:spPr>
      <c:txPr>
        <a:bodyPr rot="0" spcFirstLastPara="0" vertOverflow="ellipsis" vert="horz" wrap="square" anchor="ctr" anchorCtr="1"/>
        <a:lstStyle/>
        <a:p>
          <a:pPr>
            <a:defRPr lang="zh-CN" sz="1125"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spPr>
        <a:noFill/>
        <a:ln w="3175">
          <a:noFill/>
        </a:ln>
      </c:spPr>
      <c:txPr>
        <a:bodyPr rot="0" spcFirstLastPara="0" vertOverflow="ellipsis" vert="horz" wrap="square" anchor="ctr" anchorCtr="1"/>
        <a:lstStyle/>
        <a:p>
          <a:pPr>
            <a:defRPr lang="zh-CN" sz="12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title>
    <c:autoTitleDeleted val="0"/>
    <c:plotArea>
      <c:layout>
        <c:manualLayout>
          <c:layoutTarget val="inner"/>
          <c:xMode val="edge"/>
          <c:yMode val="edge"/>
          <c:x val="0.19625"/>
          <c:y val="0.3"/>
          <c:w val="0.2635"/>
          <c:h val="0.527"/>
        </c:manualLayout>
      </c:layout>
      <c:pieChart>
        <c:varyColors val="1"/>
        <c:ser>
          <c:idx val="0"/>
          <c:order val="0"/>
          <c:tx>
            <c:strRef>
              <c:f>'[20250908作参考：饼状（直方）图绘制方法.xls]三公经费财政拨款支出结构-图7'!$B$8</c:f>
              <c:strCache>
                <c:ptCount val="1"/>
                <c:pt idx="0">
                  <c:v>沐川县审计局2025年“三公”经费财政拨款支出结构图</c:v>
                </c:pt>
              </c:strCache>
            </c:strRef>
          </c:tx>
          <c:spPr>
            <a:solidFill>
              <a:srgbClr val="9999FF">
                <a:alpha val="100000"/>
              </a:srgbClr>
            </a:solidFill>
            <a:ln w="12700">
              <a:solidFill>
                <a:srgbClr val="000000">
                  <a:alpha val="100000"/>
                </a:srgbClr>
              </a:solidFill>
              <a:prstDash val="solid"/>
            </a:ln>
          </c:spPr>
          <c:explosion val="25"/>
          <c:dPt>
            <c:idx val="0"/>
            <c:bubble3D val="0"/>
            <c:explosion val="25"/>
            <c:spPr>
              <a:solidFill>
                <a:srgbClr val="9999FF">
                  <a:alpha val="100000"/>
                </a:srgbClr>
              </a:solidFill>
              <a:ln w="12700">
                <a:solidFill>
                  <a:srgbClr val="000000">
                    <a:alpha val="100000"/>
                  </a:srgbClr>
                </a:solidFill>
                <a:prstDash val="solid"/>
              </a:ln>
            </c:spPr>
          </c:dPt>
          <c:dPt>
            <c:idx val="1"/>
            <c:bubble3D val="0"/>
            <c:explosion val="25"/>
            <c:spPr>
              <a:solidFill>
                <a:srgbClr val="993366">
                  <a:alpha val="100000"/>
                </a:srgbClr>
              </a:solidFill>
              <a:ln w="12700">
                <a:solidFill>
                  <a:srgbClr val="000000">
                    <a:alpha val="100000"/>
                  </a:srgbClr>
                </a:solidFill>
                <a:prstDash val="solid"/>
              </a:ln>
            </c:spPr>
          </c:dPt>
          <c:dPt>
            <c:idx val="2"/>
            <c:bubble3D val="0"/>
            <c:explosion val="25"/>
            <c:spPr>
              <a:solidFill>
                <a:srgbClr val="FFFFCC">
                  <a:alpha val="100000"/>
                </a:srgbClr>
              </a:solidFill>
              <a:ln w="12700">
                <a:solidFill>
                  <a:srgbClr val="000000">
                    <a:alpha val="100000"/>
                  </a:srgbClr>
                </a:solidFill>
                <a:prstDash val="solid"/>
              </a:ln>
            </c:spPr>
          </c:dPt>
          <c:dLbls>
            <c:dLbl>
              <c:idx val="0"/>
              <c:layout/>
              <c:numFmt formatCode="0.00%" sourceLinked="0"/>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extLst>
                <c:ext xmlns:c15="http://schemas.microsoft.com/office/drawing/2012/chart" uri="{CE6537A1-D6FC-4f65-9D91-7224C49458BB}"/>
              </c:extLst>
            </c:dLbl>
            <c:numFmt formatCode="0.00%" sourceLinked="0"/>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'[20250908作参考：饼状（直方）图绘制方法.xls]三公经费财政拨款支出结构-图7'!$A$1:$C$1</c:f>
              <c:strCache>
                <c:ptCount val="3"/>
                <c:pt idx="0">
                  <c:v>因公出国（境）费支出</c:v>
                </c:pt>
                <c:pt idx="1">
                  <c:v>公务用车购置及运行维护费支出</c:v>
                </c:pt>
                <c:pt idx="2">
                  <c:v>公务接待费支出</c:v>
                </c:pt>
              </c:strCache>
            </c:strRef>
          </c:cat>
          <c:val>
            <c:numRef>
              <c:f>'[20250908作参考：饼状（直方）图绘制方法.xls]三公经费财政拨款支出结构-图7'!$A$2:$C$2</c:f>
              <c:numCache>
                <c:formatCode>General</c:formatCode>
                <c:ptCount val="3"/>
                <c:pt idx="0">
                  <c:v>0</c:v>
                </c:pt>
                <c:pt idx="1">
                  <c:v>0</c:v>
                </c:pt>
                <c:pt idx="2">
                  <c:v>0.13</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573"/>
          <c:y val="0.3845"/>
          <c:w val="0.3385"/>
          <c:h val="0.38075"/>
        </c:manualLayout>
      </c:layout>
      <c:overlay val="0"/>
      <c:spPr>
        <a:solidFill>
          <a:srgbClr val="FFFFFF">
            <a:alpha val="100000"/>
          </a:srgbClr>
        </a:solidFill>
        <a:ln w="3175">
          <a:noFill/>
        </a:ln>
      </c:spPr>
      <c:txPr>
        <a:bodyPr rot="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2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34</Pages>
  <Words>1299</Words>
  <Characters>7410</Characters>
  <Lines>61</Lines>
  <Paragraphs>17</Paragraphs>
  <TotalTime>33</TotalTime>
  <ScaleCrop>false</ScaleCrop>
  <LinksUpToDate>false</LinksUpToDate>
  <CharactersWithSpaces>8692</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黄嫒琳</cp:lastModifiedBy>
  <cp:lastPrinted>2026-08-03T17:27:00Z</cp:lastPrinted>
  <dcterms:modified xsi:type="dcterms:W3CDTF">2026-09-22T09:30:08Z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400D301575C74348A5277D00A7902E06</vt:lpwstr>
  </property>
</Properties>
</file>