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黑体" w:hAnsi="黑体" w:eastAsia="黑体" w:cs="黑体"/>
          <w:color w:val="auto"/>
          <w:kern w:val="2"/>
          <w:sz w:val="32"/>
          <w:szCs w:val="32"/>
          <w:highlight w:val="none"/>
          <w:lang w:val="en-US" w:eastAsia="zh-CN" w:bidi="ar-SA"/>
        </w:rPr>
      </w:pPr>
      <w:bookmarkStart w:id="0" w:name="_Toc15396597"/>
      <w:bookmarkStart w:id="1" w:name="_Toc15377425"/>
      <w:bookmarkStart w:id="2" w:name="_Toc15377193"/>
      <w:bookmarkStart w:id="3" w:name="_Toc15378441"/>
      <w:bookmarkStart w:id="4" w:name="_Toc15306267"/>
      <w:bookmarkStart w:id="5" w:name="_Toc15396475"/>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2025年度沐川县审计局单位决算</w:t>
      </w:r>
    </w:p>
    <w:p>
      <w:pPr>
        <w:pStyle w:val="2"/>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suppressAutoHyphens/>
        <w:bidi w:val="0"/>
        <w:jc w:val="center"/>
        <w:rPr>
          <w:rFonts w:hint="default" w:ascii="Times New Roman" w:hAnsi="Times New Roman" w:eastAsia="方正小标宋简体" w:cs="Times New Roman"/>
          <w:color w:val="auto"/>
          <w:sz w:val="28"/>
          <w:szCs w:val="28"/>
          <w:highlight w:val="none"/>
        </w:rPr>
      </w:pPr>
      <w:r>
        <w:rPr>
          <w:rFonts w:hint="default" w:ascii="Times New Roman" w:hAnsi="Times New Roman" w:eastAsia="方正小标宋简体" w:cs="Times New Roman"/>
          <w:color w:val="auto"/>
          <w:sz w:val="48"/>
          <w:szCs w:val="48"/>
          <w:highlight w:val="none"/>
        </w:rPr>
        <w:t>目录</w:t>
      </w:r>
    </w:p>
    <w:p>
      <w:pPr>
        <w:widowControl w:val="0"/>
        <w:suppressAutoHyphens/>
        <w:bidi w:val="0"/>
        <w:spacing w:before="93"/>
        <w:jc w:val="center"/>
        <w:rPr>
          <w:rFonts w:hint="default"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公开时间：2026年</w:t>
      </w:r>
      <w:r>
        <w:rPr>
          <w:rFonts w:hint="eastAsia" w:eastAsia="仿宋_GB2312" w:cs="Times New Roman"/>
          <w:color w:val="auto"/>
          <w:kern w:val="2"/>
          <w:sz w:val="28"/>
          <w:szCs w:val="28"/>
          <w:highlight w:val="none"/>
          <w:lang w:val="en-US" w:eastAsia="zh-CN" w:bidi="ar-SA"/>
        </w:rPr>
        <w:t>9</w:t>
      </w:r>
      <w:r>
        <w:rPr>
          <w:rFonts w:hint="default" w:ascii="Times New Roman" w:hAnsi="Times New Roman" w:eastAsia="仿宋_GB2312" w:cs="Times New Roman"/>
          <w:color w:val="auto"/>
          <w:kern w:val="2"/>
          <w:sz w:val="28"/>
          <w:szCs w:val="28"/>
          <w:highlight w:val="none"/>
          <w:lang w:val="en-US" w:eastAsia="zh-CN" w:bidi="ar-SA"/>
        </w:rPr>
        <w:t>月</w:t>
      </w:r>
      <w:r>
        <w:rPr>
          <w:rFonts w:hint="eastAsia" w:eastAsia="仿宋_GB2312" w:cs="Times New Roman"/>
          <w:color w:val="auto"/>
          <w:kern w:val="2"/>
          <w:sz w:val="28"/>
          <w:szCs w:val="28"/>
          <w:highlight w:val="none"/>
          <w:lang w:val="en-US" w:eastAsia="zh-CN" w:bidi="ar-SA"/>
        </w:rPr>
        <w:t>22</w:t>
      </w:r>
      <w:bookmarkStart w:id="54" w:name="_GoBack"/>
      <w:bookmarkEnd w:id="54"/>
      <w:r>
        <w:rPr>
          <w:rFonts w:hint="default" w:ascii="Times New Roman" w:hAnsi="Times New Roman" w:eastAsia="仿宋_GB2312" w:cs="Times New Roman"/>
          <w:color w:val="auto"/>
          <w:kern w:val="2"/>
          <w:sz w:val="28"/>
          <w:szCs w:val="28"/>
          <w:highlight w:val="none"/>
          <w:lang w:val="en-US" w:eastAsia="zh-CN" w:bidi="ar-SA"/>
        </w:rPr>
        <w:t>日</w:t>
      </w:r>
    </w:p>
    <w:p>
      <w:pPr>
        <w:suppressAutoHyphens/>
        <w:bidi w:val="0"/>
        <w:rPr>
          <w:rFonts w:hint="default" w:ascii="Times New Roman" w:hAnsi="Times New Roman" w:eastAsia="宋体" w:cs="Times New Roman"/>
          <w:color w:val="auto"/>
          <w:highlight w:val="none"/>
        </w:rPr>
      </w:pPr>
    </w:p>
    <w:p>
      <w:pPr>
        <w:keepNext w:val="0"/>
        <w:keepLines w:val="0"/>
        <w:pageBreakBefore w:val="0"/>
        <w:widowControl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第一部分 单位概况</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黑体" w:cs="Times New Roman"/>
          <w:color w:val="auto"/>
          <w:kern w:val="2"/>
          <w:sz w:val="32"/>
          <w:szCs w:val="32"/>
          <w:highlight w:val="none"/>
          <w:lang w:val="en-US" w:eastAsia="zh-CN" w:bidi="ar-SA"/>
        </w:rPr>
        <w:t>1</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一、主要职责......................................................................1</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二、机构设置......................................................................4</w:t>
      </w:r>
    </w:p>
    <w:p>
      <w:pPr>
        <w:keepNext w:val="0"/>
        <w:keepLines w:val="0"/>
        <w:pageBreakBefore w:val="0"/>
        <w:widowControl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b w:val="0"/>
          <w:bCs w:val="0"/>
          <w:color w:val="auto"/>
          <w:kern w:val="2"/>
          <w:sz w:val="32"/>
          <w:szCs w:val="32"/>
          <w:highlight w:val="none"/>
          <w:lang w:val="en-US" w:eastAsia="zh-CN" w:bidi="ar-SA"/>
        </w:rPr>
      </w:pPr>
      <w:r>
        <w:rPr>
          <w:rFonts w:hint="default" w:ascii="Times New Roman" w:hAnsi="Times New Roman" w:eastAsia="黑体" w:cs="Times New Roman"/>
          <w:b w:val="0"/>
          <w:bCs w:val="0"/>
          <w:color w:val="auto"/>
          <w:kern w:val="2"/>
          <w:sz w:val="32"/>
          <w:szCs w:val="32"/>
          <w:highlight w:val="none"/>
          <w:lang w:val="en-US" w:eastAsia="zh-CN" w:bidi="ar-SA"/>
        </w:rPr>
        <w:t>第二部分 2024年度单位决算情况说明</w:t>
      </w:r>
      <w:r>
        <w:rPr>
          <w:rFonts w:hint="default" w:ascii="Times New Roman" w:hAnsi="Times New Roman" w:eastAsia="仿宋_GB2312" w:cs="Times New Roman"/>
          <w:color w:val="auto"/>
          <w:kern w:val="2"/>
          <w:sz w:val="32"/>
          <w:szCs w:val="32"/>
          <w:highlight w:val="none"/>
          <w:lang w:val="en-US" w:eastAsia="zh-CN" w:bidi="ar-SA"/>
        </w:rPr>
        <w:t>................................5</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一、收入支出决算总体情况说明......................................5</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二、收入决算情况说明......................................................5</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三、支出决算情况说明......................................................6</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四、财政拨款收入支出决算总体情况说明......................6</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五、一般公共预算财政拨款支出决算情况说明..............7</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六、一般公共预算财政拨款基本支出决算情况说明......9</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七、财政拨款“三公”经费支出决算情况说明.................10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八、政府性基金预算支出决算情况说明.........................11</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九、国有资本经营预算支出决算情况说明.....................11</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十、其他重要事项的情况说明.........................................11</w:t>
      </w:r>
    </w:p>
    <w:p>
      <w:pPr>
        <w:keepNext w:val="0"/>
        <w:keepLines w:val="0"/>
        <w:pageBreakBefore w:val="0"/>
        <w:widowControl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第三部分 名词解释</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黑体" w:cs="Times New Roman"/>
          <w:color w:val="auto"/>
          <w:kern w:val="2"/>
          <w:sz w:val="32"/>
          <w:szCs w:val="32"/>
          <w:highlight w:val="none"/>
          <w:lang w:val="en-US" w:eastAsia="zh-CN" w:bidi="ar-SA"/>
        </w:rPr>
        <w:t>14</w:t>
      </w:r>
    </w:p>
    <w:p>
      <w:pPr>
        <w:keepNext w:val="0"/>
        <w:keepLines w:val="0"/>
        <w:pageBreakBefore w:val="0"/>
        <w:widowControl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第四部分 附件.</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黑体" w:cs="Times New Roman"/>
          <w:color w:val="auto"/>
          <w:kern w:val="2"/>
          <w:sz w:val="32"/>
          <w:szCs w:val="32"/>
          <w:highlight w:val="none"/>
          <w:lang w:val="en-US" w:eastAsia="zh-CN" w:bidi="ar-SA"/>
        </w:rPr>
        <w:t>18</w:t>
      </w:r>
    </w:p>
    <w:p>
      <w:pPr>
        <w:keepNext w:val="0"/>
        <w:keepLines w:val="0"/>
        <w:pageBreakBefore w:val="0"/>
        <w:widowControl w:val="0"/>
        <w:suppressAutoHyphen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第五部分 附表</w:t>
      </w:r>
      <w:r>
        <w:rPr>
          <w:rFonts w:hint="default" w:ascii="Times New Roman" w:hAnsi="Times New Roman" w:eastAsia="仿宋_GB2312" w:cs="Times New Roman"/>
          <w:color w:val="auto"/>
          <w:kern w:val="2"/>
          <w:sz w:val="32"/>
          <w:szCs w:val="32"/>
          <w:highlight w:val="none"/>
          <w:lang w:val="en-US" w:eastAsia="zh-CN" w:bidi="ar-SA"/>
        </w:rPr>
        <w:t>........................................................................20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一、收入支出决算总表.....................................................20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二、收入决算表.................................................................20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三、支出决算表.................................................................20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四、财政拨款收入支出决算总表.....................................20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sectPr>
          <w:footerReference r:id="rId5"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五、财政拨款支出决算明细表.........................................20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一般公共预算财政拨款支出决算表.........................20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一般公共预算财政拨款支出决算明细表.................20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一般公共预算财政拨款基本支出决算明细表.........20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一般公共预算财政拨款项目支出决算表.................20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政府性基金预算财政拨款收入支出决算表.............20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国有资本经营预算财政拨款收入支出决算表.....20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国有资本经营预算财政拨款支出决算表.............20</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财政拨款“三公”经费支出决算表.........................20</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420" w:left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suppressAutoHyphens/>
        <w:kinsoku/>
        <w:wordWrap/>
        <w:overflowPunct/>
        <w:topLinePunct w:val="0"/>
        <w:autoSpaceDE/>
        <w:autoSpaceDN/>
        <w:bidi w:val="0"/>
        <w:spacing w:line="560" w:lineRule="exact"/>
        <w:jc w:val="left"/>
        <w:textAlignment w:val="auto"/>
        <w:rPr>
          <w:rFonts w:hint="default" w:ascii="Times New Roman" w:hAnsi="Times New Roman" w:eastAsia="仿宋" w:cs="Times New Roman"/>
          <w:bCs/>
          <w:color w:val="auto"/>
          <w:kern w:val="44"/>
          <w:sz w:val="24"/>
          <w:highlight w:val="none"/>
        </w:rPr>
      </w:pPr>
    </w:p>
    <w:p>
      <w:pPr>
        <w:pStyle w:val="2"/>
        <w:rPr>
          <w:rFonts w:hint="default" w:ascii="Times New Roman" w:hAnsi="Times New Roman" w:eastAsia="仿宋" w:cs="Times New Roman"/>
          <w:bCs/>
          <w:color w:val="auto"/>
          <w:kern w:val="44"/>
          <w:sz w:val="24"/>
          <w:highlight w:val="none"/>
        </w:rPr>
      </w:pPr>
    </w:p>
    <w:p>
      <w:pPr>
        <w:rPr>
          <w:rFonts w:hint="default" w:ascii="Times New Roman" w:hAnsi="Times New Roman" w:eastAsia="仿宋" w:cs="Times New Roman"/>
          <w:bCs/>
          <w:color w:val="auto"/>
          <w:kern w:val="44"/>
          <w:sz w:val="24"/>
          <w:highlight w:val="none"/>
        </w:rPr>
      </w:pPr>
    </w:p>
    <w:p>
      <w:pPr>
        <w:pStyle w:val="2"/>
        <w:rPr>
          <w:rFonts w:hint="default" w:ascii="Times New Roman" w:hAnsi="Times New Roman" w:eastAsia="仿宋" w:cs="Times New Roman"/>
          <w:bCs/>
          <w:color w:val="auto"/>
          <w:kern w:val="44"/>
          <w:sz w:val="24"/>
          <w:highlight w:val="none"/>
        </w:rPr>
      </w:pPr>
    </w:p>
    <w:p>
      <w:pPr>
        <w:rPr>
          <w:rFonts w:hint="default" w:ascii="Times New Roman" w:hAnsi="Times New Roman" w:eastAsia="仿宋" w:cs="Times New Roman"/>
          <w:bCs/>
          <w:color w:val="auto"/>
          <w:kern w:val="44"/>
          <w:sz w:val="24"/>
          <w:highlight w:val="none"/>
        </w:rPr>
      </w:pPr>
    </w:p>
    <w:p>
      <w:pPr>
        <w:pStyle w:val="2"/>
        <w:rPr>
          <w:rFonts w:hint="default" w:ascii="Times New Roman" w:hAnsi="Times New Roman" w:eastAsia="仿宋" w:cs="Times New Roman"/>
          <w:bCs/>
          <w:color w:val="auto"/>
          <w:kern w:val="44"/>
          <w:sz w:val="24"/>
          <w:highlight w:val="none"/>
        </w:rPr>
      </w:pPr>
    </w:p>
    <w:p>
      <w:pPr>
        <w:rPr>
          <w:rFonts w:hint="default" w:ascii="Times New Roman" w:hAnsi="Times New Roman" w:eastAsia="仿宋" w:cs="Times New Roman"/>
          <w:bCs/>
          <w:color w:val="auto"/>
          <w:kern w:val="44"/>
          <w:sz w:val="24"/>
          <w:highlight w:val="none"/>
        </w:rPr>
      </w:pPr>
    </w:p>
    <w:p>
      <w:pPr>
        <w:pStyle w:val="2"/>
        <w:rPr>
          <w:rFonts w:hint="default" w:ascii="Times New Roman" w:hAnsi="Times New Roman" w:eastAsia="仿宋" w:cs="Times New Roman"/>
          <w:bCs/>
          <w:color w:val="auto"/>
          <w:kern w:val="44"/>
          <w:sz w:val="24"/>
          <w:highlight w:val="none"/>
        </w:rPr>
      </w:pPr>
    </w:p>
    <w:p>
      <w:pPr>
        <w:rPr>
          <w:rFonts w:hint="default" w:ascii="Times New Roman" w:hAnsi="Times New Roman" w:eastAsia="仿宋" w:cs="Times New Roman"/>
          <w:bCs/>
          <w:color w:val="auto"/>
          <w:kern w:val="44"/>
          <w:sz w:val="24"/>
          <w:highlight w:val="none"/>
        </w:rPr>
      </w:pPr>
    </w:p>
    <w:p>
      <w:pPr>
        <w:pStyle w:val="2"/>
        <w:rPr>
          <w:rFonts w:hint="default" w:ascii="Times New Roman" w:hAnsi="Times New Roman" w:eastAsia="仿宋" w:cs="Times New Roman"/>
          <w:bCs/>
          <w:color w:val="auto"/>
          <w:kern w:val="44"/>
          <w:sz w:val="24"/>
          <w:highlight w:val="none"/>
        </w:rPr>
      </w:pPr>
    </w:p>
    <w:p>
      <w:pPr>
        <w:rPr>
          <w:rFonts w:hint="default" w:ascii="Times New Roman" w:hAnsi="Times New Roman" w:eastAsia="仿宋" w:cs="Times New Roman"/>
          <w:bCs/>
          <w:color w:val="auto"/>
          <w:kern w:val="44"/>
          <w:sz w:val="24"/>
          <w:highlight w:val="none"/>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keepNext w:val="0"/>
        <w:keepLines w:val="0"/>
        <w:widowControl w:val="0"/>
        <w:numPr>
          <w:ilvl w:val="0"/>
          <w:numId w:val="0"/>
        </w:numPr>
        <w:suppressLineNumbers w:val="0"/>
        <w:suppressAutoHyphens/>
        <w:autoSpaceDE w:val="0"/>
        <w:autoSpaceDN/>
        <w:spacing w:before="0" w:beforeAutospacing="0" w:after="0" w:afterAutospacing="0" w:line="600" w:lineRule="exact"/>
        <w:ind w:leftChars="0" w:right="0" w:rightChars="0"/>
        <w:jc w:val="center"/>
        <w:rPr>
          <w:rFonts w:hint="default" w:ascii="Times New Roman" w:hAnsi="Times New Roman" w:eastAsia="方正小标宋简体" w:cs="Times New Roman"/>
          <w:b w:val="0"/>
          <w:kern w:val="2"/>
          <w:sz w:val="44"/>
          <w:szCs w:val="44"/>
          <w:lang w:val="en-US" w:eastAsia="zh-CN" w:bidi="ar"/>
        </w:rPr>
        <w:sectPr>
          <w:footerReference r:id="rId6" w:type="default"/>
          <w:pgSz w:w="11906" w:h="16838"/>
          <w:pgMar w:top="1440" w:right="1800" w:bottom="1440" w:left="1800" w:header="851" w:footer="992" w:gutter="0"/>
          <w:pgNumType w:fmt="decimal" w:start="1"/>
          <w:cols w:space="425" w:num="1"/>
          <w:docGrid w:type="lines" w:linePitch="312" w:charSpace="0"/>
        </w:sectPr>
      </w:pPr>
    </w:p>
    <w:p>
      <w:pPr>
        <w:keepNext w:val="0"/>
        <w:keepLines w:val="0"/>
        <w:widowControl w:val="0"/>
        <w:numPr>
          <w:ilvl w:val="0"/>
          <w:numId w:val="0"/>
        </w:numPr>
        <w:suppressLineNumbers w:val="0"/>
        <w:suppressAutoHyphens/>
        <w:autoSpaceDE w:val="0"/>
        <w:autoSpaceDN/>
        <w:spacing w:before="0" w:beforeAutospacing="0" w:after="0" w:afterAutospacing="0" w:line="600" w:lineRule="exact"/>
        <w:ind w:leftChars="0" w:right="0" w:rightChars="0"/>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b w:val="0"/>
          <w:kern w:val="2"/>
          <w:sz w:val="44"/>
          <w:szCs w:val="44"/>
          <w:lang w:val="en-US" w:eastAsia="zh-CN" w:bidi="ar"/>
        </w:rPr>
        <w:t>第一部分 单位</w:t>
      </w:r>
      <w:r>
        <w:rPr>
          <w:rStyle w:val="39"/>
          <w:rFonts w:hint="default" w:ascii="Times New Roman" w:hAnsi="Times New Roman" w:eastAsia="方正小标宋简体" w:cs="Times New Roman"/>
          <w:b w:val="0"/>
          <w:kern w:val="44"/>
          <w:sz w:val="44"/>
          <w:szCs w:val="44"/>
          <w:lang w:val="en-US" w:eastAsia="zh-CN" w:bidi="ar"/>
        </w:rPr>
        <w:t>概况</w:t>
      </w:r>
    </w:p>
    <w:p>
      <w:pPr>
        <w:keepNext w:val="0"/>
        <w:keepLines w:val="0"/>
        <w:widowControl w:val="0"/>
        <w:suppressLineNumbers w:val="0"/>
        <w:suppressAutoHyphens/>
        <w:autoSpaceDE w:val="0"/>
        <w:autoSpaceDN/>
        <w:spacing w:before="0" w:beforeAutospacing="0" w:after="0" w:afterAutospacing="0" w:line="60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黑体" w:cs="Times New Roman"/>
          <w:b w:val="0"/>
          <w:sz w:val="32"/>
          <w:szCs w:val="32"/>
        </w:rPr>
      </w:pPr>
      <w:r>
        <w:rPr>
          <w:rStyle w:val="37"/>
          <w:rFonts w:hint="default" w:ascii="Times New Roman" w:hAnsi="Times New Roman" w:eastAsia="黑体" w:cs="Times New Roman"/>
          <w:b w:val="0"/>
          <w:kern w:val="2"/>
          <w:sz w:val="32"/>
          <w:szCs w:val="32"/>
          <w:lang w:val="en-US" w:eastAsia="zh-CN" w:bidi="ar"/>
        </w:rPr>
        <w:t>一、主要职责</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沐川县审计局为县政府工作部门，主要履行如下职能：</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楷体_GB2312" w:cs="Times New Roman"/>
          <w:kern w:val="2"/>
          <w:sz w:val="32"/>
          <w:szCs w:val="32"/>
          <w:lang w:val="en-US" w:eastAsia="zh-CN" w:bidi="ar"/>
        </w:rPr>
        <w:t>（一）主管全县审计工作。</w:t>
      </w:r>
      <w:r>
        <w:rPr>
          <w:rFonts w:hint="default" w:ascii="Times New Roman" w:hAnsi="Times New Roman" w:eastAsia="仿宋_GB2312" w:cs="Times New Roman"/>
          <w:kern w:val="2"/>
          <w:sz w:val="32"/>
          <w:szCs w:val="32"/>
          <w:lang w:val="en-US" w:eastAsia="zh-CN" w:bidi="ar"/>
        </w:rPr>
        <w:t>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省、市、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（二）贯彻执行国家、省、市有关审计工作的方针、政策和法律法规。</w:t>
      </w:r>
      <w:r>
        <w:rPr>
          <w:rFonts w:hint="default" w:ascii="Times New Roman" w:hAnsi="Times New Roman" w:eastAsia="仿宋_GB2312" w:cs="Times New Roman"/>
          <w:kern w:val="2"/>
          <w:sz w:val="32"/>
          <w:szCs w:val="32"/>
          <w:lang w:val="en-US" w:eastAsia="zh-CN" w:bidi="ar"/>
        </w:rPr>
        <w:t>拟定全县有关审计工作规范性文件。制定并组织实施全县专业领域审计工作规划。参与拟定财政经济及相关规范性文件。对直接审计、调查和核查的事项依法进行审计评价，作出审计决定或提出审计建议。</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（三）向县委审计委员会提出年度县级预算执行和其他财政支出情况的审计报告。</w:t>
      </w:r>
      <w:r>
        <w:rPr>
          <w:rFonts w:hint="default" w:ascii="Times New Roman" w:hAnsi="Times New Roman" w:eastAsia="仿宋_GB2312" w:cs="Times New Roman"/>
          <w:kern w:val="2"/>
          <w:sz w:val="32"/>
          <w:szCs w:val="32"/>
          <w:lang w:val="en-US" w:eastAsia="zh-CN" w:bidi="ar"/>
        </w:rPr>
        <w:t>向县政府和市审计局提出年度县级预算执行和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委和县政府有关部门、乡（镇）党委和政府通报审计情况和审计结果。</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（四）直接审计下列事项，出具审计报告，在法定职权范围内作出审计决定，包括:</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1.国家、省、市、县有关重大政策措施贯彻落实情况。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2.县级预算执行情况和其他财政收支，县委和县政府各部门（含直属单位）预算执行情况、决算草案和其他财政收支。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3.乡（镇）人民政府预算的执行情况、决算草案和其他财政收支，县级财政转移支付资金。</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4.使用县级财政资金的事业单位（含直属单位）和社会团体的财务收支。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5.县级政府投资和以县级政府投资为主的建设项目的预算执行情况和决算，县级重大公共工程项目的资金管理使用和建设运营情况。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6.自然资源管理、污染防治和生态保护与修复情况。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7.县属国有企业和地方金融机构、国有资本占控股或主导地位的企业和金融机构境内外资产、负债和损益，县政府部门驻外非经营性机构的财务收支。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8.有关社会保障基金、社会捐赠资金、安全生产和职业健康财政资金以及其他基金、资金的财务收支。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9.国际组织和外国政府援助、贷款项目。</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10.法律法规规定的其他事项。</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（五）按规定对县管党政主要领导干部及其他单位主要负责人实施经济责任审计和自然资源资产离任审计，对国有企事业单位主要负责人实施经济责任审计，负责国有企业监事会相关工作。</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（六）组织实施对国家财经法律法规、规章、政策和宏观调控措施执行情况、财政预算管理及国有资产管理使用等与县级财政收支有关的特定事项进行专项审计调查。</w:t>
      </w:r>
      <w:r>
        <w:rPr>
          <w:rFonts w:hint="default" w:ascii="Times New Roman" w:hAnsi="Times New Roman" w:eastAsia="仿宋_GB2312" w:cs="Times New Roman"/>
          <w:kern w:val="2"/>
          <w:sz w:val="32"/>
          <w:szCs w:val="32"/>
          <w:lang w:val="en-US" w:eastAsia="zh-CN" w:bidi="ar"/>
        </w:rPr>
        <w:t>对全县预算执行情况和其他财政收支情况进行监督检查；对全县重大项目进行稽查。</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（七）依法检查审计决定执行情况，督促整改审计查出的问题，依法办理被审计单位对审计决定提请行政复议、行政诉讼或县政府裁决中的有关事项，协助配合有关部门查处相关重大案件。</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（八）指导和监督内部审计工作，核查社会审计机构对审计监督对象出具的相关审计报告。</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（九）指导和组织开展信息技术在审计领域的应用。</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（十）负责职责范围内的安全生产和职业健康、生态环境保护等工作。</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（十一）完成县委、县政府交办的其他工作。</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lang w:val="en-US" w:eastAsia="zh-CN" w:bidi="ar"/>
        </w:rPr>
        <w:t>（十二）职能转变。进一步完善审计管理体制，加强全县审计工作统筹，明晰职能定位，理顺内部职责关系，优化审计资源配置，充实加强一线审计力量。优化审计工作机制，坚持科技强审，完善业务流程，改进工作方式，加强与有关部门的沟通协调，充分调动内部审计和社会审计力量，增强监督合力。</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宋体" w:cs="Times New Roman"/>
          <w:b w:val="0"/>
          <w:sz w:val="32"/>
          <w:szCs w:val="32"/>
        </w:rPr>
      </w:pPr>
      <w:r>
        <w:rPr>
          <w:rFonts w:hint="default" w:ascii="Times New Roman" w:hAnsi="Times New Roman" w:eastAsia="黑体" w:cs="Times New Roman"/>
          <w:b w:val="0"/>
          <w:kern w:val="2"/>
          <w:sz w:val="32"/>
          <w:szCs w:val="32"/>
          <w:lang w:val="en-US" w:eastAsia="zh-CN" w:bidi="ar"/>
        </w:rPr>
        <w:t>二、机</w:t>
      </w:r>
      <w:r>
        <w:rPr>
          <w:rStyle w:val="37"/>
          <w:rFonts w:hint="default" w:ascii="Times New Roman" w:hAnsi="Times New Roman" w:eastAsia="黑体" w:cs="Times New Roman"/>
          <w:b w:val="0"/>
          <w:kern w:val="2"/>
          <w:sz w:val="32"/>
          <w:szCs w:val="32"/>
          <w:lang w:val="en-US" w:eastAsia="zh-CN" w:bidi="ar"/>
        </w:rPr>
        <w:t>构设置</w:t>
      </w:r>
    </w:p>
    <w:p>
      <w:pPr>
        <w:keepNext w:val="0"/>
        <w:keepLines w:val="0"/>
        <w:widowControl/>
        <w:suppressLineNumbers w:val="0"/>
        <w:suppressAutoHyphens/>
        <w:autoSpaceDE w:val="0"/>
        <w:autoSpaceDN/>
        <w:spacing w:before="0" w:beforeAutospacing="0" w:after="0" w:afterAutospacing="0" w:line="600" w:lineRule="exact"/>
        <w:ind w:left="0" w:right="0" w:firstLine="640" w:firstLineChars="200"/>
        <w:jc w:val="left"/>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沐川县审计局无下属二级预算单位。</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pPr>
        <w:keepNext w:val="0"/>
        <w:keepLines w:val="0"/>
        <w:widowControl/>
        <w:suppressLineNumbers w:val="0"/>
        <w:suppressAutoHyphens/>
        <w:spacing w:before="0" w:beforeAutospacing="0" w:after="0" w:afterAutospacing="0"/>
        <w:ind w:left="0" w:right="0"/>
        <w:jc w:val="left"/>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lang w:val="en-US" w:eastAsia="zh-CN" w:bidi="ar"/>
        </w:rPr>
        <w:t xml:space="preserve"> </w:t>
      </w:r>
    </w:p>
    <w:p>
      <w:pPr>
        <w:pStyle w:val="17"/>
        <w:keepNext/>
        <w:keepLines/>
        <w:widowControl w:val="0"/>
        <w:suppressLineNumbers w:val="0"/>
        <w:suppressAutoHyphens w:val="0"/>
        <w:spacing w:before="280" w:beforeAutospacing="0" w:after="156" w:afterAutospacing="0" w:line="376" w:lineRule="auto"/>
        <w:ind w:left="0" w:right="0"/>
        <w:jc w:val="left"/>
        <w:outlineLvl w:val="4"/>
        <w:rPr>
          <w:rFonts w:hint="default" w:ascii="Times New Roman" w:hAnsi="Times New Roman" w:eastAsia="仿宋" w:cs="Times New Roman"/>
          <w:b/>
          <w:kern w:val="0"/>
          <w:sz w:val="32"/>
          <w:szCs w:val="32"/>
        </w:rPr>
      </w:pPr>
      <w:r>
        <w:rPr>
          <w:rFonts w:hint="default" w:ascii="Times New Roman" w:hAnsi="Times New Roman" w:eastAsia="仿宋" w:cs="Times New Roman"/>
          <w:b/>
          <w:kern w:val="0"/>
          <w:sz w:val="32"/>
          <w:szCs w:val="32"/>
          <w:lang w:val="en-US" w:eastAsia="zh-CN" w:bidi="ar"/>
        </w:rPr>
        <w:t xml:space="preserve"> </w:t>
      </w:r>
    </w:p>
    <w:p>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 w:cs="Times New Roman"/>
          <w:color w:val="auto"/>
          <w:kern w:val="0"/>
          <w:sz w:val="32"/>
          <w:szCs w:val="32"/>
          <w:highlight w:val="none"/>
        </w:rPr>
      </w:pPr>
      <w:r>
        <w:rPr>
          <w:rFonts w:hint="default" w:ascii="Times New Roman" w:hAnsi="Times New Roman" w:eastAsia="宋体" w:cs="Times New Roman"/>
          <w:kern w:val="2"/>
          <w:sz w:val="21"/>
          <w:szCs w:val="21"/>
          <w:lang w:val="en-US" w:eastAsia="zh-CN" w:bidi="ar"/>
        </w:rPr>
        <w:t xml:space="preserve"> </w:t>
      </w:r>
    </w:p>
    <w:p>
      <w:pPr>
        <w:pStyle w:val="3"/>
        <w:jc w:val="center"/>
        <w:rPr>
          <w:rFonts w:hint="default" w:ascii="Times New Roman" w:hAnsi="Times New Roman" w:eastAsia="方正小标宋简体" w:cs="Times New Roman"/>
          <w:color w:val="auto"/>
          <w:highlight w:val="none"/>
        </w:rPr>
      </w:pPr>
      <w:bookmarkStart w:id="6" w:name="_Toc15396602"/>
      <w:bookmarkStart w:id="7"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2025年度单位</w:t>
      </w:r>
      <w:r>
        <w:rPr>
          <w:rFonts w:hint="default" w:ascii="Times New Roman" w:hAnsi="Times New Roman" w:eastAsia="方正小标宋简体" w:cs="Times New Roman"/>
          <w:b w:val="0"/>
          <w:color w:val="auto"/>
          <w:highlight w:val="none"/>
        </w:rPr>
        <w:t>决算情况说明</w:t>
      </w:r>
      <w:bookmarkEnd w:id="6"/>
      <w:bookmarkEnd w:id="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8" w:name="_Toc15396603"/>
      <w:bookmarkStart w:id="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8"/>
      <w:bookmarkEnd w:id="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cs="Times New Roma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340.01</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231.41</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40.5</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上年集中支付以前年度审计项目中介费，导致上年该项支出基数较高；2025年度审计项目中介费大幅减少，支出相应下降。</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271145</wp:posOffset>
            </wp:positionH>
            <wp:positionV relativeFrom="paragraph">
              <wp:posOffset>52705</wp:posOffset>
            </wp:positionV>
            <wp:extent cx="4810125" cy="2256155"/>
            <wp:effectExtent l="4445" t="4445" r="5080" b="6350"/>
            <wp:wrapNone/>
            <wp:docPr id="92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cs="Times New Roma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cs="Times New Roma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cs="Times New Roma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cs="Times New Roma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cs="Times New Roman"/>
          <w:lang w:val="en-US"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0" w:name="_Toc15396604"/>
      <w:bookmarkStart w:id="11" w:name="_Toc15377206"/>
      <w:r>
        <w:rPr>
          <w:rFonts w:hint="default" w:ascii="Times New Roman" w:hAnsi="Times New Roman" w:eastAsia="黑体" w:cs="Times New Roman"/>
          <w:color w:val="auto"/>
          <w:sz w:val="32"/>
          <w:szCs w:val="32"/>
          <w:highlight w:val="none"/>
          <w:lang w:eastAsia="zh-CN"/>
        </w:rPr>
        <w:t>二、收入决算情况说明</w:t>
      </w:r>
      <w:bookmarkEnd w:id="10"/>
      <w:bookmarkEnd w:id="11"/>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276225</wp:posOffset>
            </wp:positionH>
            <wp:positionV relativeFrom="paragraph">
              <wp:posOffset>1127125</wp:posOffset>
            </wp:positionV>
            <wp:extent cx="4772025" cy="2040890"/>
            <wp:effectExtent l="4445" t="4445" r="5080" b="12065"/>
            <wp:wrapNone/>
            <wp:docPr id="297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340.01</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98.</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5.87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1.7</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（图2：收入决算结构图）（饼状图）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12" w:name="_Toc15396605"/>
      <w:bookmarkStart w:id="13"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12"/>
      <w:bookmarkEnd w:id="1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334.44</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330.9</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98.9</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3.55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236220</wp:posOffset>
            </wp:positionH>
            <wp:positionV relativeFrom="paragraph">
              <wp:posOffset>68580</wp:posOffset>
            </wp:positionV>
            <wp:extent cx="4857750" cy="2166620"/>
            <wp:effectExtent l="4445" t="4445" r="14605" b="19685"/>
            <wp:wrapNone/>
            <wp:docPr id="3176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14" w:name="_Toc15396606"/>
      <w:bookmarkStart w:id="15" w:name="_Toc15377208"/>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14"/>
      <w:bookmarkEnd w:id="15"/>
    </w:p>
    <w:p>
      <w:pPr>
        <w:spacing w:line="600" w:lineRule="exact"/>
        <w:ind w:firstLine="640"/>
        <w:rPr>
          <w:rFonts w:hint="default" w:ascii="Times New Roman" w:hAnsi="Times New Roman" w:eastAsia="仿宋_GB2312" w:cs="Times New Roman"/>
          <w:color w:val="FF0000"/>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万元。与上年度相比，财政拨款收入、支出总计各减少237.28万元，下降41.5%。主要变动原因是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上年集中支付以前年度审计项目中介费，导致上年该项支出基数较高；2025年度审计项目中介费大幅减少，支出相应下降。</w:t>
      </w:r>
    </w:p>
    <w:p>
      <w:pPr>
        <w:pStyle w:val="2"/>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4812030" cy="1743075"/>
            <wp:effectExtent l="4445" t="4445" r="22225" b="5080"/>
            <wp:docPr id="3279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rPr>
          <w:rFonts w:hint="default" w:ascii="Times New Roman" w:hAnsi="Times New Roman" w:cs="Times New Roman"/>
          <w:lang w:val="en-US" w:eastAsia="zh-CN"/>
        </w:rPr>
      </w:pPr>
    </w:p>
    <w:p>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16" w:name="_Toc15377209"/>
      <w:bookmarkStart w:id="17"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般公共预算财政拨款支出决算情况说明</w:t>
      </w:r>
      <w:bookmarkEnd w:id="16"/>
      <w:bookmarkEnd w:id="17"/>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18" w:name="_Toc15377210"/>
      <w:r>
        <w:rPr>
          <w:rFonts w:hint="default" w:ascii="Times New Roman" w:hAnsi="Times New Roman" w:eastAsia="楷体_GB2312" w:cs="Times New Roman"/>
          <w:b w:val="0"/>
          <w:bCs/>
          <w:color w:val="auto"/>
          <w:sz w:val="32"/>
          <w:szCs w:val="32"/>
          <w:highlight w:val="none"/>
        </w:rPr>
        <w:t>（一）一般公共预算财政拨款支出决算总体情况</w:t>
      </w:r>
      <w:bookmarkEnd w:id="18"/>
    </w:p>
    <w:p>
      <w:pPr>
        <w:spacing w:line="600" w:lineRule="exact"/>
        <w:ind w:firstLine="640"/>
        <w:rPr>
          <w:rFonts w:hint="default" w:ascii="Times New Roman" w:hAnsi="Times New Roman" w:eastAsia="仿宋_GB2312" w:cs="Times New Roman"/>
          <w:color w:val="FF0000"/>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99.91</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%。与上年度相比，一般公共预算财政拨款支出减少191.65万元，下降36.4%。主要变动原因是</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项目资金支出减少。</w:t>
      </w:r>
    </w:p>
    <w:p>
      <w:pPr>
        <w:pStyle w:val="2"/>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4791075" cy="2400300"/>
            <wp:effectExtent l="4445" t="4445" r="5080" b="14605"/>
            <wp:docPr id="338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19" w:name="_Toc15377211"/>
      <w:r>
        <w:rPr>
          <w:rFonts w:hint="default" w:ascii="Times New Roman" w:hAnsi="Times New Roman" w:eastAsia="楷体_GB2312" w:cs="Times New Roman"/>
          <w:b w:val="0"/>
          <w:bCs/>
          <w:color w:val="auto"/>
          <w:sz w:val="32"/>
          <w:szCs w:val="32"/>
          <w:highlight w:val="none"/>
        </w:rPr>
        <w:t>（二）一般公共预算财政拨款支出决算结构情况</w:t>
      </w:r>
      <w:bookmarkEnd w:id="19"/>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万元，主要用于以下方面：一般公共服务支出243.17万元，占72.8%；社会保障和就业支出56.55万元，占16.9%；卫生健康支出11.7万元，占3.5%；住房保障支出22.73万元，占6.8%。</w:t>
      </w:r>
    </w:p>
    <w:p>
      <w:pP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5055235" cy="2176780"/>
            <wp:effectExtent l="4445" t="4445" r="7620" b="952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0" w:name="_Toc15377212"/>
      <w:r>
        <w:rPr>
          <w:rFonts w:hint="default" w:ascii="Times New Roman" w:hAnsi="Times New Roman" w:eastAsia="楷体_GB2312" w:cs="Times New Roman"/>
          <w:b w:val="0"/>
          <w:bCs/>
          <w:color w:val="auto"/>
          <w:sz w:val="32"/>
          <w:szCs w:val="32"/>
          <w:highlight w:val="none"/>
        </w:rPr>
        <w:t>（三）一般公共预算财政拨款支出决算具体情况</w:t>
      </w:r>
      <w:bookmarkEnd w:id="20"/>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21" w:name="_Toc15377213"/>
      <w:bookmarkStart w:id="22" w:name="_Toc15377444"/>
      <w:bookmarkStart w:id="23" w:name="_Toc15378460"/>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21"/>
      <w:bookmarkEnd w:id="22"/>
      <w:bookmarkEnd w:id="23"/>
    </w:p>
    <w:p>
      <w:pPr>
        <w:numPr>
          <w:ilvl w:val="0"/>
          <w:numId w:val="0"/>
        </w:num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一般公共服务（类）审计事务（款）行政运行（项）: 支出决算为</w:t>
      </w:r>
      <w:r>
        <w:rPr>
          <w:rFonts w:hint="default" w:ascii="Times New Roman" w:hAnsi="Times New Roman" w:eastAsia="仿宋_GB2312" w:cs="Times New Roman"/>
          <w:sz w:val="32"/>
          <w:szCs w:val="32"/>
          <w:lang w:val="en-US" w:eastAsia="zh-CN"/>
        </w:rPr>
        <w:t>149.43</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一般公共服务（类）审计事务（款）一般行政管理事务（项）: 支出决算为</w:t>
      </w:r>
      <w:r>
        <w:rPr>
          <w:rFonts w:hint="default" w:ascii="Times New Roman" w:hAnsi="Times New Roman" w:eastAsia="仿宋_GB2312" w:cs="Times New Roman"/>
          <w:sz w:val="32"/>
          <w:szCs w:val="32"/>
          <w:lang w:val="en-US" w:eastAsia="zh-CN"/>
        </w:rPr>
        <w:t>3.55</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一般公共服务（类）审计事务（款）事业运行（项）: 支出决算为9</w:t>
      </w:r>
      <w:r>
        <w:rPr>
          <w:rFonts w:hint="default" w:ascii="Times New Roman" w:hAnsi="Times New Roman" w:eastAsia="仿宋_GB2312" w:cs="Times New Roman"/>
          <w:sz w:val="32"/>
          <w:szCs w:val="32"/>
          <w:lang w:val="en-US" w:eastAsia="zh-CN"/>
        </w:rPr>
        <w:t>0.19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 xml:space="preserve">   </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社会保障和就业（类）行政事业单位养老支出（款）机关事业单位基本养老保险缴费支出（项）: 支出决算为</w:t>
      </w:r>
      <w:r>
        <w:rPr>
          <w:rFonts w:hint="default" w:ascii="Times New Roman" w:hAnsi="Times New Roman" w:eastAsia="仿宋_GB2312" w:cs="Times New Roman"/>
          <w:sz w:val="32"/>
          <w:szCs w:val="32"/>
          <w:lang w:val="en-US" w:eastAsia="zh-CN"/>
        </w:rPr>
        <w:t>27.05</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社会保障和就业（类）行政事业单位养老支出（款）机关事业单位职业年金缴费支出（项）: 支出决算为</w:t>
      </w:r>
      <w:r>
        <w:rPr>
          <w:rFonts w:hint="default" w:ascii="Times New Roman" w:hAnsi="Times New Roman" w:eastAsia="仿宋_GB2312" w:cs="Times New Roman"/>
          <w:sz w:val="32"/>
          <w:szCs w:val="32"/>
          <w:lang w:val="en-US" w:eastAsia="zh-CN"/>
        </w:rPr>
        <w:t>5.52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社会保障和就业（类）抚恤（款）死亡抚恤（项）: 支出决算为</w:t>
      </w:r>
      <w:r>
        <w:rPr>
          <w:rFonts w:hint="default" w:ascii="Times New Roman" w:hAnsi="Times New Roman" w:eastAsia="仿宋_GB2312" w:cs="Times New Roman"/>
          <w:sz w:val="32"/>
          <w:szCs w:val="32"/>
          <w:lang w:val="en-US" w:eastAsia="zh-CN"/>
        </w:rPr>
        <w:t>23.2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社会保障和就业（类）其他社会保障和就业支出（款）其他社会保障和就业支出（项）: 支出决算为</w:t>
      </w:r>
      <w:r>
        <w:rPr>
          <w:rFonts w:hint="default" w:ascii="Times New Roman" w:hAnsi="Times New Roman" w:eastAsia="仿宋_GB2312" w:cs="Times New Roman"/>
          <w:sz w:val="32"/>
          <w:szCs w:val="32"/>
          <w:lang w:val="en-US" w:eastAsia="zh-CN"/>
        </w:rPr>
        <w:t>0.77</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卫生健康（类）行政事业单位医疗（款）行政单位医疗（项）:支出决算为</w:t>
      </w:r>
      <w:r>
        <w:rPr>
          <w:rFonts w:hint="default" w:ascii="Times New Roman" w:hAnsi="Times New Roman" w:eastAsia="仿宋_GB2312" w:cs="Times New Roman"/>
          <w:sz w:val="32"/>
          <w:szCs w:val="32"/>
          <w:lang w:val="en-US" w:eastAsia="zh-CN"/>
        </w:rPr>
        <w:t>6.6</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卫生健康（类）行政事业单位医疗（款）事业单位医疗（项）:支出决算为</w:t>
      </w:r>
      <w:r>
        <w:rPr>
          <w:rFonts w:hint="default" w:ascii="Times New Roman" w:hAnsi="Times New Roman" w:eastAsia="仿宋_GB2312" w:cs="Times New Roman"/>
          <w:sz w:val="32"/>
          <w:szCs w:val="32"/>
          <w:lang w:val="en-US" w:eastAsia="zh-CN"/>
        </w:rPr>
        <w:t>3.72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卫生健康（类）行政事业单位医疗（款）公务员医疗补助（项）:支出决算为</w:t>
      </w:r>
      <w:r>
        <w:rPr>
          <w:rFonts w:hint="default" w:ascii="Times New Roman" w:hAnsi="Times New Roman" w:eastAsia="仿宋_GB2312" w:cs="Times New Roman"/>
          <w:sz w:val="32"/>
          <w:szCs w:val="32"/>
          <w:lang w:val="en-US" w:eastAsia="zh-CN"/>
        </w:rPr>
        <w:t>1.39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住房保障支出（类）住房改革支出（款）住房公积金（项）:支出决算为</w:t>
      </w:r>
      <w:r>
        <w:rPr>
          <w:rFonts w:hint="default" w:ascii="Times New Roman" w:hAnsi="Times New Roman" w:eastAsia="仿宋_GB2312" w:cs="Times New Roman"/>
          <w:sz w:val="32"/>
          <w:szCs w:val="32"/>
          <w:lang w:val="en-US" w:eastAsia="zh-CN"/>
        </w:rPr>
        <w:t>22.73</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tabs>
          <w:tab w:val="right" w:pos="8306"/>
        </w:tabs>
        <w:spacing w:line="600" w:lineRule="exact"/>
        <w:ind w:firstLine="640"/>
        <w:outlineLvl w:val="1"/>
        <w:rPr>
          <w:rStyle w:val="31"/>
          <w:rFonts w:hint="default" w:ascii="Times New Roman" w:hAnsi="Times New Roman" w:cs="Times New Roman"/>
          <w:color w:val="auto"/>
          <w:highlight w:val="none"/>
        </w:rPr>
      </w:pPr>
      <w:bookmarkStart w:id="24" w:name="_Toc15396608"/>
      <w:bookmarkStart w:id="25"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24"/>
      <w:bookmarkEnd w:id="25"/>
      <w:r>
        <w:rPr>
          <w:rStyle w:val="31"/>
          <w:rFonts w:hint="default" w:ascii="Times New Roman" w:hAnsi="Times New Roman" w:eastAsia="黑体" w:cs="Times New Roman"/>
          <w:b w:val="0"/>
          <w:color w:val="auto"/>
          <w:highlight w:val="none"/>
        </w:rPr>
        <w:tab/>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330.6</w:t>
      </w:r>
      <w:r>
        <w:rPr>
          <w:rFonts w:hint="default" w:ascii="Times New Roman" w:hAnsi="Times New Roman" w:eastAsia="仿宋_GB2312" w:cs="Times New Roman"/>
          <w:color w:val="auto"/>
          <w:kern w:val="2"/>
          <w:sz w:val="32"/>
          <w:szCs w:val="32"/>
          <w:highlight w:val="none"/>
          <w:lang w:val="en-US" w:eastAsia="zh-CN" w:bidi="ar-SA"/>
        </w:rPr>
        <w:t>万元，其中：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295.62</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抚恤金、住房公积金、其他对个人和家庭的补助支出。</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34.98</w:t>
      </w:r>
      <w:r>
        <w:rPr>
          <w:rFonts w:hint="default" w:ascii="Times New Roman" w:hAnsi="Times New Roman" w:eastAsia="仿宋_GB2312" w:cs="Times New Roman"/>
          <w:color w:val="auto"/>
          <w:kern w:val="2"/>
          <w:sz w:val="32"/>
          <w:szCs w:val="32"/>
          <w:highlight w:val="none"/>
          <w:lang w:val="en-US" w:eastAsia="zh-CN" w:bidi="ar-SA"/>
        </w:rPr>
        <w:t>万元，主要包括：办公费、手续费、水费、电费、邮电费、差旅费、培训费、公务接待费、工会经费、福利费、其他交通费、其他商品和服务支出、其他资本性支出。</w:t>
      </w:r>
    </w:p>
    <w:p>
      <w:pPr>
        <w:spacing w:line="600" w:lineRule="exact"/>
        <w:ind w:firstLine="640"/>
        <w:outlineLvl w:val="1"/>
        <w:rPr>
          <w:rStyle w:val="31"/>
          <w:rFonts w:hint="default" w:ascii="Times New Roman" w:hAnsi="Times New Roman" w:eastAsia="黑体" w:cs="Times New Roman"/>
          <w:b w:val="0"/>
          <w:color w:val="auto"/>
          <w:highlight w:val="none"/>
        </w:rPr>
      </w:pPr>
      <w:bookmarkStart w:id="26" w:name="_Toc15396609"/>
      <w:bookmarkStart w:id="27" w:name="_Toc15377215"/>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default" w:ascii="Times New Roman" w:hAnsi="Times New Roman" w:eastAsia="黑体" w:cs="Times New Roman"/>
          <w:color w:val="auto"/>
          <w:highlight w:val="none"/>
        </w:rPr>
        <w:t>“</w:t>
      </w:r>
      <w:r>
        <w:rPr>
          <w:rStyle w:val="31"/>
          <w:rFonts w:hint="default" w:ascii="Times New Roman" w:hAnsi="Times New Roman" w:eastAsia="黑体" w:cs="Times New Roman"/>
          <w:b w:val="0"/>
          <w:color w:val="auto"/>
          <w:highlight w:val="none"/>
        </w:rPr>
        <w:t>三公”经费支出决算情况说明</w:t>
      </w:r>
      <w:bookmarkEnd w:id="26"/>
      <w:bookmarkEnd w:id="27"/>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8" w:name="_Toc15377216"/>
      <w:r>
        <w:rPr>
          <w:rFonts w:hint="default" w:ascii="Times New Roman" w:hAnsi="Times New Roman" w:eastAsia="楷体_GB2312" w:cs="Times New Roman"/>
          <w:b w:val="0"/>
          <w:bCs/>
          <w:color w:val="auto"/>
          <w:sz w:val="32"/>
          <w:szCs w:val="32"/>
          <w:highlight w:val="none"/>
        </w:rPr>
        <w:t>（一）财政拨款“三公”经费支出决算总体情况说明</w:t>
      </w:r>
      <w:bookmarkEnd w:id="2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11.8</w:t>
      </w:r>
      <w:r>
        <w:rPr>
          <w:rFonts w:hint="default" w:ascii="Times New Roman" w:hAnsi="Times New Roman" w:eastAsia="仿宋_GB2312" w:cs="Times New Roman"/>
          <w:color w:val="auto"/>
          <w:kern w:val="2"/>
          <w:sz w:val="32"/>
          <w:szCs w:val="32"/>
          <w:highlight w:val="none"/>
          <w:lang w:val="en-US" w:eastAsia="zh-CN" w:bidi="ar-SA"/>
        </w:rPr>
        <w:t>%，较上年度减少0.97万元，下降88.2%。决算数小于预算数的主要原因是未承担大型审计业务对接工作，接待批次和人数减少。</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9" w:name="_Toc15377217"/>
      <w:r>
        <w:rPr>
          <w:rFonts w:hint="default" w:ascii="Times New Roman" w:hAnsi="Times New Roman" w:eastAsia="楷体_GB2312" w:cs="Times New Roman"/>
          <w:b w:val="0"/>
          <w:bCs/>
          <w:color w:val="auto"/>
          <w:sz w:val="32"/>
          <w:szCs w:val="32"/>
          <w:highlight w:val="none"/>
        </w:rPr>
        <w:t>（二）财政拨款“三公”经费支出决算具体情况说明</w:t>
      </w:r>
      <w:bookmarkEnd w:id="29"/>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万元，占0%；公务接待费支出决算</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万元，占100%。具体情况如下：</w:t>
      </w:r>
    </w:p>
    <w:p>
      <w:pPr>
        <w:pStyle w:val="2"/>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rPr>
        <w:drawing>
          <wp:anchor distT="0" distB="0" distL="114300" distR="114300" simplePos="0" relativeHeight="251662336" behindDoc="1" locked="0" layoutInCell="1" allowOverlap="1">
            <wp:simplePos x="0" y="0"/>
            <wp:positionH relativeFrom="column">
              <wp:posOffset>385445</wp:posOffset>
            </wp:positionH>
            <wp:positionV relativeFrom="paragraph">
              <wp:posOffset>210820</wp:posOffset>
            </wp:positionV>
            <wp:extent cx="4562475" cy="1993265"/>
            <wp:effectExtent l="4445" t="4445" r="5080" b="21590"/>
            <wp:wrapTight wrapText="bothSides">
              <wp:wrapPolygon>
                <wp:start x="-21" y="-48"/>
                <wp:lineTo x="-21" y="21421"/>
                <wp:lineTo x="21534" y="21421"/>
                <wp:lineTo x="21534" y="-48"/>
                <wp:lineTo x="-21" y="-48"/>
              </wp:wrapPolygon>
            </wp:wrapTight>
            <wp:docPr id="358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rPr>
          <w:rFonts w:hint="default" w:ascii="Times New Roman" w:hAnsi="Times New Roman" w:cs="Times New Roman"/>
          <w:lang w:val="en-US" w:eastAsia="zh-CN"/>
        </w:rPr>
      </w:pPr>
    </w:p>
    <w:p>
      <w:pPr>
        <w:spacing w:line="600" w:lineRule="exact"/>
        <w:ind w:firstLine="640"/>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人。因公出国（境）支出决算与2024年持平。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2.公务用车购置及运行维护费支出0万元，完成预算0%。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公务用车购置及运行维护费支出决算与2024年持平。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3.公务接待费支出0.13万元，完成预算11.8%。</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公务接待费支出决算比上年度减少0.97万元，下降88.2%。主要原因是未承担大型审计业务对接工作，接待批次和人数减少。其中：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万元，主要用于开展审计业务工作的餐费。国内公务接待</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22</w:t>
      </w:r>
      <w:r>
        <w:rPr>
          <w:rFonts w:hint="default" w:ascii="Times New Roman" w:hAnsi="Times New Roman" w:eastAsia="仿宋_GB2312" w:cs="Times New Roman"/>
          <w:color w:val="auto"/>
          <w:kern w:val="2"/>
          <w:sz w:val="32"/>
          <w:szCs w:val="32"/>
          <w:highlight w:val="none"/>
          <w:lang w:val="en-US" w:eastAsia="zh-CN" w:bidi="ar-SA"/>
        </w:rPr>
        <w:t>人次（不包括陪同人员），共计支出0.13万元，具体内容包括：审计业务工作餐费0.13万元。</w:t>
      </w:r>
      <w:bookmarkStart w:id="30" w:name="_Toc15396610"/>
      <w:bookmarkStart w:id="31" w:name="_Toc15377218"/>
    </w:p>
    <w:p>
      <w:pPr>
        <w:spacing w:line="600" w:lineRule="exact"/>
        <w:ind w:firstLine="640"/>
        <w:outlineLvl w:val="1"/>
        <w:rPr>
          <w:rStyle w:val="31"/>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30"/>
      <w:bookmarkEnd w:id="31"/>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%。与上年度相比，政府性基金预算财政拨款支出减少45.63万元，下降100%。主要变动原因是2025年度无相关政府性基金项目及资金拨付，未产生相应支出。</w:t>
      </w: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32" w:name="_Toc15377219"/>
      <w:bookmarkStart w:id="33" w:name="_Toc15396611"/>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32"/>
      <w:bookmarkEnd w:id="33"/>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%。与上年度相比，国有资本经营预算财政拨款支出持平。</w:t>
      </w: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34" w:name="_Toc15377221"/>
      <w:bookmarkStart w:id="35" w:name="_Toc15396612"/>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34"/>
      <w:bookmarkEnd w:id="35"/>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36" w:name="_Toc15377222"/>
      <w:r>
        <w:rPr>
          <w:rFonts w:hint="default" w:ascii="Times New Roman" w:hAnsi="Times New Roman" w:eastAsia="楷体_GB2312" w:cs="Times New Roman"/>
          <w:b w:val="0"/>
          <w:bCs/>
          <w:color w:val="auto"/>
          <w:sz w:val="32"/>
          <w:szCs w:val="32"/>
          <w:highlight w:val="none"/>
        </w:rPr>
        <w:t>（一）机关运行经费支出情况</w:t>
      </w:r>
      <w:bookmarkEnd w:id="3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34.98</w:t>
      </w:r>
      <w:r>
        <w:rPr>
          <w:rFonts w:hint="default" w:ascii="Times New Roman" w:hAnsi="Times New Roman" w:eastAsia="仿宋_GB2312" w:cs="Times New Roman"/>
          <w:color w:val="auto"/>
          <w:kern w:val="2"/>
          <w:sz w:val="32"/>
          <w:szCs w:val="32"/>
          <w:highlight w:val="none"/>
          <w:lang w:val="en-US" w:eastAsia="zh-CN" w:bidi="ar-SA"/>
        </w:rPr>
        <w:t>万元，比上年度增加5.43万元，增长18.4%。主要原因是购买办公设备及日常维护费用增加，故机关运行经费增加。</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37" w:name="_Toc15377223"/>
      <w:r>
        <w:rPr>
          <w:rFonts w:hint="default" w:ascii="Times New Roman" w:hAnsi="Times New Roman" w:eastAsia="楷体_GB2312" w:cs="Times New Roman"/>
          <w:b w:val="0"/>
          <w:bCs/>
          <w:color w:val="auto"/>
          <w:sz w:val="32"/>
          <w:szCs w:val="32"/>
          <w:highlight w:val="none"/>
        </w:rPr>
        <w:t>（二）政府采购支出情况</w:t>
      </w:r>
      <w:bookmarkEnd w:id="3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1.12</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0.62</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主要用于购买4个保密柜、1台65寸电视机、审计中介服务费</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38" w:name="_Toc15377224"/>
      <w:r>
        <w:rPr>
          <w:rFonts w:hint="default" w:ascii="Times New Roman" w:hAnsi="Times New Roman" w:eastAsia="楷体_GB2312" w:cs="Times New Roman"/>
          <w:b w:val="0"/>
          <w:bCs/>
          <w:color w:val="auto"/>
          <w:sz w:val="32"/>
          <w:szCs w:val="32"/>
          <w:highlight w:val="none"/>
        </w:rPr>
        <w:t>（三）国有资产占有使用情况</w:t>
      </w:r>
      <w:bookmarkEnd w:id="3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辆，其他用车主要是用于开展审计项目用车。单价100万元（含）以上设备（不含车辆）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r>
        <w:rPr>
          <w:rFonts w:hint="default" w:ascii="Times New Roman" w:hAnsi="Times New Roman" w:eastAsia="楷体_GB2312" w:cs="Times New Roman"/>
          <w:b w:val="0"/>
          <w:bCs/>
          <w:color w:val="auto"/>
          <w:sz w:val="32"/>
          <w:szCs w:val="32"/>
          <w:highlight w:val="none"/>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根据预算绩效管理要求，本单位在2025年度，组织对政审计专项资金1个项目涉及金额11.5万元展了事前绩中央和省级财效评估，对1个项目编制了绩效目标，预算执行过程中，选取1个项目开展绩效监控。</w:t>
      </w:r>
    </w:p>
    <w:p>
      <w:pPr>
        <w:pStyle w:val="16"/>
        <w:keepNext w:val="0"/>
        <w:keepLines w:val="0"/>
        <w:pageBreakBefore w:val="0"/>
        <w:widowControl/>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全面开展绩效自评，形成沐川县审计局部门整体（含部门预算项目）绩效自评报告、中央和省级财政审计专项资金等专项预算项目绩效自评报告，其中，沐川县审计局部门整体（含部门预算项目）绩效自评得分为100分，绩效自评综述</w:t>
      </w:r>
      <w:r>
        <w:rPr>
          <w:rFonts w:hint="default" w:ascii="Times New Roman" w:hAnsi="Times New Roman" w:eastAsia="仿宋_GB2312" w:cs="Times New Roman"/>
          <w:color w:val="000000"/>
          <w:kern w:val="0"/>
          <w:sz w:val="32"/>
          <w:szCs w:val="32"/>
          <w:shd w:val="clear" w:color="auto" w:fill="FFFFFF"/>
          <w:lang w:val="zh-CN" w:eastAsia="zh-CN"/>
        </w:rPr>
        <w:t>保障了机关正常运行，认真履行好</w:t>
      </w:r>
      <w:r>
        <w:rPr>
          <w:rFonts w:hint="default" w:ascii="Times New Roman" w:hAnsi="Times New Roman" w:eastAsia="仿宋_GB2312" w:cs="Times New Roman"/>
          <w:color w:val="000000"/>
          <w:kern w:val="0"/>
          <w:sz w:val="32"/>
          <w:szCs w:val="32"/>
          <w:shd w:val="clear" w:color="auto" w:fill="FFFFFF"/>
          <w:lang w:val="en-US" w:eastAsia="zh-CN"/>
        </w:rPr>
        <w:t>我</w:t>
      </w:r>
      <w:r>
        <w:rPr>
          <w:rFonts w:hint="default" w:ascii="Times New Roman" w:hAnsi="Times New Roman" w:eastAsia="仿宋_GB2312" w:cs="Times New Roman"/>
          <w:color w:val="000000"/>
          <w:kern w:val="0"/>
          <w:sz w:val="32"/>
          <w:szCs w:val="32"/>
          <w:shd w:val="clear" w:color="auto" w:fill="FFFFFF"/>
          <w:lang w:val="zh-CN" w:eastAsia="zh-CN"/>
        </w:rPr>
        <w:t>部门</w:t>
      </w:r>
      <w:r>
        <w:rPr>
          <w:rFonts w:hint="default" w:ascii="Times New Roman" w:hAnsi="Times New Roman" w:eastAsia="仿宋_GB2312" w:cs="Times New Roman"/>
          <w:color w:val="000000"/>
          <w:kern w:val="0"/>
          <w:sz w:val="32"/>
          <w:szCs w:val="32"/>
          <w:shd w:val="clear" w:color="auto" w:fill="FFFFFF"/>
          <w:lang w:val="en-US" w:eastAsia="zh-CN"/>
        </w:rPr>
        <w:t>职能职责</w:t>
      </w:r>
      <w:r>
        <w:rPr>
          <w:rFonts w:hint="default" w:ascii="Times New Roman" w:hAnsi="Times New Roman" w:eastAsia="仿宋_GB2312" w:cs="Times New Roman"/>
          <w:color w:val="000000"/>
          <w:kern w:val="0"/>
          <w:sz w:val="32"/>
          <w:szCs w:val="32"/>
          <w:shd w:val="clear" w:color="auto" w:fill="FFFFFF"/>
          <w:lang w:val="zh-CN" w:eastAsia="zh-CN"/>
        </w:rPr>
        <w:t>，圆满完成了县委、县政府下达的各项目标任务</w:t>
      </w:r>
      <w:r>
        <w:rPr>
          <w:rFonts w:hint="default" w:ascii="Times New Roman" w:hAnsi="Times New Roman" w:eastAsia="仿宋_GB2312" w:cs="Times New Roman"/>
          <w:color w:val="auto"/>
          <w:kern w:val="2"/>
          <w:sz w:val="32"/>
          <w:szCs w:val="32"/>
          <w:highlight w:val="none"/>
          <w:lang w:val="en-US" w:eastAsia="zh-CN" w:bidi="ar-SA"/>
        </w:rPr>
        <w:t>；中央和省级财政审计专项资金绩效自评得分为100分，绩效自评综述</w:t>
      </w:r>
      <w:r>
        <w:rPr>
          <w:rFonts w:hint="default" w:ascii="Times New Roman" w:hAnsi="Times New Roman" w:eastAsia="仿宋_GB2312" w:cs="Times New Roman"/>
          <w:kern w:val="2"/>
          <w:sz w:val="32"/>
          <w:szCs w:val="32"/>
          <w:lang w:val="en-US" w:eastAsia="zh-CN" w:bidi="ar-SA"/>
        </w:rPr>
        <w:t>保障本单位职工的正常办公、生活秩序、本单位日常工作的顺利开展、审计工作的开展，确保履行好审计监督的基本职能。</w:t>
      </w:r>
      <w:r>
        <w:rPr>
          <w:rFonts w:hint="default" w:ascii="Times New Roman" w:hAnsi="Times New Roman" w:eastAsia="仿宋_GB2312" w:cs="Times New Roman"/>
          <w:color w:val="auto"/>
          <w:kern w:val="2"/>
          <w:sz w:val="32"/>
          <w:szCs w:val="32"/>
          <w:highlight w:val="none"/>
          <w:lang w:val="en-US" w:eastAsia="zh-CN" w:bidi="ar-SA"/>
        </w:rPr>
        <w:t>绩效自评表详见附件。</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lang w:val="en-US" w:eastAsia="zh-CN"/>
        </w:rPr>
      </w:pP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numPr>
          <w:ilvl w:val="0"/>
          <w:numId w:val="0"/>
        </w:numPr>
        <w:suppressAutoHyphens/>
        <w:bidi w:val="0"/>
        <w:spacing w:line="600" w:lineRule="exact"/>
        <w:jc w:val="center"/>
        <w:outlineLvl w:val="0"/>
        <w:rPr>
          <w:rFonts w:hint="default" w:ascii="Times New Roman" w:hAnsi="Times New Roman" w:eastAsia="方正小标宋简体" w:cs="Times New Roman"/>
          <w:b w:val="0"/>
          <w:color w:val="auto"/>
          <w:sz w:val="44"/>
          <w:szCs w:val="44"/>
          <w:highlight w:val="none"/>
        </w:rPr>
      </w:pPr>
      <w:bookmarkStart w:id="39" w:name="_Toc15377226"/>
      <w:r>
        <w:rPr>
          <w:rFonts w:hint="default" w:ascii="Times New Roman" w:hAnsi="Times New Roman" w:eastAsia="方正小标宋简体" w:cs="Times New Roman"/>
          <w:color w:val="auto"/>
          <w:sz w:val="44"/>
          <w:szCs w:val="44"/>
          <w:highlight w:val="none"/>
          <w:lang w:eastAsia="zh-CN"/>
        </w:rPr>
        <w:t>第三部分</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rPr>
        <w:t>名</w:t>
      </w:r>
      <w:r>
        <w:rPr>
          <w:rFonts w:hint="default" w:ascii="Times New Roman" w:hAnsi="Times New Roman" w:eastAsia="方正小标宋简体" w:cs="Times New Roman"/>
          <w:b w:val="0"/>
          <w:bCs/>
          <w:color w:val="auto"/>
          <w:kern w:val="44"/>
          <w:sz w:val="44"/>
          <w:szCs w:val="44"/>
          <w:highlight w:val="none"/>
        </w:rPr>
        <w:t>词解释</w:t>
      </w:r>
    </w:p>
    <w:p>
      <w:pPr>
        <w:suppressAutoHyphens/>
        <w:bidi w:val="0"/>
        <w:spacing w:line="600" w:lineRule="exact"/>
        <w:jc w:val="left"/>
        <w:rPr>
          <w:rFonts w:hint="default" w:ascii="Times New Roman" w:hAnsi="Times New Roman" w:eastAsia="宋体" w:cs="Times New Roman"/>
          <w:b/>
          <w:color w:val="auto"/>
          <w:sz w:val="44"/>
          <w:szCs w:val="44"/>
          <w:highlight w:val="none"/>
        </w:rPr>
      </w:pPr>
    </w:p>
    <w:p>
      <w:pPr>
        <w:pageBreakBefore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2.一般公共服务（类）审计事务（款）行政运行（项）：指反映行政单位（包括实行公务员管理的事业单位）的基本支出。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3.一般公共服务（类）审计事务（款）审计业务（项）: 指反映审计机构、专项审计调查、聘请社会审计组织人员及技术专家等方面的支出。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4、一般公共服务支出（类）审计事务（款）一般行政管理事务（项）：指反映行政单位（包括实行公务员管理的事业单位）未单独设置项级科目的其他项目支出。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5.一般公共服务支出（类）审计事务（款）事业运行（项）：指反映事业单位的基本支出，不包括行政单位（包括实行公务员管理的事业单位）后勤服务中心、医务室等附属事业单位。</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6.社会保障和就业支出（类）行政事业单位养老支出（款）机关事业单位基本养老保险缴费支出（项）：指反映机关事业单位实施养老保险制度由单位缴纳的基本养老保险费支出。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lang w:val="en-US" w:eastAsia="zh-CN"/>
        </w:rPr>
      </w:pPr>
      <w:r>
        <w:rPr>
          <w:rFonts w:hint="default" w:ascii="Times New Roman" w:hAnsi="Times New Roman" w:eastAsia="仿宋_GB2312" w:cs="Times New Roman"/>
          <w:color w:val="auto"/>
          <w:sz w:val="32"/>
          <w:szCs w:val="32"/>
          <w:lang w:val="en-US" w:eastAsia="zh-CN"/>
        </w:rPr>
        <w:t>7.社会保障和就业（类）其他社会保障和就业支出（款）机关事业单位职业年金缴费支出（项）：反映机关事业单位</w:t>
      </w:r>
      <w:r>
        <w:rPr>
          <w:rFonts w:hint="default" w:ascii="Times New Roman" w:hAnsi="Times New Roman" w:eastAsia="仿宋_GB2312" w:cs="Times New Roman"/>
          <w:b w:val="0"/>
          <w:bCs w:val="0"/>
          <w:color w:val="auto"/>
          <w:sz w:val="32"/>
          <w:szCs w:val="32"/>
          <w:lang w:val="en-US" w:eastAsia="zh-CN"/>
        </w:rPr>
        <w:t>实施养老保险制度由单位实际缴纳的职业年金支出（含职业年金补记支出）。</w:t>
      </w:r>
    </w:p>
    <w:p>
      <w:pPr>
        <w:pageBreakBefore w:val="0"/>
        <w:widowControl w:val="0"/>
        <w:numPr>
          <w:ilvl w:val="0"/>
          <w:numId w:val="0"/>
        </w:numPr>
        <w:suppressAutoHyphens/>
        <w:kinsoku/>
        <w:wordWrap/>
        <w:overflowPunct/>
        <w:topLinePunct w:val="0"/>
        <w:autoSpaceDE/>
        <w:autoSpaceDN/>
        <w:bidi w:val="0"/>
        <w:adjustRightInd w:val="0"/>
        <w:snapToGrid/>
        <w:spacing w:line="600" w:lineRule="exact"/>
        <w:ind w:firstLine="640" w:firstLineChars="200"/>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8.社会保障和就业（类）其他社会保障和就业支出（款）其他行政事业单位养老支出（项）：反映除上述项目以外其他用于行政事业单位养老保险方面的支出。</w:t>
      </w:r>
    </w:p>
    <w:p>
      <w:pPr>
        <w:keepNext w:val="0"/>
        <w:keepLines w:val="0"/>
        <w:pageBreakBefore w:val="0"/>
        <w:widowControl w:val="0"/>
        <w:numPr>
          <w:ilvl w:val="0"/>
          <w:numId w:val="2"/>
        </w:numPr>
        <w:suppressAutoHyphens/>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社会保障和就业（类）其他社会保障和就业支出（款）其他社会保障和就业支出（项）：指反映除上述项目以外其他用于社会保障和就业方面的支出。</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after="0" w:line="600" w:lineRule="exact"/>
        <w:ind w:firstLine="640" w:firstLineChars="200"/>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10.卫生健康（类）行政事业单位医疗（款）行政单位医疗（项）：</w:t>
      </w:r>
      <w:r>
        <w:rPr>
          <w:rFonts w:hint="default" w:ascii="Times New Roman" w:hAnsi="Times New Roman" w:eastAsia="仿宋_GB2312" w:cs="Times New Roman"/>
          <w:b w:val="0"/>
          <w:bCs w:val="0"/>
          <w:sz w:val="32"/>
          <w:szCs w:val="32"/>
          <w:lang w:val="en-US" w:eastAsia="zh-CN"/>
        </w:rPr>
        <w:t>反映财政部门安排的行政单位（包括实行公务员管理的事业单位）基本医疗保险缴费经费，未参加医疗保险的行政单位的公费医疗经费，按国家规定享受离休人员、红军老战士待遇人员的医疗经费。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after="0" w:line="600" w:lineRule="exact"/>
        <w:ind w:firstLine="640" w:firstLineChars="200"/>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color w:val="auto"/>
          <w:kern w:val="2"/>
          <w:sz w:val="32"/>
          <w:szCs w:val="32"/>
          <w:highlight w:val="none"/>
          <w:lang w:val="en-US" w:eastAsia="zh-CN" w:bidi="ar-SA"/>
        </w:rPr>
        <w:t>11.卫生健康（类）行政事业单位医疗（款）事业单位医疗（项）：</w:t>
      </w:r>
      <w:r>
        <w:rPr>
          <w:rFonts w:hint="default" w:ascii="Times New Roman" w:hAnsi="Times New Roman" w:eastAsia="仿宋_GB2312" w:cs="Times New Roman"/>
          <w:b w:val="0"/>
          <w:bCs w:val="0"/>
          <w:sz w:val="32"/>
          <w:szCs w:val="32"/>
          <w:lang w:val="en-US" w:eastAsia="zh-CN"/>
        </w:rPr>
        <w:t>反映财政部门安排的事业单位基本医疗保险缴费经费，未参加医疗保险的事业单位的公费医疗经费，按国家规定享受离休人员待遇的医疗经费。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after="0"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 xml:space="preserve">12.卫生健康（类）行政事业单位医疗（款）公务员医疗补助（项）：反映财政部门安排的公务员医疗补助经费。  </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after="0" w:line="600" w:lineRule="exact"/>
        <w:ind w:firstLine="640" w:firstLineChars="200"/>
        <w:textAlignment w:val="auto"/>
        <w:outlineLvl w:val="9"/>
        <w:rPr>
          <w:rFonts w:hint="default" w:ascii="Times New Roman" w:hAnsi="Times New Roman" w:cs="Times New Roman"/>
          <w:lang w:val="en-US" w:eastAsia="zh-CN"/>
        </w:rPr>
      </w:pPr>
      <w:r>
        <w:rPr>
          <w:rFonts w:hint="default" w:ascii="Times New Roman" w:hAnsi="Times New Roman" w:eastAsia="仿宋_GB2312" w:cs="Times New Roman"/>
          <w:b w:val="0"/>
          <w:bCs w:val="0"/>
          <w:sz w:val="32"/>
          <w:szCs w:val="32"/>
          <w:lang w:val="en-US" w:eastAsia="zh-CN"/>
        </w:rPr>
        <w:t>13.</w:t>
      </w:r>
      <w:r>
        <w:rPr>
          <w:rFonts w:hint="default" w:ascii="Times New Roman" w:hAnsi="Times New Roman" w:eastAsia="仿宋_GB2312" w:cs="Times New Roman"/>
          <w:b w:val="0"/>
          <w:bCs w:val="0"/>
          <w:color w:val="auto"/>
          <w:kern w:val="2"/>
          <w:sz w:val="32"/>
          <w:szCs w:val="32"/>
          <w:highlight w:val="none"/>
          <w:lang w:val="en-US" w:eastAsia="zh-CN" w:bidi="ar-SA"/>
        </w:rPr>
        <w:t>农林水支出（类）农业农村（款）其他农业农村支出（项）：反映其他项级科目支出意外的其他用于农业农村方面的支出。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sz w:val="32"/>
          <w:szCs w:val="32"/>
          <w:lang w:val="en-US" w:eastAsia="zh-CN"/>
        </w:rPr>
        <w:t>14.住房保障支出（类）住房改革支出（款）住房公积金（项）:行政事业单位按人力资源和社会保障部、财政部规定的基本工资和津贴补贴以及规定比例为职工缴纳的住房公积金。</w:t>
      </w:r>
      <w:r>
        <w:rPr>
          <w:rFonts w:hint="default" w:ascii="Times New Roman" w:hAnsi="Times New Roman" w:eastAsia="仿宋_GB2312" w:cs="Times New Roman"/>
          <w:b w:val="0"/>
          <w:bCs w:val="0"/>
          <w:color w:val="auto"/>
          <w:sz w:val="32"/>
          <w:szCs w:val="32"/>
          <w:lang w:val="en-US" w:eastAsia="zh-CN"/>
        </w:rPr>
        <w:br w:type="textWrapping"/>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kern w:val="2"/>
          <w:sz w:val="32"/>
          <w:szCs w:val="32"/>
          <w:highlight w:val="none"/>
          <w:lang w:val="en-US" w:eastAsia="zh-CN" w:bidi="ar-SA"/>
        </w:rPr>
        <w:t>15.基本支出：指为保障机构正常运转、完成日常工作任务而发生的人员支出和公用支出。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 xml:space="preserve">16.项目支出：指在基本支出之外为完成特定行政任务和事业发展目标所发生的支出。 </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17.政府性基金预算支出：指财政预算部门用政府性基金预算收入安排的支出。包括工业交通部门基金支出、农业部门基金支出、商贸部门基金支出、文教部门基金支出、社会保障基金支出、其他部门基金支出和地方财政税费附加支出等。</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uppressAutoHyphens/>
        <w:bidi w:val="0"/>
        <w:ind w:firstLine="640" w:firstLineChars="200"/>
        <w:rPr>
          <w:rFonts w:hint="default" w:ascii="Times New Roman" w:hAnsi="Times New Roman" w:eastAsia="黑体" w:cs="Times New Roman"/>
          <w:color w:val="auto"/>
          <w:sz w:val="44"/>
          <w:szCs w:val="44"/>
          <w:highlight w:val="none"/>
        </w:rPr>
      </w:pPr>
      <w:r>
        <w:rPr>
          <w:rFonts w:hint="default" w:ascii="Times New Roman" w:hAnsi="Times New Roman" w:eastAsia="仿宋_GB2312" w:cs="Times New Roman"/>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both"/>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pPr>
        <w:pStyle w:val="2"/>
        <w:jc w:val="cente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方正小标宋简体" w:cs="Times New Roman"/>
          <w:b w:val="0"/>
          <w:bCs/>
          <w:color w:val="auto"/>
          <w:sz w:val="44"/>
          <w:szCs w:val="44"/>
          <w:highlight w:val="none"/>
        </w:rPr>
        <w:t>第四部分</w:t>
      </w:r>
      <w:r>
        <w:rPr>
          <w:rFonts w:hint="default" w:ascii="Times New Roman" w:hAnsi="Times New Roman" w:eastAsia="方正小标宋简体" w:cs="Times New Roman"/>
          <w:b w:val="0"/>
          <w:bCs/>
          <w:color w:val="auto"/>
          <w:sz w:val="44"/>
          <w:szCs w:val="44"/>
          <w:highlight w:val="none"/>
          <w:lang w:val="en-US" w:eastAsia="zh-CN"/>
        </w:rPr>
        <w:t xml:space="preserve"> </w:t>
      </w:r>
      <w:r>
        <w:rPr>
          <w:rFonts w:hint="default" w:ascii="Times New Roman" w:hAnsi="Times New Roman" w:eastAsia="方正小标宋简体" w:cs="Times New Roman"/>
          <w:b w:val="0"/>
          <w:bCs/>
          <w:color w:val="auto"/>
          <w:sz w:val="44"/>
          <w:szCs w:val="44"/>
          <w:highlight w:val="none"/>
        </w:rPr>
        <w:t xml:space="preserve"> 附件</w:t>
      </w:r>
    </w:p>
    <w:p>
      <w:pPr>
        <w:rPr>
          <w:rFonts w:hint="default" w:ascii="Times New Roman" w:hAnsi="Times New Roman" w:cs="Times New Roman"/>
          <w:lang w:val="zh-CN"/>
        </w:rPr>
      </w:pPr>
    </w:p>
    <w:tbl>
      <w:tblPr>
        <w:tblStyle w:val="18"/>
        <w:tblW w:w="8320" w:type="dxa"/>
        <w:tblInd w:w="0" w:type="dxa"/>
        <w:shd w:val="clear" w:color="auto" w:fill="auto"/>
        <w:tblLayout w:type="fixed"/>
        <w:tblCellMar>
          <w:top w:w="0" w:type="dxa"/>
          <w:left w:w="0" w:type="dxa"/>
          <w:bottom w:w="0" w:type="dxa"/>
          <w:right w:w="0" w:type="dxa"/>
        </w:tblCellMar>
      </w:tblPr>
      <w:tblGrid>
        <w:gridCol w:w="406"/>
        <w:gridCol w:w="1196"/>
        <w:gridCol w:w="1033"/>
        <w:gridCol w:w="1319"/>
        <w:gridCol w:w="308"/>
        <w:gridCol w:w="1"/>
        <w:gridCol w:w="976"/>
        <w:gridCol w:w="308"/>
        <w:gridCol w:w="644"/>
        <w:gridCol w:w="301"/>
        <w:gridCol w:w="300"/>
        <w:gridCol w:w="1528"/>
      </w:tblGrid>
      <w:tr>
        <w:tblPrEx>
          <w:shd w:val="clear" w:color="auto" w:fill="auto"/>
          <w:tblCellMar>
            <w:top w:w="0" w:type="dxa"/>
            <w:left w:w="0" w:type="dxa"/>
            <w:bottom w:w="0" w:type="dxa"/>
            <w:right w:w="0" w:type="dxa"/>
          </w:tblCellMar>
        </w:tblPrEx>
        <w:trPr>
          <w:trHeight w:val="904" w:hRule="atLeast"/>
        </w:trPr>
        <w:tc>
          <w:tcPr>
            <w:tcW w:w="8320" w:type="dxa"/>
            <w:gridSpan w:val="1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30"/>
                <w:szCs w:val="30"/>
                <w:u w:val="none"/>
              </w:rPr>
            </w:pPr>
            <w:bookmarkStart w:id="40" w:name="_Toc15396618"/>
            <w:r>
              <w:rPr>
                <w:rFonts w:hint="default" w:ascii="Times New Roman" w:hAnsi="Times New Roman" w:eastAsia="黑体" w:cs="Times New Roman"/>
                <w:b w:val="0"/>
                <w:bCs/>
                <w:i w:val="0"/>
                <w:color w:val="000000"/>
                <w:kern w:val="0"/>
                <w:sz w:val="30"/>
                <w:szCs w:val="30"/>
                <w:u w:val="none"/>
                <w:lang w:val="en-US" w:eastAsia="zh-CN" w:bidi="ar"/>
              </w:rPr>
              <w:t>部门预算项目支出绩效自评表（2025年度）</w:t>
            </w:r>
          </w:p>
        </w:tc>
      </w:tr>
      <w:tr>
        <w:tblPrEx>
          <w:shd w:val="clear" w:color="auto" w:fill="auto"/>
          <w:tblCellMar>
            <w:top w:w="0" w:type="dxa"/>
            <w:left w:w="0" w:type="dxa"/>
            <w:bottom w:w="0" w:type="dxa"/>
            <w:right w:w="0" w:type="dxa"/>
          </w:tblCellMar>
        </w:tblPrEx>
        <w:trPr>
          <w:trHeight w:val="285" w:hRule="atLeast"/>
        </w:trPr>
        <w:tc>
          <w:tcPr>
            <w:tcW w:w="16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项目名称</w:t>
            </w:r>
          </w:p>
        </w:tc>
        <w:tc>
          <w:tcPr>
            <w:tcW w:w="6718"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中央和省级财政审计专项资金</w:t>
            </w:r>
          </w:p>
        </w:tc>
      </w:tr>
      <w:tr>
        <w:tblPrEx>
          <w:tblCellMar>
            <w:top w:w="0" w:type="dxa"/>
            <w:left w:w="0" w:type="dxa"/>
            <w:bottom w:w="0" w:type="dxa"/>
            <w:right w:w="0" w:type="dxa"/>
          </w:tblCellMar>
        </w:tblPrEx>
        <w:trPr>
          <w:trHeight w:val="514" w:hRule="atLeast"/>
        </w:trPr>
        <w:tc>
          <w:tcPr>
            <w:tcW w:w="16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主管部门</w:t>
            </w:r>
          </w:p>
        </w:tc>
        <w:tc>
          <w:tcPr>
            <w:tcW w:w="394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沐川县审计局</w:t>
            </w:r>
          </w:p>
        </w:tc>
        <w:tc>
          <w:tcPr>
            <w:tcW w:w="64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 xml:space="preserve">实施单位 </w:t>
            </w:r>
          </w:p>
        </w:tc>
        <w:tc>
          <w:tcPr>
            <w:tcW w:w="21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沐川县审计局</w:t>
            </w:r>
          </w:p>
        </w:tc>
      </w:tr>
      <w:tr>
        <w:tblPrEx>
          <w:shd w:val="clear" w:color="auto" w:fill="auto"/>
          <w:tblCellMar>
            <w:top w:w="0" w:type="dxa"/>
            <w:left w:w="0" w:type="dxa"/>
            <w:bottom w:w="0" w:type="dxa"/>
            <w:right w:w="0" w:type="dxa"/>
          </w:tblCellMar>
        </w:tblPrEx>
        <w:trPr>
          <w:trHeight w:val="285" w:hRule="atLeast"/>
        </w:trPr>
        <w:tc>
          <w:tcPr>
            <w:tcW w:w="40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项目基本情况</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1.项目年度目标完成情况</w:t>
            </w:r>
          </w:p>
        </w:tc>
        <w:tc>
          <w:tcPr>
            <w:tcW w:w="394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项目年度目标</w:t>
            </w:r>
          </w:p>
        </w:tc>
        <w:tc>
          <w:tcPr>
            <w:tcW w:w="277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年度目标完成情况</w:t>
            </w:r>
          </w:p>
        </w:tc>
      </w:tr>
      <w:tr>
        <w:tblPrEx>
          <w:shd w:val="clear" w:color="auto" w:fill="auto"/>
          <w:tblCellMar>
            <w:top w:w="0" w:type="dxa"/>
            <w:left w:w="0" w:type="dxa"/>
            <w:bottom w:w="0" w:type="dxa"/>
            <w:right w:w="0" w:type="dxa"/>
          </w:tblCellMar>
        </w:tblPrEx>
        <w:trPr>
          <w:trHeight w:val="709"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c>
          <w:tcPr>
            <w:tcW w:w="394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主要用于保障本单位职工的正常办公、生活秩序、本单位日常工作的顺利开展、审计工作的开展，确保履行好审计监督的基本职能。</w:t>
            </w:r>
          </w:p>
        </w:tc>
        <w:tc>
          <w:tcPr>
            <w:tcW w:w="277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主要用于保障本单位职工的正常办公、生活秩序、本单位日常工作的顺利开展、审计工作的开展，确保履行好审计监督的基本职能</w:t>
            </w:r>
            <w:r>
              <w:rPr>
                <w:rFonts w:hint="default" w:ascii="Times New Roman" w:hAnsi="Times New Roman" w:cs="Times New Roman"/>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694"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2.项目实施内容及过程概述</w:t>
            </w:r>
          </w:p>
        </w:tc>
        <w:tc>
          <w:tcPr>
            <w:tcW w:w="6718"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保障本单位职工的正常办公、生活秩序；保障本单位日常工作的顺利开展；保障审计工作的开展，确保履行好审计监督的基本职能。通过项目实施做到了勤俭节约、节能环保，保障了机关正常的办公，干部职工满意度达到100%。</w:t>
            </w:r>
          </w:p>
        </w:tc>
      </w:tr>
      <w:tr>
        <w:tblPrEx>
          <w:shd w:val="clear" w:color="auto" w:fill="auto"/>
          <w:tblCellMar>
            <w:top w:w="0" w:type="dxa"/>
            <w:left w:w="0" w:type="dxa"/>
            <w:bottom w:w="0" w:type="dxa"/>
            <w:right w:w="0" w:type="dxa"/>
          </w:tblCellMar>
        </w:tblPrEx>
        <w:trPr>
          <w:trHeight w:val="360" w:hRule="atLeast"/>
        </w:trPr>
        <w:tc>
          <w:tcPr>
            <w:tcW w:w="40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预算执行情况（10分）</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年度预算数（万元）</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年初预算</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调整后预算数</w:t>
            </w: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预算执行数</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预算执行率</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45"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总额</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11.50</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11.50</w:t>
            </w: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3.55</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30.87%</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黑体" w:cs="Times New Roman"/>
                <w:i/>
                <w:color w:val="000000"/>
                <w:sz w:val="18"/>
                <w:szCs w:val="18"/>
                <w:u w:val="none"/>
              </w:rPr>
            </w:pPr>
            <w:r>
              <w:rPr>
                <w:rFonts w:hint="default" w:ascii="Times New Roman" w:hAnsi="Times New Roman" w:eastAsia="黑体" w:cs="Times New Roman"/>
                <w:i w:val="0"/>
                <w:iCs/>
                <w:color w:val="000000"/>
                <w:kern w:val="0"/>
                <w:sz w:val="18"/>
                <w:szCs w:val="18"/>
                <w:u w:val="none"/>
                <w:lang w:val="en-US" w:eastAsia="zh-CN" w:bidi="ar"/>
              </w:rPr>
              <w:t>长期项目，并非一年期。</w:t>
            </w:r>
          </w:p>
        </w:tc>
      </w:tr>
      <w:tr>
        <w:tblPrEx>
          <w:tblCellMar>
            <w:top w:w="0" w:type="dxa"/>
            <w:left w:w="0" w:type="dxa"/>
            <w:bottom w:w="0" w:type="dxa"/>
            <w:right w:w="0" w:type="dxa"/>
          </w:tblCellMar>
        </w:tblPrEx>
        <w:trPr>
          <w:trHeight w:val="390"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其中：财政资金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11.50</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11.50</w:t>
            </w: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3.55</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30.87%</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黑体" w:cs="Times New Roman"/>
                <w:i/>
                <w:color w:val="000000"/>
                <w:sz w:val="18"/>
                <w:szCs w:val="18"/>
                <w:u w:val="none"/>
              </w:rPr>
            </w:pPr>
          </w:p>
        </w:tc>
      </w:tr>
      <w:tr>
        <w:tblPrEx>
          <w:tblCellMar>
            <w:top w:w="0" w:type="dxa"/>
            <w:left w:w="0" w:type="dxa"/>
            <w:bottom w:w="0" w:type="dxa"/>
            <w:right w:w="0" w:type="dxa"/>
          </w:tblCellMar>
        </w:tblPrEx>
        <w:trPr>
          <w:trHeight w:val="409"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财政专户管理资金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黑体" w:cs="Times New Roman"/>
                <w:i/>
                <w:color w:val="000000"/>
                <w:sz w:val="18"/>
                <w:szCs w:val="18"/>
                <w:u w:val="none"/>
              </w:rPr>
            </w:pPr>
          </w:p>
        </w:tc>
      </w:tr>
      <w:tr>
        <w:tblPrEx>
          <w:tblCellMar>
            <w:top w:w="0" w:type="dxa"/>
            <w:left w:w="0" w:type="dxa"/>
            <w:bottom w:w="0" w:type="dxa"/>
            <w:right w:w="0" w:type="dxa"/>
          </w:tblCellMar>
        </w:tblPrEx>
        <w:trPr>
          <w:trHeight w:val="360"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单位资金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黑体" w:cs="Times New Roman"/>
                <w:i/>
                <w:color w:val="000000"/>
                <w:sz w:val="18"/>
                <w:szCs w:val="18"/>
                <w:u w:val="none"/>
              </w:rPr>
            </w:pPr>
          </w:p>
        </w:tc>
      </w:tr>
      <w:tr>
        <w:tblPrEx>
          <w:shd w:val="clear" w:color="auto" w:fill="auto"/>
          <w:tblCellMar>
            <w:top w:w="0" w:type="dxa"/>
            <w:left w:w="0" w:type="dxa"/>
            <w:bottom w:w="0" w:type="dxa"/>
            <w:right w:w="0" w:type="dxa"/>
          </w:tblCellMar>
        </w:tblPrEx>
        <w:trPr>
          <w:trHeight w:val="338"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其他资金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微软雅黑" w:cs="Times New Roman"/>
                <w:i/>
                <w:color w:val="000000"/>
                <w:sz w:val="16"/>
                <w:szCs w:val="16"/>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微软雅黑" w:cs="Times New Roman"/>
                <w:i/>
                <w:color w:val="000000"/>
                <w:sz w:val="16"/>
                <w:szCs w:val="16"/>
                <w:u w:val="none"/>
              </w:rPr>
            </w:pPr>
          </w:p>
        </w:tc>
        <w:tc>
          <w:tcPr>
            <w:tcW w:w="159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微软雅黑" w:cs="Times New Roman"/>
                <w:i/>
                <w:color w:val="000000"/>
                <w:sz w:val="16"/>
                <w:szCs w:val="16"/>
                <w:u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微软雅黑" w:cs="Times New Roman"/>
                <w:i/>
                <w:color w:val="000000"/>
                <w:sz w:val="16"/>
                <w:szCs w:val="16"/>
                <w:u w:val="none"/>
              </w:rPr>
            </w:pP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黑体" w:cs="Times New Roman"/>
                <w:i/>
                <w:color w:val="000000"/>
                <w:sz w:val="18"/>
                <w:szCs w:val="18"/>
                <w:u w:val="none"/>
              </w:rPr>
            </w:pPr>
          </w:p>
        </w:tc>
      </w:tr>
      <w:tr>
        <w:tblPrEx>
          <w:shd w:val="clear" w:color="auto" w:fill="auto"/>
          <w:tblCellMar>
            <w:top w:w="0" w:type="dxa"/>
            <w:left w:w="0" w:type="dxa"/>
            <w:bottom w:w="0" w:type="dxa"/>
            <w:right w:w="0" w:type="dxa"/>
          </w:tblCellMar>
        </w:tblPrEx>
        <w:trPr>
          <w:trHeight w:val="454" w:hRule="atLeast"/>
        </w:trPr>
        <w:tc>
          <w:tcPr>
            <w:tcW w:w="40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绩效指标（90分）</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一级指标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二级指标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三级指标</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指标性质</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指标值</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度量单位</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完成值</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未完成原因分析</w:t>
            </w:r>
          </w:p>
        </w:tc>
      </w:tr>
      <w:tr>
        <w:tblPrEx>
          <w:shd w:val="clear" w:color="auto" w:fill="auto"/>
          <w:tblCellMar>
            <w:top w:w="0" w:type="dxa"/>
            <w:left w:w="0" w:type="dxa"/>
            <w:bottom w:w="0" w:type="dxa"/>
            <w:right w:w="0" w:type="dxa"/>
          </w:tblCellMar>
        </w:tblPrEx>
        <w:trPr>
          <w:trHeight w:val="454"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产出指标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数量指标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全年开展项目个数</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个</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14</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454"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质量指标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完成项目质量</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定性</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优良中差</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454"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效益指标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社会效益</w:t>
            </w:r>
            <w:r>
              <w:rPr>
                <w:rFonts w:hint="default" w:ascii="Times New Roman" w:hAnsi="Times New Roman" w:eastAsia="宋体" w:cs="Times New Roman"/>
                <w:i w:val="0"/>
                <w:color w:val="000000"/>
                <w:kern w:val="0"/>
                <w:sz w:val="18"/>
                <w:szCs w:val="18"/>
                <w:u w:val="none"/>
                <w:lang w:val="en-US" w:eastAsia="zh-CN" w:bidi="ar"/>
              </w:rPr>
              <w:br w:type="textWrapping"/>
            </w:r>
            <w:r>
              <w:rPr>
                <w:rFonts w:hint="default" w:ascii="Times New Roman" w:hAnsi="Times New Roman" w:eastAsia="宋体" w:cs="Times New Roman"/>
                <w:i w:val="0"/>
                <w:color w:val="000000"/>
                <w:kern w:val="0"/>
                <w:sz w:val="18"/>
                <w:szCs w:val="18"/>
                <w:u w:val="none"/>
                <w:lang w:val="en-US" w:eastAsia="zh-CN" w:bidi="ar"/>
              </w:rPr>
              <w:t>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有助于社会经济的健康发展，促进和服务宏观经济调控</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定性</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优良中差</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454"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可持续发展指标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开展审计工作后，促进经济社会可持续发展</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定性</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优良中差</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优</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38"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11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满意度指标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可持续发展指标</w:t>
            </w:r>
          </w:p>
        </w:tc>
        <w:tc>
          <w:tcPr>
            <w:tcW w:w="1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服务对象满意度</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95</w:t>
            </w:r>
          </w:p>
        </w:tc>
        <w:tc>
          <w:tcPr>
            <w:tcW w:w="3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微软雅黑" w:cs="Times New Roman"/>
                <w:i/>
                <w:color w:val="000000"/>
                <w:sz w:val="16"/>
                <w:szCs w:val="16"/>
                <w:u w:val="none"/>
              </w:rPr>
            </w:pPr>
            <w:r>
              <w:rPr>
                <w:rFonts w:hint="default" w:ascii="Times New Roman" w:hAnsi="Times New Roman" w:eastAsia="微软雅黑" w:cs="Times New Roman"/>
                <w:i w:val="0"/>
                <w:iCs/>
                <w:color w:val="000000"/>
                <w:kern w:val="0"/>
                <w:sz w:val="16"/>
                <w:szCs w:val="16"/>
                <w:u w:val="none"/>
                <w:lang w:val="en-US" w:eastAsia="zh-CN" w:bidi="ar"/>
              </w:rPr>
              <w:t>100</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微软雅黑" w:cs="Times New Roman"/>
                <w:i/>
                <w:color w:val="000000"/>
                <w:sz w:val="16"/>
                <w:szCs w:val="16"/>
                <w:u w:val="none"/>
              </w:rPr>
            </w:pPr>
          </w:p>
        </w:tc>
      </w:tr>
      <w:tr>
        <w:tblPrEx>
          <w:shd w:val="clear" w:color="auto" w:fill="auto"/>
          <w:tblCellMar>
            <w:top w:w="0" w:type="dxa"/>
            <w:left w:w="0" w:type="dxa"/>
            <w:bottom w:w="0" w:type="dxa"/>
            <w:right w:w="0" w:type="dxa"/>
          </w:tblCellMar>
        </w:tblPrEx>
        <w:trPr>
          <w:trHeight w:val="285" w:hRule="atLeast"/>
        </w:trPr>
        <w:tc>
          <w:tcPr>
            <w:tcW w:w="6191"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合计</w:t>
            </w:r>
          </w:p>
        </w:tc>
        <w:tc>
          <w:tcPr>
            <w:tcW w:w="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w:t>
            </w:r>
          </w:p>
        </w:tc>
        <w:tc>
          <w:tcPr>
            <w:tcW w:w="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604" w:hRule="atLeast"/>
        </w:trPr>
        <w:tc>
          <w:tcPr>
            <w:tcW w:w="4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评价结论</w:t>
            </w:r>
          </w:p>
        </w:tc>
        <w:tc>
          <w:tcPr>
            <w:tcW w:w="791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cs="Times New Roman" w:eastAsiaTheme="minorEastAsia"/>
                <w:i/>
                <w:color w:val="000000"/>
                <w:sz w:val="18"/>
                <w:szCs w:val="18"/>
                <w:u w:val="none"/>
              </w:rPr>
            </w:pPr>
            <w:r>
              <w:rPr>
                <w:rFonts w:hint="default" w:ascii="Times New Roman" w:hAnsi="Times New Roman" w:cs="Times New Roman" w:eastAsiaTheme="minorEastAsia"/>
                <w:i w:val="0"/>
                <w:iCs/>
                <w:color w:val="000000"/>
                <w:kern w:val="0"/>
                <w:sz w:val="18"/>
                <w:szCs w:val="18"/>
                <w:u w:val="none"/>
                <w:lang w:val="en-US" w:eastAsia="zh-CN" w:bidi="ar"/>
              </w:rPr>
              <w:t>保障本单位职工的正常办公、生活秩序；保障本单位日常工作的顺利开展；保障审计工作的开展，确保履行好审计监督的基本职能。通过项目实施做到了勤俭节约、节能环保，保障了机关正常的办公，干部职工满意度达到100%。</w:t>
            </w:r>
          </w:p>
        </w:tc>
      </w:tr>
      <w:tr>
        <w:tblPrEx>
          <w:shd w:val="clear" w:color="auto" w:fill="auto"/>
          <w:tblCellMar>
            <w:top w:w="0" w:type="dxa"/>
            <w:left w:w="0" w:type="dxa"/>
            <w:bottom w:w="0" w:type="dxa"/>
            <w:right w:w="0" w:type="dxa"/>
          </w:tblCellMar>
        </w:tblPrEx>
        <w:trPr>
          <w:trHeight w:val="574" w:hRule="atLeast"/>
        </w:trPr>
        <w:tc>
          <w:tcPr>
            <w:tcW w:w="4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存在问题</w:t>
            </w:r>
          </w:p>
        </w:tc>
        <w:tc>
          <w:tcPr>
            <w:tcW w:w="791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微软雅黑" w:cs="Times New Roman"/>
                <w:i/>
                <w:color w:val="000000"/>
                <w:sz w:val="16"/>
                <w:szCs w:val="16"/>
                <w:u w:val="none"/>
              </w:rPr>
            </w:pPr>
          </w:p>
        </w:tc>
      </w:tr>
      <w:tr>
        <w:tblPrEx>
          <w:shd w:val="clear" w:color="auto" w:fill="auto"/>
          <w:tblCellMar>
            <w:top w:w="0" w:type="dxa"/>
            <w:left w:w="0" w:type="dxa"/>
            <w:bottom w:w="0" w:type="dxa"/>
            <w:right w:w="0" w:type="dxa"/>
          </w:tblCellMar>
        </w:tblPrEx>
        <w:trPr>
          <w:trHeight w:val="634" w:hRule="atLeast"/>
        </w:trPr>
        <w:tc>
          <w:tcPr>
            <w:tcW w:w="4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改进措施</w:t>
            </w:r>
          </w:p>
        </w:tc>
        <w:tc>
          <w:tcPr>
            <w:tcW w:w="791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微软雅黑" w:cs="Times New Roman"/>
                <w:i/>
                <w:color w:val="000000"/>
                <w:sz w:val="16"/>
                <w:szCs w:val="16"/>
                <w:u w:val="none"/>
              </w:rPr>
            </w:pPr>
          </w:p>
        </w:tc>
      </w:tr>
      <w:tr>
        <w:tblPrEx>
          <w:shd w:val="clear" w:color="auto" w:fill="auto"/>
          <w:tblCellMar>
            <w:top w:w="0" w:type="dxa"/>
            <w:left w:w="0" w:type="dxa"/>
            <w:bottom w:w="0" w:type="dxa"/>
            <w:right w:w="0" w:type="dxa"/>
          </w:tblCellMar>
        </w:tblPrEx>
        <w:trPr>
          <w:trHeight w:val="285" w:hRule="atLeast"/>
        </w:trPr>
        <w:tc>
          <w:tcPr>
            <w:tcW w:w="4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项目负责人：</w:t>
            </w:r>
          </w:p>
        </w:tc>
        <w:tc>
          <w:tcPr>
            <w:tcW w:w="405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财务负责人：</w:t>
            </w: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br w:type="page"/>
      </w:r>
    </w:p>
    <w:p>
      <w:pPr>
        <w:widowControl/>
        <w:jc w:val="center"/>
        <w:rPr>
          <w:rFonts w:hint="default" w:ascii="Times New Roman" w:hAnsi="Times New Roman" w:eastAsia="方正小标宋简体" w:cs="Times New Roman"/>
          <w:b w:val="0"/>
          <w:color w:val="auto"/>
          <w:sz w:val="44"/>
          <w:szCs w:val="44"/>
          <w:highlight w:val="none"/>
        </w:rPr>
      </w:pPr>
      <w:r>
        <w:rPr>
          <w:rFonts w:hint="default" w:ascii="Times New Roman" w:hAnsi="Times New Roman" w:eastAsia="方正小标宋简体" w:cs="Times New Roman"/>
          <w:color w:val="auto"/>
          <w:sz w:val="44"/>
          <w:szCs w:val="44"/>
          <w:highlight w:val="none"/>
        </w:rPr>
        <w:t>第</w:t>
      </w:r>
      <w:r>
        <w:rPr>
          <w:rStyle w:val="30"/>
          <w:rFonts w:hint="default" w:ascii="Times New Roman" w:hAnsi="Times New Roman" w:eastAsia="方正小标宋简体" w:cs="Times New Roman"/>
          <w:b w:val="0"/>
          <w:color w:val="auto"/>
          <w:sz w:val="44"/>
          <w:szCs w:val="44"/>
          <w:highlight w:val="none"/>
        </w:rPr>
        <w:t>五部分 附表</w:t>
      </w:r>
      <w:bookmarkEnd w:id="39"/>
      <w:bookmarkEnd w:id="40"/>
      <w:bookmarkStart w:id="41"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4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2" w:name="_Toc15396620"/>
      <w:r>
        <w:rPr>
          <w:rFonts w:hint="default" w:ascii="Times New Roman" w:hAnsi="Times New Roman" w:eastAsia="仿宋_GB2312" w:cs="Times New Roman"/>
          <w:color w:val="auto"/>
          <w:sz w:val="32"/>
          <w:szCs w:val="32"/>
          <w:highlight w:val="none"/>
        </w:rPr>
        <w:t>二、收入决算表</w:t>
      </w:r>
      <w:bookmarkEnd w:id="4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3" w:name="_Toc15396621"/>
      <w:r>
        <w:rPr>
          <w:rFonts w:hint="default" w:ascii="Times New Roman" w:hAnsi="Times New Roman" w:eastAsia="仿宋_GB2312" w:cs="Times New Roman"/>
          <w:color w:val="auto"/>
          <w:sz w:val="32"/>
          <w:szCs w:val="32"/>
          <w:highlight w:val="none"/>
        </w:rPr>
        <w:t>三、支出决算表</w:t>
      </w:r>
      <w:bookmarkEnd w:id="4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4" w:name="_Toc15396622"/>
      <w:r>
        <w:rPr>
          <w:rFonts w:hint="default" w:ascii="Times New Roman" w:hAnsi="Times New Roman" w:eastAsia="仿宋_GB2312" w:cs="Times New Roman"/>
          <w:color w:val="auto"/>
          <w:sz w:val="32"/>
          <w:szCs w:val="32"/>
          <w:highlight w:val="none"/>
        </w:rPr>
        <w:t>四、财政拨款收入支出决算总表</w:t>
      </w:r>
      <w:bookmarkEnd w:id="4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5" w:name="_Toc15396623"/>
      <w:r>
        <w:rPr>
          <w:rFonts w:hint="default" w:ascii="Times New Roman" w:hAnsi="Times New Roman" w:eastAsia="仿宋_GB2312" w:cs="Times New Roman"/>
          <w:color w:val="auto"/>
          <w:sz w:val="32"/>
          <w:szCs w:val="32"/>
          <w:highlight w:val="none"/>
        </w:rPr>
        <w:t>五、财政拨款支出决算明细表</w:t>
      </w:r>
      <w:bookmarkEnd w:id="45"/>
      <w:bookmarkStart w:id="46"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4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7" w:name="_Toc15396625"/>
      <w:r>
        <w:rPr>
          <w:rFonts w:hint="default" w:ascii="Times New Roman" w:hAnsi="Times New Roman" w:eastAsia="仿宋_GB2312" w:cs="Times New Roman"/>
          <w:color w:val="auto"/>
          <w:sz w:val="32"/>
          <w:szCs w:val="32"/>
          <w:highlight w:val="none"/>
        </w:rPr>
        <w:t>七、一般公共预算财政拨款支出决算明细表</w:t>
      </w:r>
      <w:bookmarkEnd w:id="4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8" w:name="_Toc15396626"/>
      <w:r>
        <w:rPr>
          <w:rFonts w:hint="default" w:ascii="Times New Roman" w:hAnsi="Times New Roman" w:eastAsia="仿宋_GB2312" w:cs="Times New Roman"/>
          <w:color w:val="auto"/>
          <w:sz w:val="32"/>
          <w:szCs w:val="32"/>
          <w:highlight w:val="none"/>
        </w:rPr>
        <w:t>八、一般公共预算财政拨款基本支出决算表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49" w:name="_Toc15396627"/>
      <w:r>
        <w:rPr>
          <w:rFonts w:hint="default" w:ascii="Times New Roman" w:hAnsi="Times New Roman" w:eastAsia="仿宋_GB2312" w:cs="Times New Roman"/>
          <w:color w:val="auto"/>
          <w:sz w:val="32"/>
          <w:szCs w:val="32"/>
          <w:highlight w:val="none"/>
        </w:rPr>
        <w:t>九、一般公共预算财政拨款项目支出决算表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0" w:name="_Toc15396628"/>
      <w:r>
        <w:rPr>
          <w:rFonts w:hint="default" w:ascii="Times New Roman" w:hAnsi="Times New Roman" w:eastAsia="仿宋_GB2312" w:cs="Times New Roman"/>
          <w:color w:val="auto"/>
          <w:sz w:val="32"/>
          <w:szCs w:val="32"/>
          <w:highlight w:val="none"/>
        </w:rPr>
        <w:t>十、</w:t>
      </w:r>
      <w:bookmarkEnd w:id="50"/>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1" w:name="_Toc15396629"/>
      <w:r>
        <w:rPr>
          <w:rFonts w:hint="default" w:ascii="Times New Roman" w:hAnsi="Times New Roman" w:eastAsia="仿宋_GB2312" w:cs="Times New Roman"/>
          <w:color w:val="auto"/>
          <w:sz w:val="32"/>
          <w:szCs w:val="32"/>
          <w:highlight w:val="none"/>
        </w:rPr>
        <w:t>十一、</w:t>
      </w:r>
      <w:bookmarkEnd w:id="51"/>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2" w:name="_Toc15396630"/>
      <w:r>
        <w:rPr>
          <w:rFonts w:hint="default" w:ascii="Times New Roman" w:hAnsi="Times New Roman" w:eastAsia="仿宋_GB2312" w:cs="Times New Roman"/>
          <w:color w:val="auto"/>
          <w:sz w:val="32"/>
          <w:szCs w:val="32"/>
          <w:highlight w:val="none"/>
        </w:rPr>
        <w:t>十二、</w:t>
      </w:r>
      <w:bookmarkEnd w:id="52"/>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53" w:name="_Toc15396631"/>
      <w:r>
        <w:rPr>
          <w:rFonts w:hint="default" w:ascii="Times New Roman" w:hAnsi="Times New Roman" w:eastAsia="仿宋_GB2312" w:cs="Times New Roman"/>
          <w:color w:val="auto"/>
          <w:sz w:val="32"/>
          <w:szCs w:val="32"/>
          <w:highlight w:val="none"/>
        </w:rPr>
        <w:t>十三、</w:t>
      </w:r>
      <w:bookmarkEnd w:id="53"/>
      <w:r>
        <w:rPr>
          <w:rFonts w:hint="default" w:ascii="Times New Roman" w:hAnsi="Times New Roman" w:eastAsia="仿宋_GB2312" w:cs="Times New Roman"/>
          <w:color w:val="auto"/>
          <w:sz w:val="32"/>
          <w:szCs w:val="32"/>
          <w:highlight w:val="none"/>
          <w:lang w:eastAsia="zh-CN"/>
        </w:rPr>
        <w:t>财政拨款“三公”经费支出决算表</w:t>
      </w:r>
    </w:p>
    <w:p>
      <w:pPr>
        <w:rPr>
          <w:rFonts w:hint="default" w:ascii="Times New Roman" w:hAnsi="Times New Roman" w:cs="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862FB"/>
    <w:multiLevelType w:val="singleLevel"/>
    <w:tmpl w:val="9D7862FB"/>
    <w:lvl w:ilvl="0" w:tentative="0">
      <w:start w:val="9"/>
      <w:numFmt w:val="decimal"/>
      <w:suff w:val="nothing"/>
      <w:lvlText w:val="%1、"/>
      <w:lvlJc w:val="left"/>
    </w:lvl>
  </w:abstractNum>
  <w:abstractNum w:abstractNumId="1">
    <w:nsid w:val="565B4B9B"/>
    <w:multiLevelType w:val="singleLevel"/>
    <w:tmpl w:val="565B4B9B"/>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MDc2YzYzYjhmZjhhZWI0ZTc2M2Q1MWMxZmE4MG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AE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F56B70"/>
    <w:rsid w:val="061E35DE"/>
    <w:rsid w:val="066740CF"/>
    <w:rsid w:val="066E0107"/>
    <w:rsid w:val="07996F6E"/>
    <w:rsid w:val="07DFD8BA"/>
    <w:rsid w:val="08DB07E4"/>
    <w:rsid w:val="09867E8F"/>
    <w:rsid w:val="0A2032A3"/>
    <w:rsid w:val="0ACF710B"/>
    <w:rsid w:val="0B9E41A7"/>
    <w:rsid w:val="0C6C4794"/>
    <w:rsid w:val="0CA8290A"/>
    <w:rsid w:val="0D35B1ED"/>
    <w:rsid w:val="0D784CDB"/>
    <w:rsid w:val="0DE07E2B"/>
    <w:rsid w:val="0F0F6621"/>
    <w:rsid w:val="0F4A523D"/>
    <w:rsid w:val="0F772AEC"/>
    <w:rsid w:val="0F98263C"/>
    <w:rsid w:val="0FC74D2D"/>
    <w:rsid w:val="101860EC"/>
    <w:rsid w:val="104A15A3"/>
    <w:rsid w:val="10C055FF"/>
    <w:rsid w:val="10C47DBD"/>
    <w:rsid w:val="11772AA4"/>
    <w:rsid w:val="118107EC"/>
    <w:rsid w:val="12987F2E"/>
    <w:rsid w:val="1388703C"/>
    <w:rsid w:val="13957196"/>
    <w:rsid w:val="13D50BC4"/>
    <w:rsid w:val="14022904"/>
    <w:rsid w:val="14A9738B"/>
    <w:rsid w:val="152F2A07"/>
    <w:rsid w:val="15796E95"/>
    <w:rsid w:val="165E0673"/>
    <w:rsid w:val="1666548D"/>
    <w:rsid w:val="16BB723D"/>
    <w:rsid w:val="16ED0FCF"/>
    <w:rsid w:val="16F13FCB"/>
    <w:rsid w:val="186504BB"/>
    <w:rsid w:val="1938089F"/>
    <w:rsid w:val="19A445FC"/>
    <w:rsid w:val="1A4F59C8"/>
    <w:rsid w:val="1B7D550C"/>
    <w:rsid w:val="1BE8440E"/>
    <w:rsid w:val="1D155CEE"/>
    <w:rsid w:val="1DE178F3"/>
    <w:rsid w:val="1E740ACF"/>
    <w:rsid w:val="1FF35744"/>
    <w:rsid w:val="1FF6BC77"/>
    <w:rsid w:val="202F2DCA"/>
    <w:rsid w:val="21962A9E"/>
    <w:rsid w:val="21AE7C77"/>
    <w:rsid w:val="22BC3C41"/>
    <w:rsid w:val="23860B96"/>
    <w:rsid w:val="240371BF"/>
    <w:rsid w:val="25406312"/>
    <w:rsid w:val="25A048DA"/>
    <w:rsid w:val="260F557C"/>
    <w:rsid w:val="270619EB"/>
    <w:rsid w:val="281408E2"/>
    <w:rsid w:val="29FD04D3"/>
    <w:rsid w:val="2AF86066"/>
    <w:rsid w:val="2BFF7BC6"/>
    <w:rsid w:val="2C500F17"/>
    <w:rsid w:val="2C8A61B5"/>
    <w:rsid w:val="2D2E01CF"/>
    <w:rsid w:val="2DF04E50"/>
    <w:rsid w:val="2E9545B0"/>
    <w:rsid w:val="2EAE7A40"/>
    <w:rsid w:val="2F040D46"/>
    <w:rsid w:val="2FAE5751"/>
    <w:rsid w:val="2FB1A395"/>
    <w:rsid w:val="2FD9A7D8"/>
    <w:rsid w:val="301711D6"/>
    <w:rsid w:val="308D0FBE"/>
    <w:rsid w:val="319F7F4E"/>
    <w:rsid w:val="321B2544"/>
    <w:rsid w:val="328E7218"/>
    <w:rsid w:val="3304709D"/>
    <w:rsid w:val="33900C15"/>
    <w:rsid w:val="34281836"/>
    <w:rsid w:val="349D6851"/>
    <w:rsid w:val="34AC053A"/>
    <w:rsid w:val="34E431EE"/>
    <w:rsid w:val="35BA6CAF"/>
    <w:rsid w:val="35D37231"/>
    <w:rsid w:val="364D14C1"/>
    <w:rsid w:val="36AA5135"/>
    <w:rsid w:val="36BE0DA7"/>
    <w:rsid w:val="37513104"/>
    <w:rsid w:val="375E7122"/>
    <w:rsid w:val="376B6AA6"/>
    <w:rsid w:val="376D39B2"/>
    <w:rsid w:val="37791BC3"/>
    <w:rsid w:val="37865D2B"/>
    <w:rsid w:val="37E16F03"/>
    <w:rsid w:val="37F53A3B"/>
    <w:rsid w:val="38946975"/>
    <w:rsid w:val="389B6C89"/>
    <w:rsid w:val="38D469F0"/>
    <w:rsid w:val="38F41B43"/>
    <w:rsid w:val="3939016C"/>
    <w:rsid w:val="39627CCD"/>
    <w:rsid w:val="397BAF1F"/>
    <w:rsid w:val="3A67338A"/>
    <w:rsid w:val="3AB79AF3"/>
    <w:rsid w:val="3AE70981"/>
    <w:rsid w:val="3B7EF35A"/>
    <w:rsid w:val="3B9FDB6C"/>
    <w:rsid w:val="3BF5BC2F"/>
    <w:rsid w:val="3C046A9D"/>
    <w:rsid w:val="3CEBA265"/>
    <w:rsid w:val="3D98207C"/>
    <w:rsid w:val="3D9B0D99"/>
    <w:rsid w:val="3DEE7CF3"/>
    <w:rsid w:val="3DF02244"/>
    <w:rsid w:val="3E78745D"/>
    <w:rsid w:val="3FD94139"/>
    <w:rsid w:val="3FF4CAE0"/>
    <w:rsid w:val="3FF7B227"/>
    <w:rsid w:val="40E54C45"/>
    <w:rsid w:val="41313393"/>
    <w:rsid w:val="42AA7351"/>
    <w:rsid w:val="433D2415"/>
    <w:rsid w:val="43A407DF"/>
    <w:rsid w:val="43C843E2"/>
    <w:rsid w:val="444B07D0"/>
    <w:rsid w:val="44515BEA"/>
    <w:rsid w:val="4498565B"/>
    <w:rsid w:val="44E268DA"/>
    <w:rsid w:val="453F7E5B"/>
    <w:rsid w:val="45D465FF"/>
    <w:rsid w:val="4773712F"/>
    <w:rsid w:val="47E1271A"/>
    <w:rsid w:val="482D13A0"/>
    <w:rsid w:val="486A6C7A"/>
    <w:rsid w:val="49176D9B"/>
    <w:rsid w:val="494006BD"/>
    <w:rsid w:val="4A627F82"/>
    <w:rsid w:val="4B0E749A"/>
    <w:rsid w:val="4B145C6E"/>
    <w:rsid w:val="4B4F25DA"/>
    <w:rsid w:val="4B6B7188"/>
    <w:rsid w:val="4BDA0CFB"/>
    <w:rsid w:val="4BE068DB"/>
    <w:rsid w:val="4CAB5862"/>
    <w:rsid w:val="4CC56788"/>
    <w:rsid w:val="4D3C0CCC"/>
    <w:rsid w:val="4D5029C0"/>
    <w:rsid w:val="4D577224"/>
    <w:rsid w:val="4DBF1CEB"/>
    <w:rsid w:val="4EAB630A"/>
    <w:rsid w:val="4ECE2238"/>
    <w:rsid w:val="4EE82F7E"/>
    <w:rsid w:val="4F4A0083"/>
    <w:rsid w:val="4F833267"/>
    <w:rsid w:val="4F927A7B"/>
    <w:rsid w:val="4FE9BD67"/>
    <w:rsid w:val="4FFB052F"/>
    <w:rsid w:val="5207597B"/>
    <w:rsid w:val="53083A92"/>
    <w:rsid w:val="537E6D0A"/>
    <w:rsid w:val="53A216A7"/>
    <w:rsid w:val="53AF27A2"/>
    <w:rsid w:val="53F74C96"/>
    <w:rsid w:val="56E47B74"/>
    <w:rsid w:val="57431D9C"/>
    <w:rsid w:val="57BD3DD4"/>
    <w:rsid w:val="57F43CF0"/>
    <w:rsid w:val="582D4C79"/>
    <w:rsid w:val="586A03D7"/>
    <w:rsid w:val="597D325D"/>
    <w:rsid w:val="599905E6"/>
    <w:rsid w:val="5A006AD9"/>
    <w:rsid w:val="5A274DE4"/>
    <w:rsid w:val="5AD72539"/>
    <w:rsid w:val="5AF92295"/>
    <w:rsid w:val="5B210558"/>
    <w:rsid w:val="5BA64A2C"/>
    <w:rsid w:val="5BDD79E6"/>
    <w:rsid w:val="5BF561CA"/>
    <w:rsid w:val="5BFF5DFC"/>
    <w:rsid w:val="5CD71FC4"/>
    <w:rsid w:val="5CDD55D0"/>
    <w:rsid w:val="5D1F11B5"/>
    <w:rsid w:val="5D2178E2"/>
    <w:rsid w:val="5DAE1B18"/>
    <w:rsid w:val="5DE433C1"/>
    <w:rsid w:val="5DE7D9E5"/>
    <w:rsid w:val="5ECEC941"/>
    <w:rsid w:val="5F493CB7"/>
    <w:rsid w:val="5FBF9FF3"/>
    <w:rsid w:val="5FCD4E2C"/>
    <w:rsid w:val="5FD15F49"/>
    <w:rsid w:val="5FEF394A"/>
    <w:rsid w:val="5FF67715"/>
    <w:rsid w:val="62592532"/>
    <w:rsid w:val="62BF3928"/>
    <w:rsid w:val="6317389F"/>
    <w:rsid w:val="647F5392"/>
    <w:rsid w:val="664B1D71"/>
    <w:rsid w:val="67AA3209"/>
    <w:rsid w:val="681C4F0D"/>
    <w:rsid w:val="69046D0F"/>
    <w:rsid w:val="698D0931"/>
    <w:rsid w:val="6A993CED"/>
    <w:rsid w:val="6B053271"/>
    <w:rsid w:val="6BCE6674"/>
    <w:rsid w:val="6C4A05C8"/>
    <w:rsid w:val="6C8742B8"/>
    <w:rsid w:val="6C8A170F"/>
    <w:rsid w:val="6CA541EB"/>
    <w:rsid w:val="6CB54609"/>
    <w:rsid w:val="6DBF5E93"/>
    <w:rsid w:val="6DFF077E"/>
    <w:rsid w:val="6E0C625A"/>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40EC0"/>
    <w:rsid w:val="72233669"/>
    <w:rsid w:val="72734D90"/>
    <w:rsid w:val="7332FE48"/>
    <w:rsid w:val="739B3411"/>
    <w:rsid w:val="73AB61DA"/>
    <w:rsid w:val="73AD73D5"/>
    <w:rsid w:val="73B6EB34"/>
    <w:rsid w:val="73FA497D"/>
    <w:rsid w:val="744731E5"/>
    <w:rsid w:val="74527205"/>
    <w:rsid w:val="74862CE8"/>
    <w:rsid w:val="74A959C6"/>
    <w:rsid w:val="74BBD01D"/>
    <w:rsid w:val="74ED5379"/>
    <w:rsid w:val="74FC2395"/>
    <w:rsid w:val="759A05E1"/>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E75708"/>
    <w:rsid w:val="7C1F3737"/>
    <w:rsid w:val="7C317874"/>
    <w:rsid w:val="7C8A0F77"/>
    <w:rsid w:val="7CBFC87B"/>
    <w:rsid w:val="7CE833D0"/>
    <w:rsid w:val="7CFE0F48"/>
    <w:rsid w:val="7D7EC23E"/>
    <w:rsid w:val="7D916348"/>
    <w:rsid w:val="7D9507AB"/>
    <w:rsid w:val="7E8ADEBF"/>
    <w:rsid w:val="7EEF11D3"/>
    <w:rsid w:val="7F0971A6"/>
    <w:rsid w:val="7F1C14FF"/>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unhideWhenUsed/>
    <w:qFormat/>
    <w:uiPriority w:val="99"/>
    <w:pPr>
      <w:widowControl/>
      <w:jc w:val="left"/>
    </w:pPr>
    <w:rPr>
      <w:rFonts w:ascii="宋体" w:hAnsi="宋体" w:eastAsia="宋体" w:cs="宋体"/>
      <w:sz w:val="24"/>
      <w:szCs w:val="24"/>
    </w:rPr>
  </w:style>
  <w:style w:type="paragraph" w:styleId="17">
    <w:name w:val="Normal (Web)"/>
    <w:basedOn w:val="1"/>
    <w:semiHidden/>
    <w:unhideWhenUsed/>
    <w:qFormat/>
    <w:uiPriority w:val="99"/>
    <w:rPr>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0"/>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15"/>
    <w:basedOn w:val="19"/>
    <w:qFormat/>
    <w:uiPriority w:val="0"/>
    <w:rPr>
      <w:rFonts w:hint="default" w:ascii="Cambria" w:hAnsi="Cambria" w:eastAsia="宋体" w:cs="Times New Roman"/>
      <w:b/>
      <w:sz w:val="32"/>
      <w:szCs w:val="32"/>
    </w:rPr>
  </w:style>
  <w:style w:type="character" w:customStyle="1" w:styleId="38">
    <w:name w:val="10"/>
    <w:basedOn w:val="19"/>
    <w:qFormat/>
    <w:uiPriority w:val="0"/>
    <w:rPr>
      <w:rFonts w:hint="default" w:ascii="Calibri" w:hAnsi="Calibri" w:cs="Calibri"/>
    </w:rPr>
  </w:style>
  <w:style w:type="character" w:customStyle="1" w:styleId="39">
    <w:name w:val="16"/>
    <w:basedOn w:val="19"/>
    <w:qFormat/>
    <w:uiPriority w:val="0"/>
    <w:rPr>
      <w:rFonts w:hint="default" w:ascii="Calibri" w:hAnsi="Calibri" w:cs="Calibri"/>
      <w:b/>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'[20250908作参考：饼状（直方）图绘制方法.xls]收支决算总计变动情况-图1'!$A$4</c:f>
              <c:strCache>
                <c:ptCount val="1"/>
                <c:pt idx="0">
                  <c:v>沐川县审计局收、支决算总计变动情况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8726072607265"/>
                  <c:y val="0.342968727272727"/>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'[20250908作参考：饼状（直方）图绘制方法.xls]收支决算总计变动情况-图1'!$A$1:$B$1</c:f>
              <c:strCache>
                <c:ptCount val="2"/>
                <c:pt idx="0">
                  <c:v>2024年收支</c:v>
                </c:pt>
                <c:pt idx="1">
                  <c:v>2025年收支</c:v>
                </c:pt>
              </c:strCache>
            </c:strRef>
          </c:cat>
          <c:val>
            <c:numRef>
              <c:f>'[20250908作参考：饼状（直方）图绘制方法.xls]收支决算总计变动情况-图1'!$A$2:$B$2</c:f>
              <c:numCache>
                <c:formatCode>General</c:formatCode>
                <c:ptCount val="2"/>
                <c:pt idx="0">
                  <c:v>571.42</c:v>
                </c:pt>
                <c:pt idx="1">
                  <c:v>340.01</c:v>
                </c:pt>
              </c:numCache>
            </c:numRef>
          </c:val>
        </c:ser>
        <c:dLbls>
          <c:showLegendKey val="0"/>
          <c:showVal val="0"/>
          <c:showCatName val="0"/>
          <c:showSerName val="0"/>
          <c:showPercent val="0"/>
          <c:showBubbleSize val="0"/>
        </c:dLbls>
        <c:gapWidth val="150"/>
        <c:overlap val="0"/>
        <c:axId val="527065636"/>
        <c:axId val="564355561"/>
      </c:barChart>
      <c:catAx>
        <c:axId val="527065636"/>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64355561"/>
        <c:crosses val="autoZero"/>
        <c:auto val="1"/>
        <c:lblAlgn val="ctr"/>
        <c:lblOffset val="100"/>
        <c:noMultiLvlLbl val="0"/>
      </c:catAx>
      <c:valAx>
        <c:axId val="564355561"/>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527065636"/>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沐川县审计局202</a:t>
            </a:r>
            <a:r>
              <a:rPr lang="en-US" altLang="zh-CN"/>
              <a:t>5</a:t>
            </a:r>
            <a:r>
              <a:t>年收入决算结构图</a:t>
            </a:r>
          </a:p>
        </c:rich>
      </c:tx>
      <c:layout/>
      <c:overlay val="0"/>
      <c:spPr>
        <a:noFill/>
        <a:ln w="3175">
          <a:noFill/>
        </a:ln>
      </c:spPr>
    </c:title>
    <c:autoTitleDeleted val="0"/>
    <c:plotArea>
      <c:layout>
        <c:manualLayout>
          <c:layoutTarget val="inner"/>
          <c:xMode val="edge"/>
          <c:yMode val="edge"/>
          <c:x val="0.17275"/>
          <c:y val="0.277"/>
          <c:w val="0.3375"/>
          <c:h val="0.56075"/>
        </c:manualLayout>
      </c:layout>
      <c:pieChart>
        <c:varyColors val="1"/>
        <c:ser>
          <c:idx val="0"/>
          <c:order val="0"/>
          <c:tx>
            <c:strRef>
              <c:f>'[20250908作参考：饼状（直方）图绘制方法.xls]收入决算结构-图2-1'!$A$5</c:f>
              <c:strCache>
                <c:ptCount val="1"/>
                <c:pt idx="0">
                  <c:v>沐川县审计局2024年收入决算结构图</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3175">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98</a:t>
                    </a:r>
                    <a:r>
                      <a:rPr lang="en-US" altLang="zh-CN"/>
                      <a:t>.3</a:t>
                    </a:r>
                    <a:r>
                      <a:t>%</a:t>
                    </a:r>
                  </a:p>
                </c:rich>
              </c:tx>
              <c:numFmt formatCode="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a:t>1.7</a:t>
                    </a:r>
                    <a:r>
                      <a:t>%</a:t>
                    </a:r>
                  </a:p>
                </c:rich>
              </c:tx>
              <c:numFmt formatCode="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'[20250908作参考：饼状（直方）图绘制方法.xls]收入决算结构-图2-1'!$A$1:$B$1</c:f>
              <c:strCache>
                <c:ptCount val="2"/>
                <c:pt idx="0">
                  <c:v>一般公共预算财政拨款收入</c:v>
                </c:pt>
                <c:pt idx="1">
                  <c:v>其他收入</c:v>
                </c:pt>
              </c:strCache>
            </c:strRef>
          </c:cat>
          <c:val>
            <c:numRef>
              <c:f>'[20250908作参考：饼状（直方）图绘制方法.xls]收入决算结构-图2-1'!$A$2:$B$2</c:f>
              <c:numCache>
                <c:formatCode>General</c:formatCode>
                <c:ptCount val="2"/>
                <c:pt idx="0">
                  <c:v>334.14</c:v>
                </c:pt>
                <c:pt idx="1">
                  <c:v>5.87</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5"/>
          <c:y val="0.44025"/>
          <c:w val="0.41425"/>
          <c:h val="0.243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2575"/>
          <c:y val="0.277"/>
          <c:w val="0.33325"/>
          <c:h val="0.56425"/>
        </c:manualLayout>
      </c:layout>
      <c:pieChart>
        <c:varyColors val="1"/>
        <c:ser>
          <c:idx val="0"/>
          <c:order val="0"/>
          <c:tx>
            <c:strRef>
              <c:f>'[20250908作参考：饼状（直方）图绘制方法.xls]支出决算结构-图3'!$A$9</c:f>
              <c:strCache>
                <c:ptCount val="1"/>
                <c:pt idx="0">
                  <c:v>沐川县审计局2025年支出决算结构图</c:v>
                </c:pt>
              </c:strCache>
            </c:strRef>
          </c:tx>
          <c:spPr>
            <a:solidFill>
              <a:srgbClr val="9999FF">
                <a:alpha val="100000"/>
              </a:srgbClr>
            </a:solidFill>
            <a:ln w="12700">
              <a:solidFill>
                <a:srgbClr val="000000">
                  <a:alpha val="100000"/>
                </a:srgbClr>
              </a:solidFill>
              <a:prstDash val="solid"/>
            </a:ln>
          </c:spPr>
          <c:explosion val="25"/>
          <c:dPt>
            <c:idx val="0"/>
            <c:bubble3D val="0"/>
            <c:explosion val="25"/>
            <c:spPr>
              <a:solidFill>
                <a:srgbClr val="9999FF">
                  <a:alpha val="100000"/>
                </a:srgbClr>
              </a:solidFill>
              <a:ln w="12700">
                <a:solidFill>
                  <a:srgbClr val="000000">
                    <a:alpha val="100000"/>
                  </a:srgbClr>
                </a:solidFill>
                <a:prstDash val="solid"/>
              </a:ln>
            </c:spPr>
          </c:dPt>
          <c:dPt>
            <c:idx val="1"/>
            <c:bubble3D val="0"/>
            <c:explosion val="25"/>
            <c:spPr>
              <a:solidFill>
                <a:srgbClr val="993366">
                  <a:alpha val="100000"/>
                </a:srgbClr>
              </a:solidFill>
              <a:ln w="12700">
                <a:solidFill>
                  <a:srgbClr val="000000">
                    <a:alpha val="100000"/>
                  </a:srgbClr>
                </a:solidFill>
                <a:prstDash val="solid"/>
              </a:ln>
            </c:spPr>
          </c:dPt>
          <c:dLbls>
            <c:dLbl>
              <c:idx val="0"/>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98.9%</a:t>
                    </a: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0875816993464052"/>
                      <c:h val="0.0987690504103165"/>
                    </c:manualLayout>
                  </c15:layout>
                </c:ext>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1.</a:t>
                    </a:r>
                    <a:r>
                      <a:rPr lang="en-US" altLang="zh-CN"/>
                      <a:t>1</a:t>
                    </a:r>
                    <a:r>
                      <a:t>%</a:t>
                    </a: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'[20250908作参考：饼状（直方）图绘制方法.xls]支出决算结构-图3'!$A$1:$B$1</c:f>
              <c:strCache>
                <c:ptCount val="2"/>
                <c:pt idx="0">
                  <c:v>基本支出</c:v>
                </c:pt>
                <c:pt idx="1">
                  <c:v>项目支出</c:v>
                </c:pt>
              </c:strCache>
            </c:strRef>
          </c:cat>
          <c:val>
            <c:numRef>
              <c:f>'[20250908作参考：饼状（直方）图绘制方法.xls]支出决算结构-图3'!$A$4:$B$4</c:f>
              <c:numCache>
                <c:formatCode>0.00%</c:formatCode>
                <c:ptCount val="2"/>
                <c:pt idx="0">
                  <c:v>0.989385558379429</c:v>
                </c:pt>
                <c:pt idx="1">
                  <c:v>0.0106144416205711</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905"/>
          <c:y val="0.456"/>
          <c:w val="0.1655"/>
          <c:h val="0.1352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'[20250908作参考：饼状（直方）图绘制方法.xls]财政拨款收支决算总计变动情况-图4'!$A$4</c:f>
              <c:strCache>
                <c:ptCount val="1"/>
                <c:pt idx="0">
                  <c:v>沐川县审计局财政拨款收、支决算总计变动情况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832134292566"/>
                  <c:y val="0.217210101010101"/>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076738609113"/>
                  <c:y val="0.334063636363636"/>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'[20250908作参考：饼状（直方）图绘制方法.xls]财政拨款收支决算总计变动情况-图4'!$A$1:$B$1</c:f>
              <c:strCache>
                <c:ptCount val="2"/>
                <c:pt idx="0">
                  <c:v>2024年财政拨款收支</c:v>
                </c:pt>
                <c:pt idx="1">
                  <c:v>2025年财政拨款收支</c:v>
                </c:pt>
              </c:strCache>
            </c:strRef>
          </c:cat>
          <c:val>
            <c:numRef>
              <c:f>'[20250908作参考：饼状（直方）图绘制方法.xls]财政拨款收支决算总计变动情况-图4'!$A$2:$B$2</c:f>
              <c:numCache>
                <c:formatCode>General</c:formatCode>
                <c:ptCount val="2"/>
                <c:pt idx="0">
                  <c:v>571.42</c:v>
                </c:pt>
                <c:pt idx="1">
                  <c:v>334.14</c:v>
                </c:pt>
              </c:numCache>
            </c:numRef>
          </c:val>
        </c:ser>
        <c:dLbls>
          <c:showLegendKey val="0"/>
          <c:showVal val="0"/>
          <c:showCatName val="0"/>
          <c:showSerName val="0"/>
          <c:showPercent val="0"/>
          <c:showBubbleSize val="0"/>
        </c:dLbls>
        <c:gapWidth val="150"/>
        <c:overlap val="0"/>
        <c:axId val="854806248"/>
        <c:axId val="43247967"/>
      </c:barChart>
      <c:catAx>
        <c:axId val="85480624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3247967"/>
        <c:crosses val="autoZero"/>
        <c:auto val="1"/>
        <c:lblAlgn val="ctr"/>
        <c:lblOffset val="100"/>
        <c:noMultiLvlLbl val="0"/>
      </c:catAx>
      <c:valAx>
        <c:axId val="43247967"/>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54806248"/>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沐川县审计局一般公共预算财政拨款支出决算变动情况</a:t>
            </a:r>
            <a:endParaRPr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'[20250908作参考：饼状（直方）图绘制方法.xls]一般公共预算财政拨款支出决算变动情况-图5'!$A$1:$B$1</c:f>
              <c:strCache>
                <c:ptCount val="2"/>
                <c:pt idx="0">
                  <c:v>2024年一般公共预算财政拨款支出</c:v>
                </c:pt>
                <c:pt idx="1">
                  <c:v>2025年一般公共预算财政拨款支出</c:v>
                </c:pt>
              </c:strCache>
            </c:strRef>
          </c:cat>
          <c:val>
            <c:numRef>
              <c:f>'[20250908作参考：饼状（直方）图绘制方法.xls]一般公共预算财政拨款支出决算变动情况-图5'!$A$2:$B$2</c:f>
              <c:numCache>
                <c:formatCode>General</c:formatCode>
                <c:ptCount val="2"/>
                <c:pt idx="0">
                  <c:v>525.79</c:v>
                </c:pt>
                <c:pt idx="1">
                  <c:v>334.14</c:v>
                </c:pt>
              </c:numCache>
            </c:numRef>
          </c:val>
        </c:ser>
        <c:dLbls>
          <c:showLegendKey val="0"/>
          <c:showVal val="0"/>
          <c:showCatName val="0"/>
          <c:showSerName val="0"/>
          <c:showPercent val="0"/>
          <c:showBubbleSize val="0"/>
        </c:dLbls>
        <c:gapWidth val="150"/>
        <c:overlap val="0"/>
        <c:axId val="417527685"/>
        <c:axId val="493434436"/>
      </c:barChart>
      <c:catAx>
        <c:axId val="417527685"/>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93434436"/>
        <c:crosses val="autoZero"/>
        <c:auto val="1"/>
        <c:lblAlgn val="ctr"/>
        <c:lblOffset val="100"/>
        <c:noMultiLvlLbl val="0"/>
      </c:catAx>
      <c:valAx>
        <c:axId val="493434436"/>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17527685"/>
        <c:crosses val="autoZero"/>
        <c:crossBetween val="between"/>
      </c:valAx>
      <c:spPr>
        <a:noFill/>
        <a:ln w="3175">
          <a:noFill/>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沐川县审计局一般公共预算财政拨款支出决算结构图</a:t>
            </a:r>
            <a:endParaRPr sz="12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009"/>
          <c:y val="-0.01025"/>
        </c:manualLayout>
      </c:layout>
      <c:overlay val="0"/>
      <c:spPr>
        <a:noFill/>
        <a:ln w="3175">
          <a:noFill/>
        </a:ln>
      </c:spPr>
    </c:title>
    <c:autoTitleDeleted val="0"/>
    <c:plotArea>
      <c:layout>
        <c:manualLayout>
          <c:layoutTarget val="inner"/>
          <c:xMode val="edge"/>
          <c:yMode val="edge"/>
          <c:x val="0.1005"/>
          <c:y val="0.24925"/>
          <c:w val="0.445"/>
          <c:h val="0.67875"/>
        </c:manualLayout>
      </c:layout>
      <c:pieChart>
        <c:varyColors val="1"/>
        <c:ser>
          <c:idx val="0"/>
          <c:order val="0"/>
          <c:tx>
            <c:strRef>
              <c:f>'[20250908作参考：饼状（直方）图绘制方法.xls]一般公共预算财政拨款支出决算结构-图6'!$A$8</c:f>
              <c:strCache>
                <c:ptCount val="1"/>
                <c:pt idx="0">
                  <c:v>沐川县审计局一般公共预算财政拨款支出决算结构图</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3175">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126693886159712"/>
                  <c:y val="-0.256477468288161"/>
                </c:manualLayout>
              </c:layout>
              <c:tx>
                <c:rich>
                  <a:bodyPr rot="0" spcFirstLastPara="0" vertOverflow="ellipsis" vert="horz" wrap="square" lIns="38100" tIns="19050" rIns="38100" bIns="19050" anchor="ctr" anchorCtr="1"/>
                  <a:lstStyle/>
                  <a:p>
                    <a:pPr defTabSz="914400">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en-US" altLang="zh-CN" sz="925" b="0" i="0" u="none" strike="noStrike" baseline="0">
                        <a:solidFill>
                          <a:srgbClr val="000000"/>
                        </a:solidFill>
                        <a:latin typeface="宋体" panose="02010600030101010101" charset="-122"/>
                        <a:ea typeface="宋体" panose="02010600030101010101" charset="-122"/>
                        <a:cs typeface="宋体" panose="02010600030101010101" charset="-122"/>
                      </a:rPr>
                      <a:t>72.8</a:t>
                    </a:r>
                    <a:r>
                      <a:rPr sz="925"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800" b="0" i="0" u="none" strike="noStrike" baseline="0">
                        <a:solidFill>
                          <a:srgbClr val="000000"/>
                        </a:solidFill>
                        <a:latin typeface="宋体" panose="02010600030101010101" charset="-122"/>
                        <a:ea typeface="宋体" panose="02010600030101010101" charset="-122"/>
                        <a:cs typeface="宋体" panose="02010600030101010101" charset="-122"/>
                      </a:rPr>
                      <a:t>16.9</a:t>
                    </a:r>
                    <a:r>
                      <a:rPr sz="800"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783567087729236"/>
                  <c:y val="-0.0361523602285375"/>
                </c:manualLayout>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a:t>3.5</a:t>
                    </a:r>
                    <a:r>
                      <a:t>%</a:t>
                    </a:r>
                    <a:endParaRPr sz="8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384334425543007"/>
                  <c:y val="-0.0748883631240704"/>
                </c:manualLayout>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800" b="0" i="0" u="none" strike="noStrike" baseline="0">
                        <a:solidFill>
                          <a:srgbClr val="000000"/>
                        </a:solidFill>
                        <a:latin typeface="宋体" panose="02010600030101010101" charset="-122"/>
                        <a:ea typeface="宋体" panose="02010600030101010101" charset="-122"/>
                        <a:cs typeface="宋体" panose="02010600030101010101" charset="-122"/>
                      </a:rPr>
                      <a:t>6.8</a:t>
                    </a:r>
                    <a:r>
                      <a:rPr sz="800"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'[20250908作参考：饼状（直方）图绘制方法.xls]一般公共预算财政拨款支出决算结构-图6'!$A$1:$D$1</c:f>
              <c:strCache>
                <c:ptCount val="4"/>
                <c:pt idx="0">
                  <c:v>一般公共服务支出</c:v>
                </c:pt>
                <c:pt idx="1">
                  <c:v>社会保障和就业支出</c:v>
                </c:pt>
                <c:pt idx="2">
                  <c:v>卫生健康支出</c:v>
                </c:pt>
                <c:pt idx="3">
                  <c:v>住房保障支出</c:v>
                </c:pt>
              </c:strCache>
            </c:strRef>
          </c:cat>
          <c:val>
            <c:numRef>
              <c:f>'[20250908作参考：饼状（直方）图绘制方法.xls]一般公共预算财政拨款支出决算结构-图6'!$A$2:$D$2</c:f>
              <c:numCache>
                <c:formatCode>General</c:formatCode>
                <c:ptCount val="4"/>
                <c:pt idx="0">
                  <c:v>243.17</c:v>
                </c:pt>
                <c:pt idx="1">
                  <c:v>56.55</c:v>
                </c:pt>
                <c:pt idx="2">
                  <c:v>11.7</c:v>
                </c:pt>
                <c:pt idx="3">
                  <c:v>22.73</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51539473684211"/>
          <c:y val="0.26887015503876"/>
          <c:w val="0.34425"/>
          <c:h val="0.5555"/>
        </c:manualLayout>
      </c:layout>
      <c:overlay val="0"/>
      <c:spPr>
        <a:solidFill>
          <a:srgbClr val="FFFFFF">
            <a:alpha val="100000"/>
          </a:srgbClr>
        </a:solidFill>
        <a:ln w="3175">
          <a:noFill/>
        </a:ln>
      </c:spPr>
      <c:txPr>
        <a:bodyPr rot="0" spcFirstLastPara="0" vertOverflow="ellipsis" vert="horz" wrap="square" anchor="ctr" anchorCtr="1"/>
        <a:lstStyle/>
        <a:p>
          <a:pPr>
            <a:defRPr lang="zh-CN" sz="11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19625"/>
          <c:y val="0.3"/>
          <c:w val="0.2635"/>
          <c:h val="0.527"/>
        </c:manualLayout>
      </c:layout>
      <c:pieChart>
        <c:varyColors val="1"/>
        <c:ser>
          <c:idx val="0"/>
          <c:order val="0"/>
          <c:tx>
            <c:strRef>
              <c:f>'[20250908作参考：饼状（直方）图绘制方法.xls]三公经费财政拨款支出结构-图7'!$B$8</c:f>
              <c:strCache>
                <c:ptCount val="1"/>
                <c:pt idx="0">
                  <c:v>沐川县审计局2025年“三公”经费财政拨款支出结构图</c:v>
                </c:pt>
              </c:strCache>
            </c:strRef>
          </c:tx>
          <c:spPr>
            <a:solidFill>
              <a:srgbClr val="9999FF">
                <a:alpha val="100000"/>
              </a:srgbClr>
            </a:solidFill>
            <a:ln w="12700">
              <a:solidFill>
                <a:srgbClr val="000000">
                  <a:alpha val="100000"/>
                </a:srgbClr>
              </a:solidFill>
              <a:prstDash val="solid"/>
            </a:ln>
          </c:spPr>
          <c:explosion val="25"/>
          <c:dPt>
            <c:idx val="0"/>
            <c:bubble3D val="0"/>
            <c:explosion val="25"/>
            <c:spPr>
              <a:solidFill>
                <a:srgbClr val="9999FF">
                  <a:alpha val="100000"/>
                </a:srgbClr>
              </a:solidFill>
              <a:ln w="12700">
                <a:solidFill>
                  <a:srgbClr val="000000">
                    <a:alpha val="100000"/>
                  </a:srgbClr>
                </a:solidFill>
                <a:prstDash val="solid"/>
              </a:ln>
            </c:spPr>
          </c:dPt>
          <c:dPt>
            <c:idx val="1"/>
            <c:bubble3D val="0"/>
            <c:explosion val="25"/>
            <c:spPr>
              <a:solidFill>
                <a:srgbClr val="993366">
                  <a:alpha val="100000"/>
                </a:srgbClr>
              </a:solidFill>
              <a:ln w="12700">
                <a:solidFill>
                  <a:srgbClr val="000000">
                    <a:alpha val="100000"/>
                  </a:srgbClr>
                </a:solidFill>
                <a:prstDash val="solid"/>
              </a:ln>
            </c:spPr>
          </c:dPt>
          <c:dPt>
            <c:idx val="2"/>
            <c:bubble3D val="0"/>
            <c:explosion val="25"/>
            <c:spPr>
              <a:solidFill>
                <a:srgbClr val="FFFFCC">
                  <a:alpha val="100000"/>
                </a:srgbClr>
              </a:solidFill>
              <a:ln w="12700">
                <a:solidFill>
                  <a:srgbClr val="000000">
                    <a:alpha val="100000"/>
                  </a:srgbClr>
                </a:solidFill>
                <a:prstDash val="solid"/>
              </a:ln>
            </c:spPr>
          </c:dPt>
          <c:dLbls>
            <c:dLbl>
              <c:idx val="0"/>
              <c:layout/>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'[20250908作参考：饼状（直方）图绘制方法.xls]三公经费财政拨款支出结构-图7'!$A$1:$C$1</c:f>
              <c:strCache>
                <c:ptCount val="3"/>
                <c:pt idx="0">
                  <c:v>因公出国（境）费支出</c:v>
                </c:pt>
                <c:pt idx="1">
                  <c:v>公务用车购置及运行维护费支出</c:v>
                </c:pt>
                <c:pt idx="2">
                  <c:v>公务接待费支出</c:v>
                </c:pt>
              </c:strCache>
            </c:strRef>
          </c:cat>
          <c:val>
            <c:numRef>
              <c:f>'[20250908作参考：饼状（直方）图绘制方法.xls]三公经费财政拨款支出结构-图7'!$A$2:$C$2</c:f>
              <c:numCache>
                <c:formatCode>General</c:formatCode>
                <c:ptCount val="3"/>
                <c:pt idx="0">
                  <c:v>0</c:v>
                </c:pt>
                <c:pt idx="1">
                  <c:v>0</c:v>
                </c:pt>
                <c:pt idx="2">
                  <c:v>0.13</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3"/>
          <c:y val="0.3845"/>
          <c:w val="0.3385"/>
          <c:h val="0.38075"/>
        </c:manualLayout>
      </c:layout>
      <c:overlay val="0"/>
      <c:spPr>
        <a:solidFill>
          <a:srgbClr val="FFFFFF">
            <a:alpha val="100000"/>
          </a:srgbClr>
        </a:solidFill>
        <a:ln w="3175">
          <a:noFill/>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2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Pages>
  <Words>1299</Words>
  <Characters>7410</Characters>
  <Lines>1</Lines>
  <Paragraphs>1</Paragraphs>
  <TotalTime>3</TotalTime>
  <ScaleCrop>false</ScaleCrop>
  <LinksUpToDate>false</LinksUpToDate>
  <CharactersWithSpaces>8692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黄嫒琳</cp:lastModifiedBy>
  <cp:lastPrinted>2026-08-03T09:27:00Z</cp:lastPrinted>
  <dcterms:modified xsi:type="dcterms:W3CDTF">2026-09-22T09:30:32Z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400D301575C74348A5277D00A7902E06</vt:lpwstr>
  </property>
</Properties>
</file>