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rPr>
          <w:rFonts w:hint="eastAsia" w:ascii="Times New Roman" w:hAnsi="Times New Roman" w:eastAsia="方正小标宋简体"/>
          <w:kern w:val="2"/>
          <w:sz w:val="72"/>
          <w:szCs w:val="72"/>
        </w:rPr>
      </w:pPr>
      <w:bookmarkStart w:id="0" w:name="_Toc15377425"/>
      <w:bookmarkStart w:id="1" w:name="_Toc15377193"/>
      <w:bookmarkStart w:id="2" w:name="_Toc15378441"/>
      <w:bookmarkStart w:id="3" w:name="_Toc15306267"/>
      <w:bookmarkStart w:id="4" w:name="_Toc15396475"/>
      <w:bookmarkStart w:id="5" w:name="_Toc15396597"/>
    </w:p>
    <w:p>
      <w:pPr>
        <w:pStyle w:val="5"/>
        <w:rPr>
          <w:rFonts w:ascii="Times New Roman" w:hAnsi="Times New Roman" w:eastAsia="方正小标宋简体"/>
          <w:kern w:val="2"/>
          <w:sz w:val="72"/>
          <w:szCs w:val="72"/>
        </w:rPr>
      </w:pPr>
    </w:p>
    <w:p>
      <w:pPr>
        <w:pStyle w:val="5"/>
        <w:rPr>
          <w:rFonts w:ascii="Times New Roman" w:hAnsi="Times New Roman" w:eastAsia="方正小标宋简体"/>
          <w:kern w:val="2"/>
          <w:sz w:val="72"/>
          <w:szCs w:val="72"/>
        </w:rPr>
      </w:pPr>
    </w:p>
    <w:p>
      <w:pPr>
        <w:pStyle w:val="5"/>
        <w:jc w:val="center"/>
        <w:rPr>
          <w:rFonts w:ascii="Times New Roman" w:hAnsi="Times New Roman" w:eastAsia="方正小标宋简体"/>
          <w:kern w:val="2"/>
          <w:sz w:val="72"/>
          <w:szCs w:val="72"/>
        </w:rPr>
      </w:pPr>
    </w:p>
    <w:p>
      <w:pPr>
        <w:pStyle w:val="5"/>
        <w:ind w:firstLine="0" w:firstLineChars="0"/>
        <w:jc w:val="center"/>
        <w:rPr>
          <w:rFonts w:ascii="Times New Roman" w:hAnsi="Times New Roman" w:eastAsia="方正小标宋简体"/>
          <w:kern w:val="2"/>
          <w:sz w:val="52"/>
          <w:szCs w:val="52"/>
        </w:rPr>
      </w:pPr>
      <w:r>
        <w:rPr>
          <w:rFonts w:hint="eastAsia" w:ascii="Times New Roman" w:eastAsia="方正小标宋简体"/>
          <w:kern w:val="2"/>
          <w:sz w:val="52"/>
          <w:szCs w:val="52"/>
        </w:rPr>
        <w:t>2025年度</w:t>
      </w:r>
      <w:r>
        <w:rPr>
          <w:rFonts w:hint="eastAsia" w:ascii="Times New Roman" w:hAnsi="Times New Roman" w:eastAsia="方正小标宋简体"/>
          <w:kern w:val="2"/>
          <w:sz w:val="52"/>
          <w:szCs w:val="52"/>
        </w:rPr>
        <w:t>沐川县文化广播电视</w:t>
      </w:r>
      <w:r>
        <w:rPr>
          <w:rFonts w:hint="eastAsia" w:ascii="Times New Roman" w:hAnsi="Times New Roman" w:eastAsia="方正小标宋简体"/>
          <w:kern w:val="2"/>
          <w:sz w:val="52"/>
          <w:szCs w:val="52"/>
        </w:rPr>
        <w:br w:type="textWrapping"/>
      </w:r>
      <w:r>
        <w:rPr>
          <w:rFonts w:hint="eastAsia" w:ascii="Times New Roman" w:hAnsi="Times New Roman" w:eastAsia="方正小标宋简体"/>
          <w:kern w:val="2"/>
          <w:sz w:val="52"/>
          <w:szCs w:val="52"/>
        </w:rPr>
        <w:t>体育和旅游局单位决算</w:t>
      </w:r>
    </w:p>
    <w:p>
      <w:pPr>
        <w:spacing w:line="600" w:lineRule="exact"/>
        <w:jc w:val="center"/>
        <w:outlineLvl w:val="0"/>
        <w:rPr>
          <w:rFonts w:eastAsia="方正小标宋简体"/>
          <w:sz w:val="72"/>
          <w:szCs w:val="72"/>
        </w:rPr>
      </w:pPr>
    </w:p>
    <w:p>
      <w:p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bookmarkEnd w:id="0"/>
    <w:bookmarkEnd w:id="1"/>
    <w:bookmarkEnd w:id="2"/>
    <w:bookmarkEnd w:id="3"/>
    <w:bookmarkEnd w:id="4"/>
    <w:bookmarkEnd w:id="5"/>
    <w:p>
      <w:pPr>
        <w:widowControl/>
        <w:jc w:val="center"/>
        <w:rPr>
          <w:rFonts w:eastAsia="黑体"/>
          <w:sz w:val="48"/>
          <w:szCs w:val="48"/>
        </w:rPr>
      </w:pPr>
      <w:r>
        <w:rPr>
          <w:rFonts w:hint="eastAsia" w:eastAsia="黑体"/>
          <w:sz w:val="48"/>
          <w:szCs w:val="48"/>
        </w:rPr>
        <w:t>目录</w:t>
      </w:r>
    </w:p>
    <w:p>
      <w:pPr>
        <w:pStyle w:val="10"/>
        <w:rPr>
          <w:rFonts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公开时间：2026年 9 月 </w:t>
      </w:r>
      <w:r>
        <w:rPr>
          <w:rFonts w:hint="eastAsia" w:ascii="Times New Roman" w:hAnsi="Times New Roman" w:eastAsia="仿宋_GB2312" w:cs="仿宋_GB2312"/>
          <w:sz w:val="32"/>
          <w:szCs w:val="32"/>
          <w:lang w:val="en-US" w:eastAsia="zh-CN"/>
        </w:rPr>
        <w:t>23</w:t>
      </w:r>
      <w:bookmarkStart w:id="90" w:name="_GoBack"/>
      <w:bookmarkEnd w:id="90"/>
      <w:r>
        <w:rPr>
          <w:rFonts w:hint="eastAsia" w:ascii="Times New Roman" w:hAnsi="Times New Roman" w:eastAsia="仿宋_GB2312" w:cs="仿宋_GB2312"/>
          <w:sz w:val="32"/>
          <w:szCs w:val="32"/>
        </w:rPr>
        <w:t xml:space="preserve"> 日</w:t>
      </w:r>
    </w:p>
    <w:sdt>
      <w:sdtPr>
        <w:rPr>
          <w:rFonts w:ascii="宋体" w:hAnsi="宋体"/>
        </w:rPr>
        <w:id w:val="147481191"/>
        <w:docPartObj>
          <w:docPartGallery w:val="Table of Contents"/>
          <w:docPartUnique/>
        </w:docPartObj>
      </w:sdtPr>
      <w:sdtEndPr>
        <w:rPr>
          <w:rFonts w:hint="eastAsia" w:ascii="Times New Roman" w:hAnsi="Times New Roman"/>
        </w:rPr>
      </w:sdtEndPr>
      <w:sdtContent>
        <w:p>
          <w:pPr>
            <w:jc w:val="center"/>
          </w:pPr>
        </w:p>
        <w:p>
          <w:pPr>
            <w:pStyle w:val="10"/>
            <w:tabs>
              <w:tab w:val="right" w:leader="dot" w:pos="8306"/>
              <w:tab w:val="clear" w:pos="8296"/>
            </w:tabs>
            <w:spacing w:line="400" w:lineRule="exact"/>
            <w:jc w:val="both"/>
          </w:pPr>
          <w:r>
            <w:rPr>
              <w:rFonts w:hint="eastAsia" w:ascii="Times New Roman" w:hAnsi="Times New Roman" w:eastAsia="宋体"/>
              <w:sz w:val="21"/>
              <w:szCs w:val="24"/>
            </w:rPr>
            <w:fldChar w:fldCharType="begin"/>
          </w:r>
          <w:r>
            <w:rPr>
              <w:rFonts w:hint="eastAsia" w:ascii="Times New Roman" w:hAnsi="Times New Roman" w:eastAsia="宋体"/>
              <w:sz w:val="21"/>
              <w:szCs w:val="24"/>
            </w:rPr>
            <w:instrText xml:space="preserve">TOC \o "1-2" \h \u </w:instrText>
          </w:r>
          <w:r>
            <w:rPr>
              <w:rFonts w:hint="eastAsia" w:ascii="Times New Roman" w:hAnsi="Times New Roman" w:eastAsia="宋体"/>
              <w:sz w:val="21"/>
              <w:szCs w:val="24"/>
            </w:rPr>
            <w:fldChar w:fldCharType="separate"/>
          </w:r>
          <w:r>
            <w:fldChar w:fldCharType="begin"/>
          </w:r>
          <w:r>
            <w:instrText xml:space="preserve"> HYPERLINK \l "_Toc28242" </w:instrText>
          </w:r>
          <w:r>
            <w:fldChar w:fldCharType="separate"/>
          </w:r>
          <w:r>
            <w:rPr>
              <w:rFonts w:hint="eastAsia" w:ascii="黑体" w:hAnsi="黑体" w:eastAsia="黑体" w:cs="黑体"/>
            </w:rPr>
            <w:t>第一部分  单位概况</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_Toc28242 \h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r>
            <w:rPr>
              <w:rFonts w:hint="eastAsia" w:ascii="黑体" w:hAnsi="黑体" w:eastAsia="黑体" w:cs="黑体"/>
            </w:rPr>
            <w:fldChar w:fldCharType="end"/>
          </w:r>
        </w:p>
        <w:p>
          <w:pPr>
            <w:pStyle w:val="11"/>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"_Toc4212" </w:instrText>
          </w:r>
          <w:r>
            <w:fldChar w:fldCharType="separate"/>
          </w:r>
          <w:r>
            <w:rPr>
              <w:rFonts w:hint="eastAsia" w:ascii="楷体" w:hAnsi="楷体" w:eastAsia="楷体" w:cs="楷体"/>
              <w:sz w:val="24"/>
              <w:szCs w:val="32"/>
            </w:rPr>
            <w:t>一、单位职责</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_Toc4212 \h </w:instrText>
          </w:r>
          <w:r>
            <w:rPr>
              <w:rFonts w:hint="eastAsia" w:ascii="楷体" w:hAnsi="楷体" w:eastAsia="楷体" w:cs="楷体"/>
              <w:sz w:val="24"/>
              <w:szCs w:val="32"/>
            </w:rPr>
            <w:fldChar w:fldCharType="separate"/>
          </w:r>
          <w:r>
            <w:rPr>
              <w:rFonts w:hint="eastAsia" w:ascii="楷体" w:hAnsi="楷体" w:eastAsia="楷体" w:cs="楷体"/>
              <w:sz w:val="24"/>
              <w:szCs w:val="32"/>
            </w:rPr>
            <w:t>1</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1"/>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"_Toc3468" </w:instrText>
          </w:r>
          <w:r>
            <w:fldChar w:fldCharType="separate"/>
          </w:r>
          <w:r>
            <w:rPr>
              <w:rFonts w:hint="eastAsia" w:ascii="楷体" w:hAnsi="楷体" w:eastAsia="楷体" w:cs="楷体"/>
              <w:sz w:val="24"/>
              <w:szCs w:val="32"/>
            </w:rPr>
            <w:t>二、机构设置</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_Toc3468 \h </w:instrText>
          </w:r>
          <w:r>
            <w:rPr>
              <w:rFonts w:hint="eastAsia" w:ascii="楷体" w:hAnsi="楷体" w:eastAsia="楷体" w:cs="楷体"/>
              <w:sz w:val="24"/>
              <w:szCs w:val="32"/>
            </w:rPr>
            <w:fldChar w:fldCharType="separate"/>
          </w:r>
          <w:r>
            <w:rPr>
              <w:rFonts w:hint="eastAsia" w:ascii="楷体" w:hAnsi="楷体" w:eastAsia="楷体" w:cs="楷体"/>
              <w:sz w:val="24"/>
              <w:szCs w:val="32"/>
            </w:rPr>
            <w:t>4</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0"/>
            <w:tabs>
              <w:tab w:val="right" w:leader="dot" w:pos="8306"/>
              <w:tab w:val="clear" w:pos="8296"/>
            </w:tabs>
            <w:spacing w:line="400" w:lineRule="exact"/>
            <w:rPr>
              <w:rFonts w:ascii="黑体" w:hAnsi="黑体" w:eastAsia="黑体" w:cs="黑体"/>
            </w:rPr>
          </w:pPr>
          <w:r>
            <w:fldChar w:fldCharType="begin"/>
          </w:r>
          <w:r>
            <w:instrText xml:space="preserve"> HYPERLINK \l "_Toc3453" </w:instrText>
          </w:r>
          <w:r>
            <w:fldChar w:fldCharType="separate"/>
          </w:r>
          <w:r>
            <w:rPr>
              <w:rFonts w:hint="eastAsia" w:ascii="黑体" w:hAnsi="黑体" w:eastAsia="黑体" w:cs="黑体"/>
            </w:rPr>
            <w:t>第二部分  2025年度单位决算情况说明</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_Toc3453 \h </w:instrText>
          </w:r>
          <w:r>
            <w:rPr>
              <w:rFonts w:hint="eastAsia" w:ascii="黑体" w:hAnsi="黑体" w:eastAsia="黑体" w:cs="黑体"/>
            </w:rPr>
            <w:fldChar w:fldCharType="separate"/>
          </w:r>
          <w:r>
            <w:rPr>
              <w:rFonts w:hint="eastAsia" w:ascii="黑体" w:hAnsi="黑体" w:eastAsia="黑体" w:cs="黑体"/>
            </w:rPr>
            <w:t>5</w:t>
          </w:r>
          <w:r>
            <w:rPr>
              <w:rFonts w:hint="eastAsia" w:ascii="黑体" w:hAnsi="黑体" w:eastAsia="黑体" w:cs="黑体"/>
            </w:rPr>
            <w:fldChar w:fldCharType="end"/>
          </w:r>
          <w:r>
            <w:rPr>
              <w:rFonts w:hint="eastAsia" w:ascii="黑体" w:hAnsi="黑体" w:eastAsia="黑体" w:cs="黑体"/>
            </w:rPr>
            <w:fldChar w:fldCharType="end"/>
          </w:r>
        </w:p>
        <w:p>
          <w:pPr>
            <w:pStyle w:val="11"/>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"_Toc747" </w:instrText>
          </w:r>
          <w:r>
            <w:fldChar w:fldCharType="separate"/>
          </w:r>
          <w:r>
            <w:rPr>
              <w:rFonts w:hint="eastAsia" w:ascii="楷体" w:hAnsi="楷体" w:eastAsia="楷体" w:cs="楷体"/>
              <w:sz w:val="24"/>
              <w:szCs w:val="40"/>
            </w:rPr>
            <w:t>一、收</w:t>
          </w:r>
          <w:r>
            <w:rPr>
              <w:rFonts w:hint="eastAsia" w:ascii="楷体" w:hAnsi="楷体" w:eastAsia="楷体" w:cs="楷体"/>
              <w:bCs/>
              <w:sz w:val="24"/>
              <w:szCs w:val="32"/>
            </w:rPr>
            <w:t>入支出决算总体情况说明</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_Toc747 \h </w:instrText>
          </w:r>
          <w:r>
            <w:rPr>
              <w:rFonts w:hint="eastAsia" w:ascii="楷体" w:hAnsi="楷体" w:eastAsia="楷体" w:cs="楷体"/>
              <w:sz w:val="24"/>
              <w:szCs w:val="32"/>
            </w:rPr>
            <w:fldChar w:fldCharType="separate"/>
          </w:r>
          <w:r>
            <w:rPr>
              <w:rFonts w:hint="eastAsia" w:ascii="楷体" w:hAnsi="楷体" w:eastAsia="楷体" w:cs="楷体"/>
              <w:sz w:val="24"/>
              <w:szCs w:val="32"/>
            </w:rPr>
            <w:t>5</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1"/>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"_Toc29196" </w:instrText>
          </w:r>
          <w:r>
            <w:fldChar w:fldCharType="separate"/>
          </w:r>
          <w:r>
            <w:rPr>
              <w:rFonts w:hint="eastAsia" w:ascii="楷体" w:hAnsi="楷体" w:eastAsia="楷体" w:cs="楷体"/>
              <w:sz w:val="24"/>
              <w:szCs w:val="32"/>
            </w:rPr>
            <w:t>二、收入决算情况说明</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_Toc29196 \h </w:instrText>
          </w:r>
          <w:r>
            <w:rPr>
              <w:rFonts w:hint="eastAsia" w:ascii="楷体" w:hAnsi="楷体" w:eastAsia="楷体" w:cs="楷体"/>
              <w:sz w:val="24"/>
              <w:szCs w:val="32"/>
            </w:rPr>
            <w:fldChar w:fldCharType="separate"/>
          </w:r>
          <w:r>
            <w:rPr>
              <w:rFonts w:hint="eastAsia" w:ascii="楷体" w:hAnsi="楷体" w:eastAsia="楷体" w:cs="楷体"/>
              <w:sz w:val="24"/>
              <w:szCs w:val="32"/>
            </w:rPr>
            <w:t>5</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1"/>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"_Toc26844" </w:instrText>
          </w:r>
          <w:r>
            <w:fldChar w:fldCharType="separate"/>
          </w:r>
          <w:r>
            <w:rPr>
              <w:rFonts w:hint="eastAsia" w:ascii="楷体" w:hAnsi="楷体" w:eastAsia="楷体" w:cs="楷体"/>
              <w:sz w:val="24"/>
              <w:szCs w:val="40"/>
            </w:rPr>
            <w:t>三、支</w:t>
          </w:r>
          <w:r>
            <w:rPr>
              <w:rFonts w:hint="eastAsia" w:ascii="楷体" w:hAnsi="楷体" w:eastAsia="楷体" w:cs="楷体"/>
              <w:bCs/>
              <w:sz w:val="24"/>
              <w:szCs w:val="32"/>
            </w:rPr>
            <w:t>出决算情况说明</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_Toc26844 \h </w:instrText>
          </w:r>
          <w:r>
            <w:rPr>
              <w:rFonts w:hint="eastAsia" w:ascii="楷体" w:hAnsi="楷体" w:eastAsia="楷体" w:cs="楷体"/>
              <w:sz w:val="24"/>
              <w:szCs w:val="32"/>
            </w:rPr>
            <w:fldChar w:fldCharType="separate"/>
          </w:r>
          <w:r>
            <w:rPr>
              <w:rFonts w:hint="eastAsia" w:ascii="楷体" w:hAnsi="楷体" w:eastAsia="楷体" w:cs="楷体"/>
              <w:sz w:val="24"/>
              <w:szCs w:val="32"/>
            </w:rPr>
            <w:t>6</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1"/>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"_Toc24708" </w:instrText>
          </w:r>
          <w:r>
            <w:fldChar w:fldCharType="separate"/>
          </w:r>
          <w:r>
            <w:rPr>
              <w:rFonts w:hint="eastAsia" w:ascii="楷体" w:hAnsi="楷体" w:eastAsia="楷体" w:cs="楷体"/>
              <w:sz w:val="24"/>
              <w:szCs w:val="40"/>
            </w:rPr>
            <w:t>四、财</w:t>
          </w:r>
          <w:r>
            <w:rPr>
              <w:rFonts w:hint="eastAsia" w:ascii="楷体" w:hAnsi="楷体" w:eastAsia="楷体" w:cs="楷体"/>
              <w:bCs/>
              <w:sz w:val="24"/>
              <w:szCs w:val="32"/>
            </w:rPr>
            <w:t>政拨款收入支出决算总体情况说明</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_Toc24708 \h </w:instrText>
          </w:r>
          <w:r>
            <w:rPr>
              <w:rFonts w:hint="eastAsia" w:ascii="楷体" w:hAnsi="楷体" w:eastAsia="楷体" w:cs="楷体"/>
              <w:sz w:val="24"/>
              <w:szCs w:val="32"/>
            </w:rPr>
            <w:fldChar w:fldCharType="separate"/>
          </w:r>
          <w:r>
            <w:rPr>
              <w:rFonts w:hint="eastAsia" w:ascii="楷体" w:hAnsi="楷体" w:eastAsia="楷体" w:cs="楷体"/>
              <w:sz w:val="24"/>
              <w:szCs w:val="32"/>
            </w:rPr>
            <w:t>7</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1"/>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"_Toc11059" </w:instrText>
          </w:r>
          <w:r>
            <w:fldChar w:fldCharType="separate"/>
          </w:r>
          <w:r>
            <w:rPr>
              <w:rFonts w:hint="eastAsia" w:ascii="楷体" w:hAnsi="楷体" w:eastAsia="楷体" w:cs="楷体"/>
              <w:sz w:val="24"/>
              <w:szCs w:val="40"/>
            </w:rPr>
            <w:t>五、一</w:t>
          </w:r>
          <w:r>
            <w:rPr>
              <w:rFonts w:hint="eastAsia" w:ascii="楷体" w:hAnsi="楷体" w:eastAsia="楷体" w:cs="楷体"/>
              <w:bCs/>
              <w:sz w:val="24"/>
              <w:szCs w:val="32"/>
            </w:rPr>
            <w:t>般公共预算财政拨款支出决算情况说明</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_Toc11059 \h </w:instrText>
          </w:r>
          <w:r>
            <w:rPr>
              <w:rFonts w:hint="eastAsia" w:ascii="楷体" w:hAnsi="楷体" w:eastAsia="楷体" w:cs="楷体"/>
              <w:sz w:val="24"/>
              <w:szCs w:val="32"/>
            </w:rPr>
            <w:fldChar w:fldCharType="separate"/>
          </w:r>
          <w:r>
            <w:rPr>
              <w:rFonts w:hint="eastAsia" w:ascii="楷体" w:hAnsi="楷体" w:eastAsia="楷体" w:cs="楷体"/>
              <w:sz w:val="24"/>
              <w:szCs w:val="32"/>
            </w:rPr>
            <w:t>7</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1"/>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"_Toc9317" </w:instrText>
          </w:r>
          <w:r>
            <w:fldChar w:fldCharType="separate"/>
          </w:r>
          <w:r>
            <w:rPr>
              <w:rFonts w:hint="eastAsia" w:ascii="楷体" w:hAnsi="楷体" w:eastAsia="楷体" w:cs="楷体"/>
              <w:sz w:val="24"/>
              <w:szCs w:val="40"/>
            </w:rPr>
            <w:t>六、一</w:t>
          </w:r>
          <w:r>
            <w:rPr>
              <w:rFonts w:hint="eastAsia" w:ascii="楷体" w:hAnsi="楷体" w:eastAsia="楷体" w:cs="楷体"/>
              <w:bCs/>
              <w:sz w:val="24"/>
              <w:szCs w:val="32"/>
            </w:rPr>
            <w:t>般公共预算财政拨款基本支出决算情况说明</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_Toc9317 \h </w:instrText>
          </w:r>
          <w:r>
            <w:rPr>
              <w:rFonts w:hint="eastAsia" w:ascii="楷体" w:hAnsi="楷体" w:eastAsia="楷体" w:cs="楷体"/>
              <w:sz w:val="24"/>
              <w:szCs w:val="32"/>
            </w:rPr>
            <w:fldChar w:fldCharType="separate"/>
          </w:r>
          <w:r>
            <w:rPr>
              <w:rFonts w:hint="eastAsia" w:ascii="楷体" w:hAnsi="楷体" w:eastAsia="楷体" w:cs="楷体"/>
              <w:sz w:val="24"/>
              <w:szCs w:val="32"/>
            </w:rPr>
            <w:t>10</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1"/>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"_Toc8833" </w:instrText>
          </w:r>
          <w:r>
            <w:fldChar w:fldCharType="separate"/>
          </w:r>
          <w:r>
            <w:rPr>
              <w:rFonts w:hint="eastAsia" w:ascii="楷体" w:hAnsi="楷体" w:eastAsia="楷体" w:cs="楷体"/>
              <w:sz w:val="24"/>
              <w:szCs w:val="40"/>
            </w:rPr>
            <w:t>七、</w:t>
          </w:r>
          <w:r>
            <w:rPr>
              <w:rFonts w:hint="eastAsia" w:ascii="楷体" w:hAnsi="楷体" w:eastAsia="楷体" w:cs="楷体"/>
              <w:bCs/>
              <w:sz w:val="24"/>
              <w:szCs w:val="32"/>
            </w:rPr>
            <w:t>财政拨款“三公”经费支出决算情况说明</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_Toc8833 \h </w:instrText>
          </w:r>
          <w:r>
            <w:rPr>
              <w:rFonts w:hint="eastAsia" w:ascii="楷体" w:hAnsi="楷体" w:eastAsia="楷体" w:cs="楷体"/>
              <w:sz w:val="24"/>
              <w:szCs w:val="32"/>
            </w:rPr>
            <w:fldChar w:fldCharType="separate"/>
          </w:r>
          <w:r>
            <w:rPr>
              <w:rFonts w:hint="eastAsia" w:ascii="楷体" w:hAnsi="楷体" w:eastAsia="楷体" w:cs="楷体"/>
              <w:sz w:val="24"/>
              <w:szCs w:val="32"/>
            </w:rPr>
            <w:t>11</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1"/>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"_Toc19136" </w:instrText>
          </w:r>
          <w:r>
            <w:fldChar w:fldCharType="separate"/>
          </w:r>
          <w:r>
            <w:rPr>
              <w:rFonts w:hint="eastAsia" w:ascii="楷体" w:hAnsi="楷体" w:eastAsia="楷体" w:cs="楷体"/>
              <w:sz w:val="24"/>
              <w:szCs w:val="40"/>
            </w:rPr>
            <w:t>八、</w:t>
          </w:r>
          <w:r>
            <w:rPr>
              <w:rFonts w:hint="eastAsia" w:ascii="楷体" w:hAnsi="楷体" w:eastAsia="楷体" w:cs="楷体"/>
              <w:bCs/>
              <w:sz w:val="24"/>
              <w:szCs w:val="32"/>
            </w:rPr>
            <w:t>政府性基金预算支出决算情况说明</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_Toc19136 \h </w:instrText>
          </w:r>
          <w:r>
            <w:rPr>
              <w:rFonts w:hint="eastAsia" w:ascii="楷体" w:hAnsi="楷体" w:eastAsia="楷体" w:cs="楷体"/>
              <w:sz w:val="24"/>
              <w:szCs w:val="32"/>
            </w:rPr>
            <w:fldChar w:fldCharType="separate"/>
          </w:r>
          <w:r>
            <w:rPr>
              <w:rFonts w:hint="eastAsia" w:ascii="楷体" w:hAnsi="楷体" w:eastAsia="楷体" w:cs="楷体"/>
              <w:sz w:val="24"/>
              <w:szCs w:val="32"/>
            </w:rPr>
            <w:t>13</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1"/>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"_Toc2873" </w:instrText>
          </w:r>
          <w:r>
            <w:fldChar w:fldCharType="separate"/>
          </w:r>
          <w:r>
            <w:rPr>
              <w:rFonts w:hint="eastAsia" w:ascii="楷体" w:hAnsi="楷体" w:eastAsia="楷体" w:cs="楷体"/>
              <w:bCs/>
              <w:sz w:val="24"/>
              <w:szCs w:val="32"/>
            </w:rPr>
            <w:t>九、国有资本经营预算支出决算情况说明</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_Toc2873 \h </w:instrText>
          </w:r>
          <w:r>
            <w:rPr>
              <w:rFonts w:hint="eastAsia" w:ascii="楷体" w:hAnsi="楷体" w:eastAsia="楷体" w:cs="楷体"/>
              <w:sz w:val="24"/>
              <w:szCs w:val="32"/>
            </w:rPr>
            <w:fldChar w:fldCharType="separate"/>
          </w:r>
          <w:r>
            <w:rPr>
              <w:rFonts w:hint="eastAsia" w:ascii="楷体" w:hAnsi="楷体" w:eastAsia="楷体" w:cs="楷体"/>
              <w:sz w:val="24"/>
              <w:szCs w:val="32"/>
            </w:rPr>
            <w:t>13</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1"/>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"_Toc31582" </w:instrText>
          </w:r>
          <w:r>
            <w:fldChar w:fldCharType="separate"/>
          </w:r>
          <w:r>
            <w:rPr>
              <w:rFonts w:hint="eastAsia" w:ascii="楷体" w:hAnsi="楷体" w:eastAsia="楷体" w:cs="楷体"/>
              <w:bCs/>
              <w:sz w:val="24"/>
              <w:szCs w:val="32"/>
            </w:rPr>
            <w:t>十、其他重要事项的情况说明</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_Toc31582 \h </w:instrText>
          </w:r>
          <w:r>
            <w:rPr>
              <w:rFonts w:hint="eastAsia" w:ascii="楷体" w:hAnsi="楷体" w:eastAsia="楷体" w:cs="楷体"/>
              <w:sz w:val="24"/>
              <w:szCs w:val="32"/>
            </w:rPr>
            <w:fldChar w:fldCharType="separate"/>
          </w:r>
          <w:r>
            <w:rPr>
              <w:rFonts w:hint="eastAsia" w:ascii="楷体" w:hAnsi="楷体" w:eastAsia="楷体" w:cs="楷体"/>
              <w:sz w:val="24"/>
              <w:szCs w:val="32"/>
            </w:rPr>
            <w:t>13</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0"/>
            <w:tabs>
              <w:tab w:val="right" w:leader="dot" w:pos="8306"/>
              <w:tab w:val="clear" w:pos="8296"/>
            </w:tabs>
            <w:spacing w:line="400" w:lineRule="exact"/>
            <w:rPr>
              <w:rFonts w:ascii="黑体" w:hAnsi="黑体" w:eastAsia="黑体" w:cs="黑体"/>
            </w:rPr>
          </w:pPr>
          <w:r>
            <w:fldChar w:fldCharType="begin"/>
          </w:r>
          <w:r>
            <w:instrText xml:space="preserve"> HYPERLINK \l "_Toc16051" </w:instrText>
          </w:r>
          <w:r>
            <w:fldChar w:fldCharType="separate"/>
          </w:r>
          <w:r>
            <w:rPr>
              <w:rFonts w:hint="eastAsia" w:ascii="黑体" w:hAnsi="黑体" w:eastAsia="黑体" w:cs="黑体"/>
            </w:rPr>
            <w:t>第三部分  名词解释</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_Toc16051 \h </w:instrText>
          </w:r>
          <w:r>
            <w:rPr>
              <w:rFonts w:hint="eastAsia" w:ascii="黑体" w:hAnsi="黑体" w:eastAsia="黑体" w:cs="黑体"/>
            </w:rPr>
            <w:fldChar w:fldCharType="separate"/>
          </w:r>
          <w:r>
            <w:rPr>
              <w:rFonts w:hint="eastAsia" w:ascii="黑体" w:hAnsi="黑体" w:eastAsia="黑体" w:cs="黑体"/>
            </w:rPr>
            <w:t>15</w:t>
          </w:r>
          <w:r>
            <w:rPr>
              <w:rFonts w:hint="eastAsia" w:ascii="黑体" w:hAnsi="黑体" w:eastAsia="黑体" w:cs="黑体"/>
            </w:rPr>
            <w:fldChar w:fldCharType="end"/>
          </w:r>
          <w:r>
            <w:rPr>
              <w:rFonts w:hint="eastAsia" w:ascii="黑体" w:hAnsi="黑体" w:eastAsia="黑体" w:cs="黑体"/>
            </w:rPr>
            <w:fldChar w:fldCharType="end"/>
          </w:r>
        </w:p>
        <w:p>
          <w:pPr>
            <w:pStyle w:val="10"/>
            <w:tabs>
              <w:tab w:val="right" w:leader="dot" w:pos="8306"/>
              <w:tab w:val="clear" w:pos="8296"/>
            </w:tabs>
            <w:spacing w:line="400" w:lineRule="exact"/>
            <w:rPr>
              <w:rFonts w:ascii="黑体" w:hAnsi="黑体" w:eastAsia="黑体" w:cs="黑体"/>
            </w:rPr>
          </w:pPr>
          <w:r>
            <w:fldChar w:fldCharType="begin"/>
          </w:r>
          <w:r>
            <w:instrText xml:space="preserve"> HYPERLINK \l "_Toc30" </w:instrText>
          </w:r>
          <w:r>
            <w:fldChar w:fldCharType="separate"/>
          </w:r>
          <w:r>
            <w:rPr>
              <w:rFonts w:hint="eastAsia" w:ascii="黑体" w:hAnsi="黑体" w:eastAsia="黑体" w:cs="黑体"/>
              <w:bCs/>
            </w:rPr>
            <w:t>第四部分 附件</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_Toc30 \h </w:instrText>
          </w:r>
          <w:r>
            <w:rPr>
              <w:rFonts w:hint="eastAsia" w:ascii="黑体" w:hAnsi="黑体" w:eastAsia="黑体" w:cs="黑体"/>
            </w:rPr>
            <w:fldChar w:fldCharType="separate"/>
          </w:r>
          <w:r>
            <w:rPr>
              <w:rFonts w:hint="eastAsia" w:ascii="黑体" w:hAnsi="黑体" w:eastAsia="黑体" w:cs="黑体"/>
            </w:rPr>
            <w:t>20</w:t>
          </w:r>
          <w:r>
            <w:rPr>
              <w:rFonts w:hint="eastAsia" w:ascii="黑体" w:hAnsi="黑体" w:eastAsia="黑体" w:cs="黑体"/>
            </w:rPr>
            <w:fldChar w:fldCharType="end"/>
          </w:r>
          <w:r>
            <w:rPr>
              <w:rFonts w:hint="eastAsia" w:ascii="黑体" w:hAnsi="黑体" w:eastAsia="黑体" w:cs="黑体"/>
            </w:rPr>
            <w:fldChar w:fldCharType="end"/>
          </w:r>
        </w:p>
        <w:p>
          <w:pPr>
            <w:pStyle w:val="10"/>
            <w:tabs>
              <w:tab w:val="right" w:leader="dot" w:pos="8306"/>
              <w:tab w:val="clear" w:pos="8296"/>
            </w:tabs>
            <w:spacing w:line="400" w:lineRule="exact"/>
            <w:rPr>
              <w:rFonts w:ascii="黑体" w:hAnsi="黑体" w:eastAsia="黑体" w:cs="黑体"/>
            </w:rPr>
          </w:pPr>
          <w:r>
            <w:fldChar w:fldCharType="begin"/>
          </w:r>
          <w:r>
            <w:instrText xml:space="preserve"> HYPERLINK \l "_Toc1421" </w:instrText>
          </w:r>
          <w:r>
            <w:fldChar w:fldCharType="separate"/>
          </w:r>
          <w:r>
            <w:rPr>
              <w:rFonts w:hint="eastAsia" w:ascii="黑体" w:hAnsi="黑体" w:eastAsia="黑体" w:cs="黑体"/>
            </w:rPr>
            <w:t>第五部分 附表</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_Toc1421 \h </w:instrText>
          </w:r>
          <w:r>
            <w:rPr>
              <w:rFonts w:hint="eastAsia" w:ascii="黑体" w:hAnsi="黑体" w:eastAsia="黑体" w:cs="黑体"/>
            </w:rPr>
            <w:fldChar w:fldCharType="separate"/>
          </w:r>
          <w:r>
            <w:rPr>
              <w:rFonts w:hint="eastAsia" w:ascii="黑体" w:hAnsi="黑体" w:eastAsia="黑体" w:cs="黑体"/>
            </w:rPr>
            <w:t>23</w:t>
          </w:r>
          <w:r>
            <w:rPr>
              <w:rFonts w:hint="eastAsia" w:ascii="黑体" w:hAnsi="黑体" w:eastAsia="黑体" w:cs="黑体"/>
            </w:rPr>
            <w:fldChar w:fldCharType="end"/>
          </w:r>
          <w:r>
            <w:rPr>
              <w:rFonts w:hint="eastAsia" w:ascii="黑体" w:hAnsi="黑体" w:eastAsia="黑体" w:cs="黑体"/>
            </w:rPr>
            <w:fldChar w:fldCharType="end"/>
          </w:r>
        </w:p>
        <w:p>
          <w:pPr>
            <w:pStyle w:val="11"/>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"_Toc5211" </w:instrText>
          </w:r>
          <w:r>
            <w:fldChar w:fldCharType="separate"/>
          </w:r>
          <w:r>
            <w:rPr>
              <w:rFonts w:hint="eastAsia" w:ascii="楷体" w:hAnsi="楷体" w:eastAsia="楷体" w:cs="楷体"/>
              <w:sz w:val="24"/>
              <w:szCs w:val="32"/>
            </w:rPr>
            <w:t>一、收入支出决算总表</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_Toc5211 \h </w:instrText>
          </w:r>
          <w:r>
            <w:rPr>
              <w:rFonts w:hint="eastAsia" w:ascii="楷体" w:hAnsi="楷体" w:eastAsia="楷体" w:cs="楷体"/>
              <w:sz w:val="24"/>
              <w:szCs w:val="32"/>
            </w:rPr>
            <w:fldChar w:fldCharType="separate"/>
          </w:r>
          <w:r>
            <w:rPr>
              <w:rFonts w:hint="eastAsia" w:ascii="楷体" w:hAnsi="楷体" w:eastAsia="楷体" w:cs="楷体"/>
              <w:sz w:val="24"/>
              <w:szCs w:val="32"/>
            </w:rPr>
            <w:t>23</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1"/>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"_Toc22030" </w:instrText>
          </w:r>
          <w:r>
            <w:fldChar w:fldCharType="separate"/>
          </w:r>
          <w:r>
            <w:rPr>
              <w:rFonts w:hint="eastAsia" w:ascii="楷体" w:hAnsi="楷体" w:eastAsia="楷体" w:cs="楷体"/>
              <w:sz w:val="24"/>
              <w:szCs w:val="32"/>
            </w:rPr>
            <w:t>二、收入决算表</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_Toc22030 \h </w:instrText>
          </w:r>
          <w:r>
            <w:rPr>
              <w:rFonts w:hint="eastAsia" w:ascii="楷体" w:hAnsi="楷体" w:eastAsia="楷体" w:cs="楷体"/>
              <w:sz w:val="24"/>
              <w:szCs w:val="32"/>
            </w:rPr>
            <w:fldChar w:fldCharType="separate"/>
          </w:r>
          <w:r>
            <w:rPr>
              <w:rFonts w:hint="eastAsia" w:ascii="楷体" w:hAnsi="楷体" w:eastAsia="楷体" w:cs="楷体"/>
              <w:sz w:val="24"/>
              <w:szCs w:val="32"/>
            </w:rPr>
            <w:t>23</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1"/>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"_Toc9298" </w:instrText>
          </w:r>
          <w:r>
            <w:fldChar w:fldCharType="separate"/>
          </w:r>
          <w:r>
            <w:rPr>
              <w:rFonts w:hint="eastAsia" w:ascii="楷体" w:hAnsi="楷体" w:eastAsia="楷体" w:cs="楷体"/>
              <w:sz w:val="24"/>
              <w:szCs w:val="32"/>
            </w:rPr>
            <w:t>三、支出决算表</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_Toc9298 \h </w:instrText>
          </w:r>
          <w:r>
            <w:rPr>
              <w:rFonts w:hint="eastAsia" w:ascii="楷体" w:hAnsi="楷体" w:eastAsia="楷体" w:cs="楷体"/>
              <w:sz w:val="24"/>
              <w:szCs w:val="32"/>
            </w:rPr>
            <w:fldChar w:fldCharType="separate"/>
          </w:r>
          <w:r>
            <w:rPr>
              <w:rFonts w:hint="eastAsia" w:ascii="楷体" w:hAnsi="楷体" w:eastAsia="楷体" w:cs="楷体"/>
              <w:sz w:val="24"/>
              <w:szCs w:val="32"/>
            </w:rPr>
            <w:t>23</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1"/>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"_Toc9822" </w:instrText>
          </w:r>
          <w:r>
            <w:fldChar w:fldCharType="separate"/>
          </w:r>
          <w:r>
            <w:rPr>
              <w:rFonts w:hint="eastAsia" w:ascii="楷体" w:hAnsi="楷体" w:eastAsia="楷体" w:cs="楷体"/>
              <w:sz w:val="24"/>
              <w:szCs w:val="32"/>
            </w:rPr>
            <w:t>四、财政拨款收入支出决算总表</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_Toc9822 \h </w:instrText>
          </w:r>
          <w:r>
            <w:rPr>
              <w:rFonts w:hint="eastAsia" w:ascii="楷体" w:hAnsi="楷体" w:eastAsia="楷体" w:cs="楷体"/>
              <w:sz w:val="24"/>
              <w:szCs w:val="32"/>
            </w:rPr>
            <w:fldChar w:fldCharType="separate"/>
          </w:r>
          <w:r>
            <w:rPr>
              <w:rFonts w:hint="eastAsia" w:ascii="楷体" w:hAnsi="楷体" w:eastAsia="楷体" w:cs="楷体"/>
              <w:sz w:val="24"/>
              <w:szCs w:val="32"/>
            </w:rPr>
            <w:t>23</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1"/>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"_Toc9439" </w:instrText>
          </w:r>
          <w:r>
            <w:fldChar w:fldCharType="separate"/>
          </w:r>
          <w:r>
            <w:rPr>
              <w:rFonts w:hint="eastAsia" w:ascii="楷体" w:hAnsi="楷体" w:eastAsia="楷体" w:cs="楷体"/>
              <w:sz w:val="24"/>
              <w:szCs w:val="32"/>
            </w:rPr>
            <w:t>五、财政拨款支出决算明细表</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_Toc9439 \h </w:instrText>
          </w:r>
          <w:r>
            <w:rPr>
              <w:rFonts w:hint="eastAsia" w:ascii="楷体" w:hAnsi="楷体" w:eastAsia="楷体" w:cs="楷体"/>
              <w:sz w:val="24"/>
              <w:szCs w:val="32"/>
            </w:rPr>
            <w:fldChar w:fldCharType="separate"/>
          </w:r>
          <w:r>
            <w:rPr>
              <w:rFonts w:hint="eastAsia" w:ascii="楷体" w:hAnsi="楷体" w:eastAsia="楷体" w:cs="楷体"/>
              <w:sz w:val="24"/>
              <w:szCs w:val="32"/>
            </w:rPr>
            <w:t>23</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1"/>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"_Toc31196" </w:instrText>
          </w:r>
          <w:r>
            <w:fldChar w:fldCharType="separate"/>
          </w:r>
          <w:r>
            <w:rPr>
              <w:rFonts w:hint="eastAsia" w:ascii="楷体" w:hAnsi="楷体" w:eastAsia="楷体" w:cs="楷体"/>
              <w:sz w:val="24"/>
              <w:szCs w:val="32"/>
            </w:rPr>
            <w:t>六、一般公共预算财政拨款支出决算表</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_Toc31196 \h </w:instrText>
          </w:r>
          <w:r>
            <w:rPr>
              <w:rFonts w:hint="eastAsia" w:ascii="楷体" w:hAnsi="楷体" w:eastAsia="楷体" w:cs="楷体"/>
              <w:sz w:val="24"/>
              <w:szCs w:val="32"/>
            </w:rPr>
            <w:fldChar w:fldCharType="separate"/>
          </w:r>
          <w:r>
            <w:rPr>
              <w:rFonts w:hint="eastAsia" w:ascii="楷体" w:hAnsi="楷体" w:eastAsia="楷体" w:cs="楷体"/>
              <w:sz w:val="24"/>
              <w:szCs w:val="32"/>
            </w:rPr>
            <w:t>23</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1"/>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"_Toc11793" </w:instrText>
          </w:r>
          <w:r>
            <w:fldChar w:fldCharType="separate"/>
          </w:r>
          <w:r>
            <w:rPr>
              <w:rFonts w:hint="eastAsia" w:ascii="楷体" w:hAnsi="楷体" w:eastAsia="楷体" w:cs="楷体"/>
              <w:sz w:val="24"/>
              <w:szCs w:val="32"/>
            </w:rPr>
            <w:t>七、一般公共预算财政拨款支出决算明细表</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_Toc11793 \h </w:instrText>
          </w:r>
          <w:r>
            <w:rPr>
              <w:rFonts w:hint="eastAsia" w:ascii="楷体" w:hAnsi="楷体" w:eastAsia="楷体" w:cs="楷体"/>
              <w:sz w:val="24"/>
              <w:szCs w:val="32"/>
            </w:rPr>
            <w:fldChar w:fldCharType="separate"/>
          </w:r>
          <w:r>
            <w:rPr>
              <w:rFonts w:hint="eastAsia" w:ascii="楷体" w:hAnsi="楷体" w:eastAsia="楷体" w:cs="楷体"/>
              <w:sz w:val="24"/>
              <w:szCs w:val="32"/>
            </w:rPr>
            <w:t>23</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1"/>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"_Toc18912" </w:instrText>
          </w:r>
          <w:r>
            <w:fldChar w:fldCharType="separate"/>
          </w:r>
          <w:r>
            <w:rPr>
              <w:rFonts w:hint="eastAsia" w:ascii="楷体" w:hAnsi="楷体" w:eastAsia="楷体" w:cs="楷体"/>
              <w:sz w:val="24"/>
              <w:szCs w:val="32"/>
            </w:rPr>
            <w:t>八、一般公共预算财政拨款基本支出决算表</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_Toc18912 \h </w:instrText>
          </w:r>
          <w:r>
            <w:rPr>
              <w:rFonts w:hint="eastAsia" w:ascii="楷体" w:hAnsi="楷体" w:eastAsia="楷体" w:cs="楷体"/>
              <w:sz w:val="24"/>
              <w:szCs w:val="32"/>
            </w:rPr>
            <w:fldChar w:fldCharType="separate"/>
          </w:r>
          <w:r>
            <w:rPr>
              <w:rFonts w:hint="eastAsia" w:ascii="楷体" w:hAnsi="楷体" w:eastAsia="楷体" w:cs="楷体"/>
              <w:sz w:val="24"/>
              <w:szCs w:val="32"/>
            </w:rPr>
            <w:t>23</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1"/>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"_Toc5982" </w:instrText>
          </w:r>
          <w:r>
            <w:fldChar w:fldCharType="separate"/>
          </w:r>
          <w:r>
            <w:rPr>
              <w:rFonts w:hint="eastAsia" w:ascii="楷体" w:hAnsi="楷体" w:eastAsia="楷体" w:cs="楷体"/>
              <w:sz w:val="24"/>
              <w:szCs w:val="32"/>
            </w:rPr>
            <w:t>九、一般公共预算财政拨款项目支出决算表</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_Toc5982 \h </w:instrText>
          </w:r>
          <w:r>
            <w:rPr>
              <w:rFonts w:hint="eastAsia" w:ascii="楷体" w:hAnsi="楷体" w:eastAsia="楷体" w:cs="楷体"/>
              <w:sz w:val="24"/>
              <w:szCs w:val="32"/>
            </w:rPr>
            <w:fldChar w:fldCharType="separate"/>
          </w:r>
          <w:r>
            <w:rPr>
              <w:rFonts w:hint="eastAsia" w:ascii="楷体" w:hAnsi="楷体" w:eastAsia="楷体" w:cs="楷体"/>
              <w:sz w:val="24"/>
              <w:szCs w:val="32"/>
            </w:rPr>
            <w:t>23</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1"/>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"_Toc11671" </w:instrText>
          </w:r>
          <w:r>
            <w:fldChar w:fldCharType="separate"/>
          </w:r>
          <w:r>
            <w:rPr>
              <w:rFonts w:hint="eastAsia" w:ascii="楷体" w:hAnsi="楷体" w:eastAsia="楷体" w:cs="楷体"/>
              <w:sz w:val="24"/>
              <w:szCs w:val="32"/>
            </w:rPr>
            <w:t>十、政府性基金预算财政拨款收入支出决算表</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_Toc11671 \h </w:instrText>
          </w:r>
          <w:r>
            <w:rPr>
              <w:rFonts w:hint="eastAsia" w:ascii="楷体" w:hAnsi="楷体" w:eastAsia="楷体" w:cs="楷体"/>
              <w:sz w:val="24"/>
              <w:szCs w:val="32"/>
            </w:rPr>
            <w:fldChar w:fldCharType="separate"/>
          </w:r>
          <w:r>
            <w:rPr>
              <w:rFonts w:hint="eastAsia" w:ascii="楷体" w:hAnsi="楷体" w:eastAsia="楷体" w:cs="楷体"/>
              <w:sz w:val="24"/>
              <w:szCs w:val="32"/>
            </w:rPr>
            <w:t>23</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1"/>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"_Toc2689" </w:instrText>
          </w:r>
          <w:r>
            <w:fldChar w:fldCharType="separate"/>
          </w:r>
          <w:r>
            <w:rPr>
              <w:rFonts w:hint="eastAsia" w:ascii="楷体" w:hAnsi="楷体" w:eastAsia="楷体" w:cs="楷体"/>
              <w:sz w:val="24"/>
              <w:szCs w:val="32"/>
            </w:rPr>
            <w:t>十一、国有资本经营预算财政拨款收入支出决算表</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_Toc2689 \h </w:instrText>
          </w:r>
          <w:r>
            <w:rPr>
              <w:rFonts w:hint="eastAsia" w:ascii="楷体" w:hAnsi="楷体" w:eastAsia="楷体" w:cs="楷体"/>
              <w:sz w:val="24"/>
              <w:szCs w:val="32"/>
            </w:rPr>
            <w:fldChar w:fldCharType="separate"/>
          </w:r>
          <w:r>
            <w:rPr>
              <w:rFonts w:hint="eastAsia" w:ascii="楷体" w:hAnsi="楷体" w:eastAsia="楷体" w:cs="楷体"/>
              <w:sz w:val="24"/>
              <w:szCs w:val="32"/>
            </w:rPr>
            <w:t>23</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1"/>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"_Toc496" </w:instrText>
          </w:r>
          <w:r>
            <w:fldChar w:fldCharType="separate"/>
          </w:r>
          <w:r>
            <w:rPr>
              <w:rFonts w:hint="eastAsia" w:ascii="楷体" w:hAnsi="楷体" w:eastAsia="楷体" w:cs="楷体"/>
              <w:sz w:val="24"/>
              <w:szCs w:val="32"/>
            </w:rPr>
            <w:t>十二、国有资本经营预算财政拨款支出决算表</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_Toc496 \h </w:instrText>
          </w:r>
          <w:r>
            <w:rPr>
              <w:rFonts w:hint="eastAsia" w:ascii="楷体" w:hAnsi="楷体" w:eastAsia="楷体" w:cs="楷体"/>
              <w:sz w:val="24"/>
              <w:szCs w:val="32"/>
            </w:rPr>
            <w:fldChar w:fldCharType="separate"/>
          </w:r>
          <w:r>
            <w:rPr>
              <w:rFonts w:hint="eastAsia" w:ascii="楷体" w:hAnsi="楷体" w:eastAsia="楷体" w:cs="楷体"/>
              <w:sz w:val="24"/>
              <w:szCs w:val="32"/>
            </w:rPr>
            <w:t>23</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pStyle w:val="11"/>
            <w:tabs>
              <w:tab w:val="right" w:leader="dot" w:pos="8306"/>
              <w:tab w:val="clear" w:pos="8296"/>
            </w:tabs>
            <w:spacing w:line="400" w:lineRule="exact"/>
            <w:rPr>
              <w:rFonts w:ascii="楷体" w:hAnsi="楷体" w:eastAsia="楷体" w:cs="楷体"/>
              <w:sz w:val="24"/>
              <w:szCs w:val="32"/>
            </w:rPr>
          </w:pPr>
          <w:r>
            <w:fldChar w:fldCharType="begin"/>
          </w:r>
          <w:r>
            <w:instrText xml:space="preserve"> HYPERLINK \l "_Toc27212" </w:instrText>
          </w:r>
          <w:r>
            <w:fldChar w:fldCharType="separate"/>
          </w:r>
          <w:r>
            <w:rPr>
              <w:rFonts w:hint="eastAsia" w:ascii="楷体" w:hAnsi="楷体" w:eastAsia="楷体" w:cs="楷体"/>
              <w:sz w:val="24"/>
              <w:szCs w:val="32"/>
            </w:rPr>
            <w:t>十三、财政拨款“三公”经费支出决算表</w:t>
          </w:r>
          <w:r>
            <w:rPr>
              <w:rFonts w:hint="eastAsia" w:ascii="楷体" w:hAnsi="楷体" w:eastAsia="楷体" w:cs="楷体"/>
              <w:sz w:val="24"/>
              <w:szCs w:val="32"/>
            </w:rPr>
            <w:tab/>
          </w:r>
          <w:r>
            <w:rPr>
              <w:rFonts w:hint="eastAsia" w:ascii="楷体" w:hAnsi="楷体" w:eastAsia="楷体" w:cs="楷体"/>
              <w:sz w:val="24"/>
              <w:szCs w:val="32"/>
            </w:rPr>
            <w:fldChar w:fldCharType="begin"/>
          </w:r>
          <w:r>
            <w:rPr>
              <w:rFonts w:hint="eastAsia" w:ascii="楷体" w:hAnsi="楷体" w:eastAsia="楷体" w:cs="楷体"/>
              <w:sz w:val="24"/>
              <w:szCs w:val="32"/>
            </w:rPr>
            <w:instrText xml:space="preserve"> PAGEREF _Toc27212 \h </w:instrText>
          </w:r>
          <w:r>
            <w:rPr>
              <w:rFonts w:hint="eastAsia" w:ascii="楷体" w:hAnsi="楷体" w:eastAsia="楷体" w:cs="楷体"/>
              <w:sz w:val="24"/>
              <w:szCs w:val="32"/>
            </w:rPr>
            <w:fldChar w:fldCharType="separate"/>
          </w:r>
          <w:r>
            <w:rPr>
              <w:rFonts w:hint="eastAsia" w:ascii="楷体" w:hAnsi="楷体" w:eastAsia="楷体" w:cs="楷体"/>
              <w:sz w:val="24"/>
              <w:szCs w:val="32"/>
            </w:rPr>
            <w:t>23</w:t>
          </w:r>
          <w:r>
            <w:rPr>
              <w:rFonts w:hint="eastAsia" w:ascii="楷体" w:hAnsi="楷体" w:eastAsia="楷体" w:cs="楷体"/>
              <w:sz w:val="24"/>
              <w:szCs w:val="32"/>
            </w:rPr>
            <w:fldChar w:fldCharType="end"/>
          </w:r>
          <w:r>
            <w:rPr>
              <w:rFonts w:hint="eastAsia" w:ascii="楷体" w:hAnsi="楷体" w:eastAsia="楷体" w:cs="楷体"/>
              <w:sz w:val="24"/>
              <w:szCs w:val="32"/>
            </w:rPr>
            <w:fldChar w:fldCharType="end"/>
          </w:r>
        </w:p>
        <w:p>
          <w:pPr>
            <w:spacing w:line="400" w:lineRule="exact"/>
            <w:sectPr>
              <w:footerReference r:id="rId5" w:type="default"/>
              <w:pgSz w:w="11906" w:h="16838"/>
              <w:pgMar w:top="873" w:right="1800" w:bottom="703" w:left="1800" w:header="851" w:footer="992" w:gutter="0"/>
              <w:pgNumType w:start="1"/>
              <w:cols w:space="0" w:num="1"/>
              <w:docGrid w:type="lines" w:linePitch="312" w:charSpace="0"/>
            </w:sectPr>
          </w:pPr>
        </w:p>
        <w:p>
          <w:pPr>
            <w:spacing w:line="400" w:lineRule="exact"/>
          </w:pPr>
          <w:r>
            <w:rPr>
              <w:rFonts w:hint="eastAsia"/>
            </w:rPr>
            <w:fldChar w:fldCharType="end"/>
          </w:r>
        </w:p>
      </w:sdtContent>
    </w:sdt>
    <w:p>
      <w:pPr>
        <w:pStyle w:val="2"/>
        <w:rPr>
          <w:rStyle w:val="19"/>
          <w:rFonts w:ascii="Times New Roman" w:hAnsi="Times New Roman" w:eastAsia="方正小标宋简体" w:cs="方正小标宋简体"/>
          <w:b/>
          <w:bCs w:val="0"/>
        </w:rPr>
      </w:pPr>
      <w:bookmarkStart w:id="6" w:name="_Toc28242"/>
      <w:r>
        <w:rPr>
          <w:rFonts w:hint="eastAsia" w:ascii="Times New Roman" w:hAnsi="Times New Roman" w:eastAsia="方正小标宋简体" w:cs="方正小标宋简体"/>
          <w:b w:val="0"/>
        </w:rPr>
        <w:t xml:space="preserve">第一部分  </w:t>
      </w:r>
      <w:r>
        <w:rPr>
          <w:rStyle w:val="19"/>
          <w:rFonts w:hint="eastAsia" w:eastAsia="方正小标宋简体" w:cs="方正小标宋简体"/>
          <w:b w:val="0"/>
          <w:bCs w:val="0"/>
        </w:rPr>
        <w:t>单位</w:t>
      </w:r>
      <w:r>
        <w:rPr>
          <w:rStyle w:val="19"/>
          <w:rFonts w:hint="eastAsia" w:ascii="Times New Roman" w:hAnsi="Times New Roman" w:eastAsia="方正小标宋简体" w:cs="方正小标宋简体"/>
          <w:b w:val="0"/>
          <w:bCs w:val="0"/>
        </w:rPr>
        <w:t>概况</w:t>
      </w:r>
      <w:bookmarkEnd w:id="6"/>
    </w:p>
    <w:p>
      <w:pPr>
        <w:pStyle w:val="3"/>
        <w:numPr>
          <w:ilvl w:val="0"/>
          <w:numId w:val="1"/>
        </w:numPr>
        <w:spacing w:before="156"/>
        <w:ind w:firstLine="640"/>
      </w:pPr>
      <w:bookmarkStart w:id="7" w:name="_Toc4212"/>
      <w:r>
        <w:rPr>
          <w:rFonts w:hint="eastAsia"/>
        </w:rPr>
        <w:t>主要职责</w:t>
      </w:r>
      <w:bookmarkEnd w:id="7"/>
    </w:p>
    <w:p>
      <w:pPr>
        <w:pStyle w:val="5"/>
        <w:ind w:firstLine="640"/>
      </w:pPr>
      <w:r>
        <w:rPr>
          <w:rFonts w:hint="eastAsia"/>
        </w:rPr>
        <w:t>沐川县文化广播电视体育和旅游局为县政府工作部门，负责全县的文化、体育、广播电视、旅游、文物保护等工作。</w:t>
      </w:r>
    </w:p>
    <w:p>
      <w:pPr>
        <w:pStyle w:val="5"/>
        <w:ind w:firstLine="640"/>
      </w:pPr>
      <w:r>
        <w:rPr>
          <w:rFonts w:hint="eastAsia"/>
        </w:rPr>
        <w:t>（一）拟订文化、体育、旅游、广播电视、文物保护相关的政策措施和规范性文件并组织实施，负责本部门依法行政工作。</w:t>
      </w:r>
    </w:p>
    <w:p>
      <w:pPr>
        <w:pStyle w:val="5"/>
        <w:ind w:firstLine="640"/>
      </w:pPr>
      <w:r>
        <w:rPr>
          <w:rFonts w:hint="eastAsia"/>
        </w:rPr>
        <w:t>（二）组织推动全县文化体育事业、文化产业、旅游业、广播电视、文物保护业发展，拟订发展规划并组织实施，推进文化、旅游、体育和广播电视体制机制改革。</w:t>
      </w:r>
    </w:p>
    <w:p>
      <w:pPr>
        <w:pStyle w:val="5"/>
        <w:ind w:firstLine="640"/>
      </w:pPr>
      <w:r>
        <w:rPr>
          <w:rFonts w:hint="eastAsia"/>
        </w:rPr>
        <w:t>（三）推进文化作品创作和旅游产品开发、文化和旅游科技创新，文化和旅游行业信息化、标准化建设。促进文化旅游产业发展和深度融合。</w:t>
      </w:r>
    </w:p>
    <w:p>
      <w:pPr>
        <w:pStyle w:val="5"/>
        <w:ind w:firstLine="640"/>
      </w:pPr>
      <w:r>
        <w:rPr>
          <w:rFonts w:hint="eastAsia"/>
        </w:rPr>
        <w:t>（四）管理全县重大文化、旅游、体育、广播电视活动，指导全县重点文化、旅游、体育、广播电视、文物设施建设。组织全县文化和旅游整体形象推广，制定旅游市场开发战略并组织实施，推进全域旅游。</w:t>
      </w:r>
    </w:p>
    <w:p>
      <w:pPr>
        <w:pStyle w:val="5"/>
        <w:ind w:firstLine="640"/>
      </w:pPr>
      <w:r>
        <w:rPr>
          <w:rFonts w:hint="eastAsia"/>
        </w:rPr>
        <w:t>（五）指导管理文艺事业，推动艺术创作生产，扶持体现社会主义核心价值观、具有导向性代表性示范性的文艺作品，推动各门类艺术、各艺术品种发展，推动中华优秀传统文化和地方特色文化传承发展。</w:t>
      </w:r>
    </w:p>
    <w:p>
      <w:pPr>
        <w:pStyle w:val="5"/>
        <w:ind w:firstLine="640"/>
      </w:pPr>
      <w:r>
        <w:rPr>
          <w:rFonts w:hint="eastAsia"/>
        </w:rPr>
        <w:t>（六）负责公共文化事业发展，推进全县公共文化服务体系建设和旅游公共服务建设，深入实施文化、体育、广播电视、旅游惠民工程，统筹推进基本公共文化服务标准化、均等化。</w:t>
      </w:r>
    </w:p>
    <w:p>
      <w:pPr>
        <w:pStyle w:val="5"/>
        <w:ind w:firstLine="640"/>
      </w:pPr>
      <w:r>
        <w:rPr>
          <w:rFonts w:hint="eastAsia"/>
        </w:rPr>
        <w:t>（七）组织实施文化和旅游资源普查、挖掘、保护与利用工作，推动非物质文化遗产的保护、传承、普及、弘扬和振兴。</w:t>
      </w:r>
    </w:p>
    <w:p>
      <w:pPr>
        <w:pStyle w:val="5"/>
        <w:ind w:firstLine="640"/>
      </w:pPr>
      <w:r>
        <w:rPr>
          <w:rFonts w:hint="eastAsia"/>
        </w:rPr>
        <w:t>（八）指导文化体育旅游和广播电视市场发展，对市场经营进行行业监管，推进文化体育旅游和广播电视行业信用体系建设，依法规范文化体育旅游和广播电视市场。监督管理旅游市场秩序、提升旅游服务质量。</w:t>
      </w:r>
    </w:p>
    <w:p>
      <w:pPr>
        <w:pStyle w:val="5"/>
        <w:ind w:firstLine="640"/>
      </w:pPr>
      <w:r>
        <w:rPr>
          <w:rFonts w:hint="eastAsia"/>
        </w:rPr>
        <w:t>（九）统筹规划全县群众和青少年体育发展，指导和推进全民健身计划和青少年体育工作，监督实施国家体育锻炼标准，推动全县国民体质监测、学生体质健康测试和社会体育指导工作队伍制度建设，指导公共体育设施的建设，负责对公共体育设施的监督管理。</w:t>
      </w:r>
    </w:p>
    <w:p>
      <w:pPr>
        <w:pStyle w:val="5"/>
        <w:ind w:firstLine="640"/>
      </w:pPr>
      <w:r>
        <w:rPr>
          <w:rFonts w:hint="eastAsia"/>
        </w:rPr>
        <w:t>（十）统筹规划全县竞技体育发展，指导体育训练、体育竞赛和运动员队伍建设，指导全县体育科研、技术攻关和成果推广工作。负责组织协调县级综合性运动会的竞赛工作，协调运动员社会保障工作。组织参加和承办县级以上综合性运动会和体育竞赛，组织监督全县体育运动中的赛风赛纪和反兴奋剂工作。</w:t>
      </w:r>
    </w:p>
    <w:p>
      <w:pPr>
        <w:pStyle w:val="5"/>
        <w:ind w:firstLine="640"/>
      </w:pPr>
      <w:r>
        <w:rPr>
          <w:rFonts w:hint="eastAsia"/>
        </w:rPr>
        <w:t>（十一）培育和管理体育市场，发展体育产业，监督指导高危险性体育项目经营和体育竞赛表演活动。指导全县体育场馆规划建设、维修改造及开发工作。规范体育服务管理，推动体育标准化建设。负责协调指导全县体育彩票销售工作。</w:t>
      </w:r>
    </w:p>
    <w:p>
      <w:pPr>
        <w:pStyle w:val="5"/>
        <w:ind w:firstLine="640"/>
      </w:pPr>
      <w:r>
        <w:rPr>
          <w:rFonts w:hint="eastAsia"/>
        </w:rPr>
        <w:t>（十二）负责管理文化、体育、旅游、广播电视和文物对外交流合作与宣传推广工作，代表沐川县签订对外合作协议。组织大型文化、体育、旅游、广播电视、文物对外交流活动。</w:t>
      </w:r>
    </w:p>
    <w:p>
      <w:pPr>
        <w:pStyle w:val="5"/>
        <w:ind w:firstLine="640"/>
      </w:pPr>
      <w:r>
        <w:rPr>
          <w:rFonts w:hint="eastAsia"/>
        </w:rPr>
        <w:t>（十三）指导、协调广播电视全县性重大宣传活动，组织实施广播电视节目评价工作。监督管理、审查广播电视和网络视听节目的内容及质量。指导、监督广播电视广告播放。</w:t>
      </w:r>
    </w:p>
    <w:p>
      <w:pPr>
        <w:pStyle w:val="5"/>
        <w:ind w:firstLine="640"/>
      </w:pPr>
      <w:r>
        <w:rPr>
          <w:rFonts w:hint="eastAsia"/>
        </w:rPr>
        <w:t>（十四）拟定全县广播电视科技发展规划，指导、监督实施行业技术标准。负责广播电视节目传输覆盖、监测和安全播出的监督管理，指导、推进应急广播体系建设。负责推进广播电视与新媒体新技术新业态融合发展，推进广电网与电信网、互联网三网融合。</w:t>
      </w:r>
    </w:p>
    <w:p>
      <w:pPr>
        <w:pStyle w:val="5"/>
        <w:ind w:firstLine="640"/>
      </w:pPr>
      <w:r>
        <w:rPr>
          <w:rFonts w:hint="eastAsia"/>
        </w:rPr>
        <w:t>（十五）管理和指导全县文物保护利用与考古工作。组织文物资源调查。负责组织遴选、申报县级以上文物保护单位。组织协调重大文物保护、考古项目的实施。组织管理基本建设涉及文物保护相关工作。组织指导文物保护宣传工作。承担文物进出境有关工作。协调、指导和监督全县文物安全工作。履行文物行政督察职责。</w:t>
      </w:r>
    </w:p>
    <w:p>
      <w:pPr>
        <w:pStyle w:val="5"/>
        <w:ind w:firstLine="640"/>
      </w:pPr>
      <w:r>
        <w:rPr>
          <w:rFonts w:hint="eastAsia"/>
        </w:rPr>
        <w:t>（十六）负责全县文化遗产保护和管理监督工作，组织开展文化遗产申报。协同相关部门负责文化与自然遗产、历史文化名城（乡镇、村）申报和监督管理工作。</w:t>
      </w:r>
    </w:p>
    <w:p>
      <w:pPr>
        <w:pStyle w:val="5"/>
        <w:ind w:firstLine="640"/>
      </w:pPr>
      <w:r>
        <w:rPr>
          <w:rFonts w:hint="eastAsia"/>
        </w:rPr>
        <w:t>（十七）负责推动完善全县文物和博物馆公共服务体系建设。指导博物馆建设管理和社会文物管理工作。组织指导文物和博物馆领域重大科研项目、科技保护、标准化建设。推动文物和博物馆领域装备技术提升。</w:t>
      </w:r>
    </w:p>
    <w:p>
      <w:pPr>
        <w:pStyle w:val="5"/>
        <w:ind w:firstLine="640"/>
      </w:pPr>
      <w:r>
        <w:rPr>
          <w:rFonts w:hint="eastAsia"/>
        </w:rPr>
        <w:t>（十八）协调配合相关部门开展本行业违法违规事件的调查处理工作。</w:t>
      </w:r>
    </w:p>
    <w:p>
      <w:pPr>
        <w:pStyle w:val="5"/>
        <w:ind w:firstLine="640"/>
      </w:pPr>
      <w:r>
        <w:rPr>
          <w:rFonts w:hint="eastAsia"/>
        </w:rPr>
        <w:t>（十九）负责职责范围内的安全生产和职业健康、生态环境保护等工作。</w:t>
      </w:r>
    </w:p>
    <w:p>
      <w:pPr>
        <w:pStyle w:val="5"/>
        <w:ind w:firstLine="640"/>
      </w:pPr>
      <w:r>
        <w:rPr>
          <w:rFonts w:hint="eastAsia"/>
        </w:rPr>
        <w:t>（二十）完成县委、县政府交办的其他任务。</w:t>
      </w:r>
    </w:p>
    <w:p>
      <w:pPr>
        <w:pStyle w:val="5"/>
        <w:ind w:firstLine="640"/>
      </w:pPr>
      <w:r>
        <w:rPr>
          <w:rFonts w:hint="eastAsia"/>
        </w:rPr>
        <w:t>（二十一）职能转变。坚持“生态康养”发展主线，强化“旅游主导”地位。以人民对美好生活的向往为引导，统筹推进文化体育事业、文化产业和旅游业融合发展。用好文化创意、科技创新和社会投资等新动能，促进文化和旅游与相关产业融合发展。</w:t>
      </w:r>
    </w:p>
    <w:p>
      <w:pPr>
        <w:pStyle w:val="3"/>
        <w:spacing w:before="156"/>
        <w:ind w:firstLine="640"/>
        <w:rPr>
          <w:rStyle w:val="20"/>
          <w:rFonts w:ascii="Times New Roman" w:hAnsi="Times New Roman"/>
          <w:bCs w:val="0"/>
        </w:rPr>
      </w:pPr>
      <w:bookmarkStart w:id="8" w:name="_Toc15377200"/>
      <w:bookmarkStart w:id="9" w:name="_Toc15396601"/>
      <w:bookmarkStart w:id="10" w:name="_Toc3468"/>
      <w:r>
        <w:rPr>
          <w:rFonts w:hint="eastAsia" w:ascii="Times New Roman" w:hAnsi="Times New Roman"/>
        </w:rPr>
        <w:t>二、机</w:t>
      </w:r>
      <w:r>
        <w:rPr>
          <w:rStyle w:val="20"/>
          <w:rFonts w:hint="eastAsia" w:ascii="Times New Roman" w:hAnsi="Times New Roman"/>
          <w:bCs w:val="0"/>
        </w:rPr>
        <w:t>构设置</w:t>
      </w:r>
      <w:bookmarkEnd w:id="8"/>
      <w:bookmarkEnd w:id="9"/>
      <w:bookmarkEnd w:id="10"/>
    </w:p>
    <w:p>
      <w:pPr>
        <w:pStyle w:val="5"/>
        <w:ind w:firstLine="640"/>
      </w:pPr>
      <w:r>
        <w:rPr>
          <w:rFonts w:hint="eastAsia"/>
        </w:rPr>
        <w:t>沐川县文化广播电视体育和旅游局为二级预算单位，单位性质为行政单位。截止2025年12月31日，我机关共有39人，其中公务员7人、事业管理人员和专业技术人员24人、单位编外长聘人员8人。</w:t>
      </w:r>
    </w:p>
    <w:p>
      <w:pPr>
        <w:widowControl/>
        <w:jc w:val="left"/>
        <w:rPr>
          <w:rFonts w:eastAsia="仿宋"/>
          <w:kern w:val="0"/>
          <w:sz w:val="32"/>
          <w:szCs w:val="32"/>
        </w:rPr>
      </w:pPr>
      <w:r>
        <w:rPr>
          <w:rFonts w:eastAsia="仿宋"/>
          <w:sz w:val="32"/>
          <w:szCs w:val="32"/>
        </w:rPr>
        <w:br w:type="page"/>
      </w:r>
    </w:p>
    <w:p>
      <w:pPr>
        <w:pStyle w:val="2"/>
        <w:rPr>
          <w:rFonts w:ascii="Times New Roman" w:hAnsi="Times New Roman" w:eastAsia="方正小标宋简体" w:cs="方正小标宋简体"/>
          <w:b w:val="0"/>
        </w:rPr>
      </w:pPr>
      <w:bookmarkStart w:id="11" w:name="_Toc15377204"/>
      <w:bookmarkStart w:id="12" w:name="_Toc3453"/>
      <w:bookmarkStart w:id="13" w:name="_Toc15396602"/>
      <w:r>
        <w:rPr>
          <w:rFonts w:hint="eastAsia" w:ascii="Times New Roman" w:hAnsi="Times New Roman" w:eastAsia="方正小标宋简体" w:cs="方正小标宋简体"/>
          <w:b w:val="0"/>
        </w:rPr>
        <w:t xml:space="preserve">第二部分  </w:t>
      </w:r>
      <w:r>
        <w:rPr>
          <w:rFonts w:hint="eastAsia" w:eastAsia="方正小标宋简体" w:cs="方正小标宋简体"/>
          <w:b w:val="0"/>
        </w:rPr>
        <w:t>2025年度单位</w:t>
      </w:r>
      <w:r>
        <w:rPr>
          <w:rFonts w:hint="eastAsia" w:ascii="Times New Roman" w:hAnsi="Times New Roman" w:eastAsia="方正小标宋简体" w:cs="方正小标宋简体"/>
          <w:b w:val="0"/>
        </w:rPr>
        <w:t>决算情况说明</w:t>
      </w:r>
      <w:bookmarkEnd w:id="11"/>
      <w:bookmarkEnd w:id="12"/>
      <w:bookmarkEnd w:id="13"/>
    </w:p>
    <w:p>
      <w:pPr>
        <w:pStyle w:val="3"/>
        <w:spacing w:before="156"/>
        <w:ind w:firstLine="640"/>
        <w:rPr>
          <w:rStyle w:val="20"/>
          <w:rFonts w:ascii="Times New Roman" w:hAnsi="Times New Roman"/>
          <w:bCs/>
        </w:rPr>
      </w:pPr>
      <w:bookmarkStart w:id="14" w:name="_Toc15396603"/>
      <w:bookmarkStart w:id="15" w:name="_Toc747"/>
      <w:bookmarkStart w:id="16" w:name="_Toc15377205"/>
      <w:r>
        <w:rPr>
          <w:rFonts w:hint="eastAsia" w:ascii="Times New Roman" w:hAnsi="Times New Roman"/>
        </w:rPr>
        <w:t>一、收</w:t>
      </w:r>
      <w:r>
        <w:rPr>
          <w:rStyle w:val="20"/>
          <w:rFonts w:hint="eastAsia" w:ascii="Times New Roman" w:hAnsi="Times New Roman"/>
          <w:bCs/>
        </w:rPr>
        <w:t>入支出决算总体情况说明</w:t>
      </w:r>
      <w:bookmarkEnd w:id="14"/>
      <w:bookmarkEnd w:id="15"/>
      <w:bookmarkEnd w:id="16"/>
    </w:p>
    <w:p>
      <w:pPr>
        <w:pStyle w:val="5"/>
        <w:ind w:firstLine="640"/>
      </w:pPr>
      <w:r>
        <w:rPr>
          <w:rFonts w:hint="eastAsia"/>
        </w:rPr>
        <w:t>2025年度收入、支出总计均为3,538.98万元。与上年度相比，收入、支出总计各减少1,411.58万元，下降28.51%。主要变动原因是沐溪河流域专项债券项目资金减少。</w:t>
      </w:r>
    </w:p>
    <w:p>
      <w:pPr>
        <w:pStyle w:val="5"/>
        <w:ind w:firstLine="640"/>
      </w:pPr>
      <w:r>
        <w:drawing>
          <wp:inline distT="0" distB="0" distL="114300" distR="114300">
            <wp:extent cx="4686300" cy="2895600"/>
            <wp:effectExtent l="7620" t="7620" r="11430" b="11430"/>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Style w:val="5"/>
        <w:ind w:firstLine="640"/>
        <w:jc w:val="center"/>
      </w:pPr>
      <w:r>
        <w:rPr>
          <w:rFonts w:hint="eastAsia"/>
        </w:rPr>
        <w:t>（图1：收入、支出决算总计变动情况图）</w:t>
      </w:r>
    </w:p>
    <w:p>
      <w:pPr>
        <w:pStyle w:val="3"/>
        <w:spacing w:before="156"/>
        <w:ind w:firstLine="640"/>
      </w:pPr>
      <w:bookmarkStart w:id="17" w:name="_Toc15396604"/>
      <w:bookmarkStart w:id="18" w:name="_Toc15377206"/>
      <w:bookmarkStart w:id="19" w:name="_Toc29196"/>
      <w:r>
        <w:rPr>
          <w:rFonts w:hint="eastAsia"/>
        </w:rPr>
        <w:t>二、收入决算情况说明</w:t>
      </w:r>
      <w:bookmarkEnd w:id="17"/>
      <w:bookmarkEnd w:id="18"/>
      <w:bookmarkEnd w:id="19"/>
    </w:p>
    <w:p>
      <w:pPr>
        <w:pStyle w:val="5"/>
        <w:ind w:firstLine="640"/>
      </w:pPr>
      <w:r>
        <w:rPr>
          <w:rFonts w:hint="eastAsia"/>
        </w:rPr>
        <w:t>2025年度本年收入合计3,473.71万元，其中：一般公共预算财政拨款收入1,855.62万元，占53.41%；政府性基金预算财政拨款收入1,551.9万元，占44.67%；国有资本经营预算财政拨款收入0万元，占0%；上级补助收入0万元，占0%；事业收入0万元，占0%；经营收入0万元，占0%；附属单位上缴收入0万元，占0%；其他收入66.2万元，占1.9%。</w:t>
      </w:r>
    </w:p>
    <w:p>
      <w:pPr>
        <w:pStyle w:val="5"/>
        <w:ind w:firstLine="640"/>
        <w:jc w:val="center"/>
      </w:pPr>
      <w:r>
        <w:drawing>
          <wp:inline distT="0" distB="0" distL="114300" distR="114300">
            <wp:extent cx="4398010" cy="2959735"/>
            <wp:effectExtent l="0" t="0" r="2540" b="1206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9"/>
                    <a:stretch>
                      <a:fillRect/>
                    </a:stretch>
                  </pic:blipFill>
                  <pic:spPr>
                    <a:xfrm>
                      <a:off x="0" y="0"/>
                      <a:ext cx="4398010" cy="2959735"/>
                    </a:xfrm>
                    <a:prstGeom prst="rect">
                      <a:avLst/>
                    </a:prstGeom>
                    <a:noFill/>
                    <a:ln>
                      <a:noFill/>
                    </a:ln>
                  </pic:spPr>
                </pic:pic>
              </a:graphicData>
            </a:graphic>
          </wp:inline>
        </w:drawing>
      </w:r>
    </w:p>
    <w:p>
      <w:pPr>
        <w:pStyle w:val="5"/>
        <w:ind w:firstLine="640"/>
        <w:jc w:val="center"/>
      </w:pPr>
      <w:r>
        <w:rPr>
          <w:rFonts w:hint="eastAsia"/>
        </w:rPr>
        <w:t>（图2：收入决算结构图）</w:t>
      </w:r>
    </w:p>
    <w:p>
      <w:pPr>
        <w:pStyle w:val="3"/>
        <w:spacing w:before="156"/>
        <w:ind w:firstLine="640"/>
        <w:rPr>
          <w:rStyle w:val="20"/>
          <w:rFonts w:ascii="Times New Roman" w:hAnsi="Times New Roman"/>
          <w:bCs/>
        </w:rPr>
      </w:pPr>
      <w:bookmarkStart w:id="20" w:name="_Toc15377207"/>
      <w:bookmarkStart w:id="21" w:name="_Toc26844"/>
      <w:bookmarkStart w:id="22" w:name="_Toc15396605"/>
      <w:r>
        <w:rPr>
          <w:rFonts w:hint="eastAsia" w:ascii="Times New Roman" w:hAnsi="Times New Roman"/>
        </w:rPr>
        <w:t>三、支</w:t>
      </w:r>
      <w:r>
        <w:rPr>
          <w:rStyle w:val="20"/>
          <w:rFonts w:hint="eastAsia" w:ascii="Times New Roman" w:hAnsi="Times New Roman"/>
          <w:bCs/>
        </w:rPr>
        <w:t>出决算情况说明</w:t>
      </w:r>
      <w:bookmarkEnd w:id="20"/>
      <w:bookmarkEnd w:id="21"/>
      <w:bookmarkEnd w:id="22"/>
    </w:p>
    <w:p>
      <w:pPr>
        <w:pStyle w:val="5"/>
        <w:ind w:firstLine="640"/>
      </w:pPr>
      <w:r>
        <w:rPr>
          <w:rFonts w:hint="eastAsia"/>
        </w:rPr>
        <w:t>2025年度本年支出合计3,534.31万元，其中：基本支出623.58万元，占17.64%；项目支出2,910.72万元，占82.35%；上缴上级支出0万元，占0%；经营支出0万元，占0%；对附属单位补助支出0万元，占0%。</w:t>
      </w:r>
    </w:p>
    <w:p>
      <w:pPr>
        <w:pStyle w:val="5"/>
        <w:ind w:firstLine="640"/>
        <w:jc w:val="center"/>
      </w:pPr>
      <w:r>
        <w:drawing>
          <wp:inline distT="0" distB="0" distL="114300" distR="114300">
            <wp:extent cx="4231005" cy="2465705"/>
            <wp:effectExtent l="0" t="0" r="17145" b="1079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stretch>
                      <a:fillRect/>
                    </a:stretch>
                  </pic:blipFill>
                  <pic:spPr>
                    <a:xfrm>
                      <a:off x="0" y="0"/>
                      <a:ext cx="4231005" cy="2465705"/>
                    </a:xfrm>
                    <a:prstGeom prst="rect">
                      <a:avLst/>
                    </a:prstGeom>
                    <a:noFill/>
                    <a:ln>
                      <a:noFill/>
                    </a:ln>
                  </pic:spPr>
                </pic:pic>
              </a:graphicData>
            </a:graphic>
          </wp:inline>
        </w:drawing>
      </w:r>
    </w:p>
    <w:p>
      <w:pPr>
        <w:pStyle w:val="5"/>
        <w:ind w:firstLine="640"/>
        <w:jc w:val="center"/>
      </w:pPr>
      <w:r>
        <w:rPr>
          <w:rFonts w:hint="eastAsia"/>
        </w:rPr>
        <w:t>（图3：支出决算结构图）</w:t>
      </w:r>
    </w:p>
    <w:p>
      <w:pPr>
        <w:pStyle w:val="3"/>
        <w:spacing w:before="156"/>
        <w:ind w:firstLine="640"/>
        <w:rPr>
          <w:rStyle w:val="20"/>
          <w:rFonts w:ascii="Times New Roman" w:hAnsi="Times New Roman"/>
          <w:bCs/>
        </w:rPr>
      </w:pPr>
      <w:bookmarkStart w:id="23" w:name="_Toc15377208"/>
      <w:bookmarkStart w:id="24" w:name="_Toc15396606"/>
      <w:bookmarkStart w:id="25" w:name="_Toc24708"/>
      <w:r>
        <w:rPr>
          <w:rFonts w:hint="eastAsia" w:ascii="Times New Roman" w:hAnsi="Times New Roman"/>
        </w:rPr>
        <w:t>四、财</w:t>
      </w:r>
      <w:r>
        <w:rPr>
          <w:rStyle w:val="20"/>
          <w:rFonts w:hint="eastAsia" w:ascii="Times New Roman" w:hAnsi="Times New Roman"/>
          <w:bCs/>
        </w:rPr>
        <w:t>政拨款收入支出决算总体情况说明</w:t>
      </w:r>
      <w:bookmarkEnd w:id="23"/>
      <w:bookmarkEnd w:id="24"/>
      <w:bookmarkEnd w:id="25"/>
    </w:p>
    <w:p>
      <w:pPr>
        <w:pStyle w:val="5"/>
        <w:ind w:firstLine="640"/>
      </w:pPr>
      <w:r>
        <w:rPr>
          <w:rFonts w:hint="eastAsia"/>
        </w:rPr>
        <w:t>2025年度财政拨款收入、支出总计均为3,470.78万元。与上年度相比，财政拨款收入、支出总计各减少1,429.78万元，下降29.18%。主要变动原因是项目收入、支出减少。</w:t>
      </w:r>
    </w:p>
    <w:p>
      <w:pPr>
        <w:pStyle w:val="5"/>
        <w:ind w:firstLine="640"/>
        <w:jc w:val="center"/>
      </w:pPr>
      <w:r>
        <w:drawing>
          <wp:inline distT="0" distB="0" distL="114300" distR="114300">
            <wp:extent cx="4572000" cy="2015490"/>
            <wp:effectExtent l="7620" t="7620" r="11430" b="15240"/>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pStyle w:val="5"/>
        <w:ind w:firstLine="640"/>
        <w:jc w:val="center"/>
      </w:pPr>
      <w:r>
        <w:rPr>
          <w:rFonts w:hint="eastAsia"/>
        </w:rPr>
        <w:t>（图4：财政拨款收、支决算总计变动情况）</w:t>
      </w:r>
    </w:p>
    <w:p>
      <w:pPr>
        <w:pStyle w:val="3"/>
        <w:spacing w:before="156"/>
        <w:ind w:firstLine="640"/>
        <w:rPr>
          <w:rStyle w:val="20"/>
          <w:rFonts w:ascii="Times New Roman" w:hAnsi="Times New Roman"/>
          <w:bCs/>
        </w:rPr>
      </w:pPr>
      <w:bookmarkStart w:id="26" w:name="_Toc11059"/>
      <w:bookmarkStart w:id="27" w:name="_Toc15377209"/>
      <w:bookmarkStart w:id="28" w:name="_Toc15396607"/>
      <w:r>
        <w:rPr>
          <w:rFonts w:hint="eastAsia" w:ascii="Times New Roman" w:hAnsi="Times New Roman"/>
        </w:rPr>
        <w:t>五、</w:t>
      </w:r>
      <w:r>
        <w:rPr>
          <w:rFonts w:hint="eastAsia" w:ascii="Times New Roman" w:hAnsi="Times New Roman"/>
          <w:b/>
        </w:rPr>
        <w:t>一</w:t>
      </w:r>
      <w:r>
        <w:rPr>
          <w:rStyle w:val="20"/>
          <w:rFonts w:hint="eastAsia" w:ascii="Times New Roman" w:hAnsi="Times New Roman"/>
          <w:bCs/>
        </w:rPr>
        <w:t>般公共预算财政拨款支出决算情况说明</w:t>
      </w:r>
      <w:bookmarkEnd w:id="26"/>
      <w:bookmarkEnd w:id="27"/>
      <w:bookmarkEnd w:id="28"/>
    </w:p>
    <w:p>
      <w:pPr>
        <w:pStyle w:val="4"/>
        <w:ind w:firstLine="643"/>
      </w:pPr>
      <w:bookmarkStart w:id="29" w:name="_Toc15377210"/>
      <w:r>
        <w:rPr>
          <w:rFonts w:hint="eastAsia"/>
        </w:rPr>
        <w:t>（一）一般公共预算财政拨款支出决算总体情况</w:t>
      </w:r>
      <w:bookmarkEnd w:id="29"/>
    </w:p>
    <w:p>
      <w:pPr>
        <w:pStyle w:val="5"/>
        <w:ind w:firstLine="640"/>
      </w:pPr>
      <w:r>
        <w:rPr>
          <w:rFonts w:hint="eastAsia"/>
        </w:rPr>
        <w:t>2025年度一般公共预算财政拨款支出1,918.89万元，占本年支出合计的54.29%。与上年度相比，一般公共预算财政拨款支出增加42.6万元，增长2%，变动幅度在10%以内，属于正常合理变动。</w:t>
      </w:r>
    </w:p>
    <w:p>
      <w:pPr>
        <w:pStyle w:val="5"/>
        <w:ind w:firstLine="640"/>
      </w:pPr>
      <w:r>
        <w:drawing>
          <wp:inline distT="0" distB="0" distL="114300" distR="114300">
            <wp:extent cx="4800600" cy="1848485"/>
            <wp:effectExtent l="7620" t="7620" r="11430" b="10795"/>
            <wp:docPr id="4"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pStyle w:val="5"/>
        <w:ind w:firstLine="640"/>
      </w:pPr>
      <w:r>
        <w:rPr>
          <w:rFonts w:hint="eastAsia"/>
        </w:rPr>
        <w:t>（图5：一般公共预算财政拨款支出决算变动情况）</w:t>
      </w:r>
    </w:p>
    <w:p>
      <w:pPr>
        <w:pStyle w:val="4"/>
        <w:ind w:firstLine="643"/>
      </w:pPr>
      <w:bookmarkStart w:id="30" w:name="_Toc15377211"/>
      <w:r>
        <w:rPr>
          <w:rFonts w:hint="eastAsia"/>
        </w:rPr>
        <w:t>（二）一般公共预算财政拨款支出决算结构情况</w:t>
      </w:r>
      <w:bookmarkEnd w:id="30"/>
    </w:p>
    <w:p>
      <w:pPr>
        <w:pStyle w:val="5"/>
        <w:ind w:firstLine="640"/>
      </w:pPr>
      <w:r>
        <w:rPr>
          <w:rFonts w:hint="eastAsia"/>
        </w:rPr>
        <w:t>2025年度一般公共预算财政拨款支出1,918.89万元，主要用于以下方面：文化旅游体育与传媒支出1,179.12万元，占26%；社会保障和就业支出612.21万元，占6%；卫生健康支出23.54万元，占1%；农林水支出60.92万元，占6%;住房保障支出43.10万元，占1%；其他支出2,747.44万元，占55%。</w:t>
      </w:r>
    </w:p>
    <w:p>
      <w:pPr>
        <w:pStyle w:val="5"/>
        <w:ind w:firstLine="640"/>
        <w:jc w:val="center"/>
      </w:pPr>
      <w:r>
        <w:drawing>
          <wp:inline distT="0" distB="0" distL="114300" distR="114300">
            <wp:extent cx="4819650" cy="3136900"/>
            <wp:effectExtent l="0" t="0" r="0" b="635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3"/>
                    <a:stretch>
                      <a:fillRect/>
                    </a:stretch>
                  </pic:blipFill>
                  <pic:spPr>
                    <a:xfrm>
                      <a:off x="0" y="0"/>
                      <a:ext cx="4819650" cy="3136900"/>
                    </a:xfrm>
                    <a:prstGeom prst="rect">
                      <a:avLst/>
                    </a:prstGeom>
                    <a:noFill/>
                    <a:ln>
                      <a:noFill/>
                    </a:ln>
                  </pic:spPr>
                </pic:pic>
              </a:graphicData>
            </a:graphic>
          </wp:inline>
        </w:drawing>
      </w:r>
    </w:p>
    <w:p>
      <w:pPr>
        <w:pStyle w:val="5"/>
        <w:ind w:firstLine="640"/>
        <w:jc w:val="center"/>
      </w:pPr>
      <w:r>
        <w:rPr>
          <w:rFonts w:hint="eastAsia"/>
        </w:rPr>
        <w:t>（图6：一般公共预算财政拨款支出决算结构）</w:t>
      </w:r>
    </w:p>
    <w:p>
      <w:pPr>
        <w:pStyle w:val="4"/>
        <w:ind w:firstLine="643"/>
      </w:pPr>
      <w:bookmarkStart w:id="31" w:name="_Toc15377212"/>
      <w:r>
        <w:rPr>
          <w:rFonts w:hint="eastAsia"/>
        </w:rPr>
        <w:t>（三）一般公共预算财政拨款支出决算具体情况</w:t>
      </w:r>
      <w:bookmarkEnd w:id="31"/>
    </w:p>
    <w:p>
      <w:pPr>
        <w:pStyle w:val="5"/>
        <w:ind w:firstLine="640"/>
      </w:pPr>
      <w:bookmarkStart w:id="32" w:name="_Toc15377213"/>
      <w:bookmarkStart w:id="33" w:name="_Toc15377444"/>
      <w:bookmarkStart w:id="34" w:name="_Toc15378460"/>
      <w:r>
        <w:rPr>
          <w:rFonts w:hint="eastAsia"/>
        </w:rPr>
        <w:t>2025年度一般公共预算支出决算数为1,918.89，完成预算100%。其中：</w:t>
      </w:r>
      <w:bookmarkEnd w:id="32"/>
      <w:bookmarkEnd w:id="33"/>
      <w:bookmarkEnd w:id="34"/>
    </w:p>
    <w:p>
      <w:pPr>
        <w:pStyle w:val="5"/>
        <w:ind w:firstLine="643"/>
      </w:pPr>
      <w:r>
        <w:rPr>
          <w:rFonts w:hint="eastAsia"/>
          <w:b/>
          <w:bCs/>
        </w:rPr>
        <w:t>1.文化旅游体育与传媒支出（207）文化和旅游（01）行政运行（01）：</w:t>
      </w:r>
      <w:r>
        <w:rPr>
          <w:rFonts w:hint="eastAsia"/>
        </w:rPr>
        <w:t>支出决算为202.60万元，完成预算100%。</w:t>
      </w:r>
    </w:p>
    <w:p>
      <w:pPr>
        <w:pStyle w:val="5"/>
        <w:ind w:firstLine="643"/>
      </w:pPr>
      <w:r>
        <w:rPr>
          <w:rFonts w:hint="eastAsia"/>
          <w:b/>
          <w:bCs/>
        </w:rPr>
        <w:t>2.文化旅游体育与传媒支出（207）文化和旅游（01）一般行政管理事务（02）</w:t>
      </w:r>
      <w:r>
        <w:rPr>
          <w:rFonts w:hint="eastAsia"/>
        </w:rPr>
        <w:t>：支出决算为3.32万元，完成预算100%</w:t>
      </w:r>
    </w:p>
    <w:p>
      <w:pPr>
        <w:pStyle w:val="5"/>
        <w:ind w:firstLine="643"/>
      </w:pPr>
      <w:r>
        <w:rPr>
          <w:rFonts w:hint="eastAsia"/>
          <w:b/>
          <w:bCs/>
        </w:rPr>
        <w:t>3.文化旅游体育与传媒支出（207）文化和旅游（01）群众文化（09）：</w:t>
      </w:r>
      <w:r>
        <w:rPr>
          <w:rFonts w:hint="eastAsia"/>
        </w:rPr>
        <w:t>支出决算为7.9万元，完成预算100%</w:t>
      </w:r>
    </w:p>
    <w:p>
      <w:pPr>
        <w:pStyle w:val="5"/>
        <w:ind w:firstLine="643"/>
      </w:pPr>
      <w:r>
        <w:rPr>
          <w:rFonts w:hint="eastAsia"/>
          <w:b/>
          <w:bCs/>
        </w:rPr>
        <w:t>4.文化旅游体育与传媒支出（207）文化和旅游（01）文化创作与保护（11）</w:t>
      </w:r>
      <w:r>
        <w:rPr>
          <w:rFonts w:hint="eastAsia"/>
        </w:rPr>
        <w:t>：支出决算为2.7万元，完成预算100%</w:t>
      </w:r>
    </w:p>
    <w:p>
      <w:pPr>
        <w:pStyle w:val="5"/>
        <w:ind w:firstLine="643"/>
      </w:pPr>
      <w:r>
        <w:rPr>
          <w:rFonts w:hint="eastAsia"/>
          <w:b/>
          <w:bCs/>
        </w:rPr>
        <w:t>5.文化旅游体育与传媒支出（207）文化和旅游（01）其他文化和旅游支出（99）：</w:t>
      </w:r>
      <w:r>
        <w:rPr>
          <w:rFonts w:hint="eastAsia"/>
        </w:rPr>
        <w:t>支出决算为624.96万元，完成预算100%</w:t>
      </w:r>
    </w:p>
    <w:p>
      <w:pPr>
        <w:pStyle w:val="5"/>
        <w:ind w:firstLine="643"/>
      </w:pPr>
      <w:r>
        <w:rPr>
          <w:rFonts w:hint="eastAsia"/>
          <w:b/>
          <w:bCs/>
        </w:rPr>
        <w:t>6.文化旅游体育与传媒支出（207）文物（02）其他文物支出（99）：</w:t>
      </w:r>
      <w:r>
        <w:rPr>
          <w:rFonts w:hint="eastAsia"/>
        </w:rPr>
        <w:t>支出决算为5万元，完成预算100%</w:t>
      </w:r>
    </w:p>
    <w:p>
      <w:pPr>
        <w:pStyle w:val="5"/>
        <w:ind w:firstLine="643"/>
      </w:pPr>
      <w:r>
        <w:rPr>
          <w:rFonts w:hint="eastAsia"/>
          <w:b/>
          <w:bCs/>
        </w:rPr>
        <w:t xml:space="preserve">7.文化旅游体育与传媒支出（207）体育（03）体育竞赛（05）： </w:t>
      </w:r>
      <w:r>
        <w:rPr>
          <w:rFonts w:hint="eastAsia"/>
        </w:rPr>
        <w:t>支出决算为38.91万元，完成预算100%</w:t>
      </w:r>
    </w:p>
    <w:p>
      <w:pPr>
        <w:pStyle w:val="5"/>
        <w:ind w:firstLine="643"/>
      </w:pPr>
      <w:r>
        <w:rPr>
          <w:rFonts w:hint="eastAsia"/>
          <w:b/>
          <w:bCs/>
        </w:rPr>
        <w:t xml:space="preserve">8.文化旅游体育与传媒支出（207）体育（03）体育场馆（07）： </w:t>
      </w:r>
      <w:r>
        <w:rPr>
          <w:rFonts w:hint="eastAsia"/>
        </w:rPr>
        <w:t>支出决算为73.46万元，完成预算100%。</w:t>
      </w:r>
    </w:p>
    <w:p>
      <w:pPr>
        <w:pStyle w:val="5"/>
        <w:ind w:firstLine="643"/>
      </w:pPr>
      <w:r>
        <w:rPr>
          <w:rFonts w:hint="eastAsia"/>
          <w:b/>
          <w:bCs/>
        </w:rPr>
        <w:t>9.文化旅游体育与传媒支出（207）广播电视（08）广播电视事务（08）：</w:t>
      </w:r>
      <w:r>
        <w:rPr>
          <w:rFonts w:hint="eastAsia"/>
        </w:rPr>
        <w:t>支出决算为220.36万元，完成预算100%。</w:t>
      </w:r>
    </w:p>
    <w:p>
      <w:pPr>
        <w:pStyle w:val="5"/>
        <w:ind w:firstLine="643"/>
      </w:pPr>
      <w:r>
        <w:rPr>
          <w:rFonts w:hint="eastAsia"/>
          <w:b/>
          <w:bCs/>
        </w:rPr>
        <w:t>10.社会保障和就业支出（208）行政事业单位养老支出（05）机关事业单位基本养老保险缴费支出（05）：</w:t>
      </w:r>
      <w:r>
        <w:rPr>
          <w:rFonts w:hint="eastAsia"/>
        </w:rPr>
        <w:t>支出决算为51.53万元，完成预算100%。</w:t>
      </w:r>
    </w:p>
    <w:p>
      <w:pPr>
        <w:pStyle w:val="5"/>
        <w:ind w:firstLine="643"/>
      </w:pPr>
      <w:r>
        <w:rPr>
          <w:rFonts w:hint="eastAsia"/>
          <w:b/>
          <w:bCs/>
        </w:rPr>
        <w:t>11.社会保障和就业支出（208）行政事业单位养老支出（05）机关事业单位职业年金缴费支出（06）</w:t>
      </w:r>
      <w:r>
        <w:rPr>
          <w:rFonts w:hint="eastAsia"/>
        </w:rPr>
        <w:t>：支出决算为0.5万元，完成预算100%</w:t>
      </w:r>
    </w:p>
    <w:p>
      <w:pPr>
        <w:pStyle w:val="5"/>
        <w:ind w:firstLine="643"/>
      </w:pPr>
      <w:r>
        <w:rPr>
          <w:rFonts w:hint="eastAsia"/>
          <w:b/>
          <w:bCs/>
        </w:rPr>
        <w:t>12.社会保障和就业支出（208）行政事业单位养老支出（05）其他行政事业单位养老支出（99）</w:t>
      </w:r>
      <w:r>
        <w:rPr>
          <w:rFonts w:hint="eastAsia"/>
        </w:rPr>
        <w:t>：支出决算为2.2万元，完成预算100%</w:t>
      </w:r>
    </w:p>
    <w:p>
      <w:pPr>
        <w:pStyle w:val="5"/>
        <w:ind w:firstLine="643"/>
      </w:pPr>
      <w:r>
        <w:rPr>
          <w:rFonts w:hint="eastAsia"/>
          <w:b/>
          <w:bCs/>
        </w:rPr>
        <w:t>13.社会保障和就业支出（208）抚恤（08）死亡抚恤（01）：</w:t>
      </w:r>
      <w:r>
        <w:rPr>
          <w:rFonts w:hint="eastAsia"/>
        </w:rPr>
        <w:t>支出决算为33.46万元，完成预算100%</w:t>
      </w:r>
    </w:p>
    <w:p>
      <w:pPr>
        <w:pStyle w:val="5"/>
        <w:ind w:firstLine="643"/>
      </w:pPr>
      <w:r>
        <w:rPr>
          <w:rFonts w:hint="eastAsia"/>
          <w:b/>
          <w:bCs/>
        </w:rPr>
        <w:t>14.社会保障和就业支出（208）其他社会保障和就业支出（99）其他社会保障和就业支出（99）：</w:t>
      </w:r>
      <w:r>
        <w:rPr>
          <w:rFonts w:hint="eastAsia"/>
        </w:rPr>
        <w:t>支出决算为536.82万元，完成预算100%。</w:t>
      </w:r>
    </w:p>
    <w:p>
      <w:pPr>
        <w:pStyle w:val="5"/>
        <w:ind w:firstLine="643"/>
      </w:pPr>
      <w:r>
        <w:rPr>
          <w:rFonts w:hint="eastAsia"/>
          <w:b/>
          <w:bCs/>
        </w:rPr>
        <w:t>15.卫生健康支出（210）行政事业单位医疗（11）行政单位医疗（01）</w:t>
      </w:r>
      <w:r>
        <w:rPr>
          <w:rFonts w:hint="eastAsia"/>
        </w:rPr>
        <w:t>:支出决算为5.48万元，完成预算100%。</w:t>
      </w:r>
    </w:p>
    <w:p>
      <w:pPr>
        <w:pStyle w:val="5"/>
        <w:ind w:firstLine="643"/>
      </w:pPr>
      <w:r>
        <w:rPr>
          <w:rFonts w:hint="eastAsia"/>
          <w:b/>
          <w:bCs/>
        </w:rPr>
        <w:t>16.卫生健康支出（210）行政事业单位医疗（11）事业单位医疗（02）：</w:t>
      </w:r>
      <w:r>
        <w:rPr>
          <w:rFonts w:hint="eastAsia"/>
        </w:rPr>
        <w:t>支出决算为14.17万元，完成预算100% 。</w:t>
      </w:r>
    </w:p>
    <w:p>
      <w:pPr>
        <w:pStyle w:val="5"/>
        <w:ind w:firstLine="643"/>
      </w:pPr>
      <w:r>
        <w:rPr>
          <w:rFonts w:hint="eastAsia"/>
          <w:b/>
          <w:bCs/>
        </w:rPr>
        <w:t>17.卫生健康支出（210）行政事业单位医疗（11）公务员医疗补助（03）：</w:t>
      </w:r>
      <w:r>
        <w:rPr>
          <w:rFonts w:hint="eastAsia"/>
        </w:rPr>
        <w:t>支出决算为3.89万元，完成预算100%。</w:t>
      </w:r>
    </w:p>
    <w:p>
      <w:pPr>
        <w:pStyle w:val="5"/>
        <w:ind w:firstLine="643"/>
      </w:pPr>
      <w:r>
        <w:rPr>
          <w:rFonts w:hint="eastAsia"/>
          <w:b/>
          <w:bCs/>
        </w:rPr>
        <w:t>18.农林水支出（213）巩固脱贫攻坚成果衔接乡村振兴（05）社会发展（06）</w:t>
      </w:r>
      <w:r>
        <w:rPr>
          <w:rFonts w:hint="eastAsia"/>
        </w:rPr>
        <w:t>：支出决算为60.92万元，完成预算100%。</w:t>
      </w:r>
    </w:p>
    <w:p>
      <w:pPr>
        <w:pStyle w:val="5"/>
        <w:ind w:firstLine="643"/>
      </w:pPr>
      <w:r>
        <w:rPr>
          <w:rFonts w:hint="eastAsia"/>
          <w:b/>
          <w:bCs/>
        </w:rPr>
        <w:t>19.住房保障支出（221）住房改革支出（02）住房公积金（01）：</w:t>
      </w:r>
      <w:r>
        <w:rPr>
          <w:rFonts w:hint="eastAsia"/>
        </w:rPr>
        <w:t>支出决算为43.10万元，完成预算100%。</w:t>
      </w:r>
    </w:p>
    <w:p>
      <w:pPr>
        <w:pStyle w:val="3"/>
        <w:spacing w:before="156"/>
        <w:ind w:firstLine="640"/>
        <w:rPr>
          <w:rStyle w:val="20"/>
          <w:rFonts w:ascii="Times New Roman" w:hAnsi="Times New Roman"/>
          <w:bCs/>
        </w:rPr>
      </w:pPr>
      <w:bookmarkStart w:id="35" w:name="_Toc15396608"/>
      <w:bookmarkStart w:id="36" w:name="_Toc9317"/>
      <w:bookmarkStart w:id="37" w:name="_Toc15377214"/>
      <w:r>
        <w:rPr>
          <w:rFonts w:hint="eastAsia" w:ascii="Times New Roman" w:hAnsi="Times New Roman"/>
        </w:rPr>
        <w:t>六</w:t>
      </w:r>
      <w:r>
        <w:rPr>
          <w:rFonts w:hint="eastAsia" w:ascii="Times New Roman" w:hAnsi="Times New Roman"/>
          <w:b/>
        </w:rPr>
        <w:t>、一</w:t>
      </w:r>
      <w:r>
        <w:rPr>
          <w:rStyle w:val="20"/>
          <w:rFonts w:hint="eastAsia" w:ascii="Times New Roman" w:hAnsi="Times New Roman"/>
          <w:bCs/>
        </w:rPr>
        <w:t>般公共预算财政拨款基本支出决算情况说明</w:t>
      </w:r>
      <w:bookmarkEnd w:id="35"/>
      <w:bookmarkEnd w:id="36"/>
      <w:bookmarkEnd w:id="37"/>
      <w:r>
        <w:rPr>
          <w:rStyle w:val="20"/>
          <w:rFonts w:ascii="Times New Roman" w:hAnsi="Times New Roman"/>
          <w:bCs/>
        </w:rPr>
        <w:tab/>
      </w:r>
    </w:p>
    <w:p>
      <w:pPr>
        <w:pStyle w:val="5"/>
        <w:ind w:firstLine="640"/>
      </w:pPr>
      <w:r>
        <w:rPr>
          <w:rFonts w:hint="eastAsia"/>
        </w:rPr>
        <w:t>2025年度一般公共预算财政拨款基本支出623.58万元，其中：</w:t>
      </w:r>
    </w:p>
    <w:p>
      <w:pPr>
        <w:pStyle w:val="5"/>
        <w:ind w:firstLine="640"/>
      </w:pPr>
      <w:r>
        <w:rPr>
          <w:rFonts w:hint="eastAsia"/>
        </w:rPr>
        <w:t>人员经费571.32万元，主要包括：基本工资、津贴补贴、奖金、绩效工资、机关事业单位基本养老保险缴费、职业年金缴费、其他社会保障缴费、其他工资福利支出、抚恤金、奖励金、住房公积金、其他对个人和家庭的补助支出等。</w:t>
      </w:r>
      <w:r>
        <w:rPr>
          <w:rFonts w:hint="eastAsia"/>
        </w:rPr>
        <w:br w:type="textWrapping"/>
      </w:r>
      <w:r>
        <w:rPr>
          <w:rFonts w:hint="eastAsia"/>
        </w:rPr>
        <w:t>　　公用经费52.26万元，主要包括：办公费、印刷费、水费、电费、邮电费、物业管理费、差旅费、维修（护）费、会议费、培训费、公务接待费、劳务费、委托业务费、工会经费、福利费、公务用车运行维护费、其他交通费、其他商品和服务支出等。</w:t>
      </w:r>
    </w:p>
    <w:p>
      <w:pPr>
        <w:pStyle w:val="3"/>
        <w:spacing w:before="156"/>
        <w:ind w:firstLine="640"/>
        <w:rPr>
          <w:rStyle w:val="20"/>
          <w:rFonts w:ascii="Times New Roman" w:hAnsi="Times New Roman"/>
          <w:bCs/>
        </w:rPr>
      </w:pPr>
      <w:bookmarkStart w:id="38" w:name="_Toc15396609"/>
      <w:bookmarkStart w:id="39" w:name="_Toc8833"/>
      <w:bookmarkStart w:id="40" w:name="_Toc15377215"/>
      <w:r>
        <w:rPr>
          <w:rFonts w:hint="eastAsia" w:ascii="Times New Roman" w:hAnsi="Times New Roman"/>
        </w:rPr>
        <w:t>七、</w:t>
      </w:r>
      <w:r>
        <w:rPr>
          <w:rStyle w:val="20"/>
          <w:rFonts w:hint="eastAsia" w:ascii="Times New Roman" w:hAnsi="Times New Roman"/>
          <w:bCs/>
        </w:rPr>
        <w:t>财政拨款“三公”经费支出决算情况说明</w:t>
      </w:r>
      <w:bookmarkEnd w:id="38"/>
      <w:bookmarkEnd w:id="39"/>
      <w:bookmarkEnd w:id="40"/>
    </w:p>
    <w:p>
      <w:pPr>
        <w:pStyle w:val="4"/>
        <w:ind w:firstLine="643"/>
      </w:pPr>
      <w:bookmarkStart w:id="41" w:name="_Toc15377216"/>
      <w:r>
        <w:rPr>
          <w:rFonts w:hint="eastAsia"/>
        </w:rPr>
        <w:t>（一）财政拨款“三公”经费支出决算总体情况说明</w:t>
      </w:r>
      <w:bookmarkEnd w:id="41"/>
    </w:p>
    <w:p>
      <w:pPr>
        <w:pStyle w:val="5"/>
        <w:ind w:firstLine="640"/>
      </w:pPr>
      <w:r>
        <w:rPr>
          <w:rFonts w:hint="eastAsia"/>
        </w:rPr>
        <w:t>2025年度财政拨款“三公”经费支出决算为1.97万元，完成预算100%，较上年度增加0.95万元，增长91.92%。</w:t>
      </w:r>
    </w:p>
    <w:p>
      <w:pPr>
        <w:pStyle w:val="4"/>
        <w:ind w:firstLine="643"/>
      </w:pPr>
      <w:bookmarkStart w:id="42" w:name="_Toc15377217"/>
      <w:r>
        <w:rPr>
          <w:rFonts w:hint="eastAsia"/>
        </w:rPr>
        <w:t>（二）财政拨款“三公”经费支出决算具体情况说明</w:t>
      </w:r>
      <w:bookmarkEnd w:id="42"/>
    </w:p>
    <w:p>
      <w:pPr>
        <w:pStyle w:val="5"/>
        <w:ind w:firstLine="640"/>
      </w:pPr>
      <w:r>
        <w:rPr>
          <w:rFonts w:hint="eastAsia"/>
        </w:rPr>
        <w:t>2025年度财政拨款“三公”经费支出决算中，因公出国（境）费支出决算0万元，占0%；公务用车购置及运行维护费支出决算0.97万元，占49.24%；公务接待费支出决算1万元，占50.76%。具体情况如下：</w:t>
      </w:r>
    </w:p>
    <w:p>
      <w:pPr>
        <w:pStyle w:val="5"/>
        <w:ind w:firstLine="640"/>
        <w:jc w:val="center"/>
      </w:pPr>
      <w:r>
        <w:drawing>
          <wp:inline distT="0" distB="0" distL="114300" distR="114300">
            <wp:extent cx="4572000" cy="2405380"/>
            <wp:effectExtent l="0" t="0" r="0" b="1397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14"/>
                    <a:stretch>
                      <a:fillRect/>
                    </a:stretch>
                  </pic:blipFill>
                  <pic:spPr>
                    <a:xfrm>
                      <a:off x="0" y="0"/>
                      <a:ext cx="4572000" cy="2405380"/>
                    </a:xfrm>
                    <a:prstGeom prst="rect">
                      <a:avLst/>
                    </a:prstGeom>
                    <a:noFill/>
                    <a:ln>
                      <a:noFill/>
                    </a:ln>
                  </pic:spPr>
                </pic:pic>
              </a:graphicData>
            </a:graphic>
          </wp:inline>
        </w:drawing>
      </w:r>
    </w:p>
    <w:p>
      <w:pPr>
        <w:pStyle w:val="5"/>
        <w:ind w:firstLine="640"/>
        <w:jc w:val="center"/>
        <w:rPr>
          <w:rFonts w:ascii="Times New Roman" w:hAnsi="Times New Roman" w:cs="仿宋_GB2312"/>
          <w:kern w:val="2"/>
          <w:szCs w:val="32"/>
        </w:rPr>
      </w:pPr>
      <w:r>
        <w:rPr>
          <w:rFonts w:hint="eastAsia"/>
        </w:rPr>
        <w:t>（图7：财政拨款“三公”经费支出结构）</w:t>
      </w:r>
    </w:p>
    <w:p>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w:t>
      </w:r>
      <w:r>
        <w:rPr>
          <w:rFonts w:hint="eastAsia" w:ascii="仿宋_GB2312" w:hAnsi="仿宋_GB2312" w:eastAsia="仿宋_GB2312" w:cs="仿宋_GB2312"/>
          <w:sz w:val="32"/>
          <w:szCs w:val="32"/>
        </w:rPr>
        <w:t>0</w:t>
      </w:r>
      <w:r>
        <w:rPr>
          <w:rFonts w:hint="eastAsia" w:eastAsia="仿宋_GB2312" w:cs="仿宋_GB2312"/>
          <w:b/>
          <w:bCs/>
          <w:sz w:val="32"/>
          <w:szCs w:val="32"/>
        </w:rPr>
        <w:t>万元。</w:t>
      </w:r>
    </w:p>
    <w:p>
      <w:pPr>
        <w:spacing w:line="600" w:lineRule="exact"/>
        <w:ind w:firstLine="640"/>
        <w:rPr>
          <w:rFonts w:eastAsia="仿宋_GB2312" w:cs="仿宋_GB2312"/>
          <w:sz w:val="32"/>
          <w:szCs w:val="32"/>
        </w:rPr>
      </w:pPr>
      <w:r>
        <w:rPr>
          <w:rFonts w:hint="eastAsia" w:eastAsia="仿宋_GB2312" w:cs="仿宋_GB2312"/>
          <w:b/>
          <w:bCs/>
          <w:sz w:val="32"/>
          <w:szCs w:val="32"/>
        </w:rPr>
        <w:t>2.公务用车购置及运行维护费支出</w:t>
      </w:r>
      <w:r>
        <w:rPr>
          <w:rFonts w:hint="eastAsia" w:ascii="仿宋_GB2312" w:hAnsi="仿宋_GB2312" w:eastAsia="仿宋_GB2312" w:cs="仿宋_GB2312"/>
          <w:b/>
          <w:bCs/>
          <w:sz w:val="32"/>
          <w:szCs w:val="32"/>
        </w:rPr>
        <w:t>0.97</w:t>
      </w:r>
      <w:r>
        <w:rPr>
          <w:rFonts w:hint="eastAsia" w:eastAsia="仿宋_GB2312" w:cs="仿宋_GB2312"/>
          <w:b/>
          <w:bCs/>
          <w:sz w:val="32"/>
          <w:szCs w:val="32"/>
        </w:rPr>
        <w:t>万元，完成预算100%。</w:t>
      </w:r>
      <w:r>
        <w:rPr>
          <w:rFonts w:hint="eastAsia" w:eastAsia="仿宋_GB2312" w:cs="仿宋_GB2312"/>
          <w:sz w:val="32"/>
          <w:szCs w:val="32"/>
        </w:rPr>
        <w:t>公务用车购置及运行维护费支出决算比上年度增加0.52万元，增长116%。主要原因是本年度检查次数增多，公用用车次数较上年有所增加。</w:t>
      </w:r>
    </w:p>
    <w:p>
      <w:pPr>
        <w:spacing w:line="600" w:lineRule="exact"/>
        <w:ind w:firstLine="640"/>
        <w:rPr>
          <w:rFonts w:eastAsia="仿宋_GB2312" w:cs="仿宋_GB2312"/>
          <w:sz w:val="32"/>
          <w:szCs w:val="32"/>
        </w:rPr>
      </w:pPr>
      <w:r>
        <w:rPr>
          <w:rFonts w:hint="eastAsia" w:eastAsia="仿宋_GB2312" w:cs="仿宋_GB2312"/>
          <w:sz w:val="32"/>
          <w:szCs w:val="32"/>
        </w:rPr>
        <w:t>其中：公务用车购置支出</w:t>
      </w:r>
      <w:r>
        <w:rPr>
          <w:rFonts w:hint="eastAsia" w:ascii="仿宋_GB2312" w:hAnsi="仿宋_GB2312" w:eastAsia="仿宋_GB2312" w:cs="仿宋_GB2312"/>
          <w:sz w:val="32"/>
          <w:szCs w:val="32"/>
        </w:rPr>
        <w:t>0</w:t>
      </w:r>
      <w:r>
        <w:rPr>
          <w:rFonts w:hint="eastAsia" w:eastAsia="仿宋_GB2312" w:cs="仿宋_GB2312"/>
          <w:sz w:val="32"/>
          <w:szCs w:val="32"/>
        </w:rPr>
        <w:t>万元。截至2025年12月31日，单位共有公务用车5辆，其中：应急保障用车1辆、特种专业技术用车4辆。</w:t>
      </w:r>
    </w:p>
    <w:p>
      <w:pPr>
        <w:spacing w:line="600" w:lineRule="exact"/>
        <w:ind w:firstLine="640"/>
        <w:rPr>
          <w:rFonts w:eastAsia="仿宋_GB2312" w:cs="仿宋_GB2312"/>
          <w:sz w:val="32"/>
          <w:szCs w:val="32"/>
        </w:rPr>
      </w:pPr>
      <w:r>
        <w:rPr>
          <w:rFonts w:hint="eastAsia" w:eastAsia="仿宋_GB2312" w:cs="仿宋_GB2312"/>
          <w:sz w:val="32"/>
          <w:szCs w:val="32"/>
        </w:rPr>
        <w:t>公务用车运行维护费支出</w:t>
      </w:r>
      <w:r>
        <w:rPr>
          <w:rFonts w:hint="eastAsia" w:ascii="仿宋_GB2312" w:hAnsi="仿宋_GB2312" w:eastAsia="仿宋_GB2312" w:cs="仿宋_GB2312"/>
          <w:sz w:val="32"/>
          <w:szCs w:val="32"/>
        </w:rPr>
        <w:t>0.97</w:t>
      </w:r>
      <w:r>
        <w:rPr>
          <w:rFonts w:hint="eastAsia" w:eastAsia="仿宋_GB2312" w:cs="仿宋_GB2312"/>
          <w:sz w:val="32"/>
          <w:szCs w:val="32"/>
        </w:rPr>
        <w:t>万元。</w:t>
      </w:r>
      <w:r>
        <w:rPr>
          <w:rFonts w:hint="eastAsia" w:eastAsia="仿宋_GB2312" w:cs="仿宋_GB2312"/>
          <w:sz w:val="30"/>
          <w:szCs w:val="30"/>
        </w:rPr>
        <w:t>主要用于景区检查，景区安全隐患排查等所需的公务用车燃料费、维修费、过路过桥费、保险费等支出</w:t>
      </w:r>
      <w:r>
        <w:rPr>
          <w:rFonts w:hint="eastAsia" w:eastAsia="仿宋_GB2312" w:cs="仿宋_GB2312"/>
          <w:sz w:val="32"/>
          <w:szCs w:val="32"/>
        </w:rPr>
        <w:t>。</w:t>
      </w:r>
    </w:p>
    <w:p>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ascii="仿宋_GB2312" w:hAnsi="仿宋_GB2312" w:eastAsia="仿宋_GB2312" w:cs="仿宋_GB2312"/>
          <w:b/>
          <w:bCs/>
          <w:sz w:val="32"/>
          <w:szCs w:val="32"/>
        </w:rPr>
        <w:t>1</w:t>
      </w:r>
      <w:r>
        <w:rPr>
          <w:rFonts w:hint="eastAsia" w:eastAsia="仿宋_GB2312" w:cs="仿宋_GB2312"/>
          <w:b/>
          <w:bCs/>
          <w:sz w:val="32"/>
          <w:szCs w:val="32"/>
        </w:rPr>
        <w:t>万元，完成预算100%。</w:t>
      </w:r>
      <w:r>
        <w:rPr>
          <w:rFonts w:hint="eastAsia" w:eastAsia="仿宋_GB2312" w:cs="仿宋_GB2312"/>
          <w:sz w:val="32"/>
          <w:szCs w:val="32"/>
        </w:rPr>
        <w:t>公务接待费支出决算比上年度增加0.42万元，增长72.92%。主要原因是检查接待增加。其中：</w:t>
      </w:r>
    </w:p>
    <w:p>
      <w:pPr>
        <w:spacing w:line="600" w:lineRule="exact"/>
        <w:ind w:firstLine="640"/>
        <w:rPr>
          <w:rFonts w:eastAsia="仿宋_GB2312" w:cs="仿宋_GB2312"/>
          <w:sz w:val="32"/>
          <w:szCs w:val="32"/>
        </w:rPr>
      </w:pPr>
      <w:r>
        <w:rPr>
          <w:rFonts w:hint="eastAsia" w:eastAsia="仿宋_GB2312" w:cs="仿宋_GB2312"/>
          <w:sz w:val="32"/>
          <w:szCs w:val="32"/>
        </w:rPr>
        <w:t>国内公务接待支出</w:t>
      </w:r>
      <w:r>
        <w:rPr>
          <w:rFonts w:hint="eastAsia" w:ascii="仿宋_GB2312" w:hAnsi="仿宋_GB2312" w:eastAsia="仿宋_GB2312" w:cs="仿宋_GB2312"/>
          <w:sz w:val="32"/>
          <w:szCs w:val="32"/>
        </w:rPr>
        <w:t>1</w:t>
      </w:r>
      <w:r>
        <w:rPr>
          <w:rFonts w:hint="eastAsia" w:eastAsia="仿宋_GB2312" w:cs="仿宋_GB2312"/>
          <w:sz w:val="32"/>
          <w:szCs w:val="32"/>
        </w:rPr>
        <w:t>万元，主要用于招商引资，非遗工作考察等。国内公务接待9批次、104人次（不包括陪同人员），共计支出1万元，具体内容包括：招商引资接待迎检沐川城北体育公园接待费、接待珙县非遗协会来沐考察学习餐费、接待荣县文旅局到沐考察文创工作餐费等，合计接待费用1万元。</w:t>
      </w:r>
    </w:p>
    <w:p>
      <w:pPr>
        <w:pStyle w:val="3"/>
        <w:spacing w:before="156"/>
        <w:ind w:firstLine="640"/>
        <w:rPr>
          <w:rStyle w:val="20"/>
          <w:rFonts w:ascii="Times New Roman" w:hAnsi="Times New Roman"/>
          <w:bCs/>
        </w:rPr>
      </w:pPr>
      <w:bookmarkStart w:id="43" w:name="_Toc15396610"/>
      <w:bookmarkStart w:id="44" w:name="_Toc19136"/>
      <w:bookmarkStart w:id="45" w:name="_Toc15377218"/>
      <w:r>
        <w:rPr>
          <w:rFonts w:hint="eastAsia" w:ascii="Times New Roman" w:hAnsi="Times New Roman"/>
        </w:rPr>
        <w:t>八、</w:t>
      </w:r>
      <w:r>
        <w:rPr>
          <w:rStyle w:val="20"/>
          <w:rFonts w:hint="eastAsia" w:ascii="Times New Roman" w:hAnsi="Times New Roman"/>
          <w:bCs/>
        </w:rPr>
        <w:t>政府性基金预算支出决算情况说明</w:t>
      </w:r>
      <w:bookmarkEnd w:id="43"/>
      <w:bookmarkEnd w:id="44"/>
      <w:bookmarkEnd w:id="45"/>
    </w:p>
    <w:p>
      <w:pPr>
        <w:pStyle w:val="5"/>
        <w:ind w:firstLine="640"/>
      </w:pPr>
      <w:r>
        <w:rPr>
          <w:rFonts w:hint="eastAsia"/>
        </w:rPr>
        <w:t>2025年度政府性基金预算财政拨款支出1,551.9万元，占本年支出合计的43.9%。与上年度相比，政府性基金预算财政拨款支出减少1,472.37万元，下降48.69%。主要变动原因是沐溪河流域专项债券项目资金减少。</w:t>
      </w:r>
    </w:p>
    <w:p>
      <w:pPr>
        <w:pStyle w:val="3"/>
        <w:spacing w:before="156"/>
        <w:ind w:firstLine="640"/>
        <w:rPr>
          <w:rStyle w:val="20"/>
          <w:rFonts w:ascii="Times New Roman" w:hAnsi="Times New Roman"/>
          <w:bCs/>
        </w:rPr>
      </w:pPr>
      <w:bookmarkStart w:id="46" w:name="_Toc15396611"/>
      <w:bookmarkStart w:id="47" w:name="_Toc15377219"/>
      <w:bookmarkStart w:id="48" w:name="_Toc2873"/>
      <w:r>
        <w:rPr>
          <w:rStyle w:val="20"/>
          <w:rFonts w:hint="eastAsia" w:ascii="Times New Roman" w:hAnsi="Times New Roman"/>
          <w:bCs/>
        </w:rPr>
        <w:t>九、国有资本经营预算支出决算情况说明</w:t>
      </w:r>
      <w:bookmarkEnd w:id="46"/>
      <w:bookmarkEnd w:id="47"/>
      <w:bookmarkEnd w:id="48"/>
    </w:p>
    <w:p>
      <w:pPr>
        <w:pStyle w:val="5"/>
        <w:ind w:firstLine="640"/>
      </w:pPr>
      <w:r>
        <w:rPr>
          <w:rFonts w:hint="eastAsia"/>
        </w:rPr>
        <w:t>2025年度国有资本经营预算财政拨款支出0万元。</w:t>
      </w:r>
    </w:p>
    <w:p>
      <w:pPr>
        <w:pStyle w:val="3"/>
        <w:spacing w:before="156"/>
        <w:ind w:firstLine="640"/>
        <w:rPr>
          <w:rStyle w:val="20"/>
          <w:rFonts w:ascii="Times New Roman" w:hAnsi="Times New Roman"/>
          <w:bCs/>
        </w:rPr>
      </w:pPr>
      <w:bookmarkStart w:id="49" w:name="_Toc15396612"/>
      <w:bookmarkStart w:id="50" w:name="_Toc15377221"/>
      <w:bookmarkStart w:id="51" w:name="_Toc31582"/>
      <w:r>
        <w:rPr>
          <w:rStyle w:val="20"/>
          <w:rFonts w:hint="eastAsia" w:ascii="Times New Roman" w:hAnsi="Times New Roman"/>
          <w:bCs/>
        </w:rPr>
        <w:t>十、其他重要事项的情况说明</w:t>
      </w:r>
      <w:bookmarkEnd w:id="49"/>
      <w:bookmarkEnd w:id="50"/>
      <w:bookmarkEnd w:id="51"/>
    </w:p>
    <w:p>
      <w:pPr>
        <w:pStyle w:val="4"/>
        <w:ind w:firstLine="643"/>
      </w:pPr>
      <w:bookmarkStart w:id="52" w:name="_Toc15377222"/>
      <w:r>
        <w:rPr>
          <w:rFonts w:hint="eastAsia"/>
        </w:rPr>
        <w:t>（一）机关运行经费支出情况</w:t>
      </w:r>
      <w:bookmarkEnd w:id="52"/>
    </w:p>
    <w:p>
      <w:pPr>
        <w:pStyle w:val="5"/>
        <w:ind w:firstLine="640"/>
      </w:pPr>
      <w:r>
        <w:rPr>
          <w:rFonts w:hint="eastAsia"/>
        </w:rPr>
        <w:t>2025年度，沐川县文化广播电视体育和旅游局机关运行经费支出52.26万元，比上年度增加3.24万元，增长6.61%，较上年基本持平。</w:t>
      </w:r>
    </w:p>
    <w:p>
      <w:pPr>
        <w:pStyle w:val="4"/>
        <w:ind w:firstLine="643"/>
      </w:pPr>
      <w:bookmarkStart w:id="53" w:name="_Toc15377223"/>
      <w:r>
        <w:rPr>
          <w:rFonts w:hint="eastAsia"/>
        </w:rPr>
        <w:t>（二）政府采购支出情况</w:t>
      </w:r>
      <w:bookmarkEnd w:id="53"/>
    </w:p>
    <w:p>
      <w:pPr>
        <w:pStyle w:val="5"/>
        <w:ind w:firstLine="640"/>
      </w:pPr>
      <w:r>
        <w:rPr>
          <w:rFonts w:hint="eastAsia"/>
        </w:rPr>
        <w:t>2025年度，沐川县文化广播电视体育和旅游局政府采购支出总额0万元。</w:t>
      </w:r>
    </w:p>
    <w:p>
      <w:pPr>
        <w:pStyle w:val="4"/>
        <w:ind w:firstLine="643"/>
      </w:pPr>
      <w:bookmarkStart w:id="54" w:name="_Toc15377224"/>
      <w:r>
        <w:rPr>
          <w:rFonts w:hint="eastAsia"/>
        </w:rPr>
        <w:t>（三）国有资产占有使用情况</w:t>
      </w:r>
      <w:bookmarkEnd w:id="54"/>
    </w:p>
    <w:p>
      <w:pPr>
        <w:pStyle w:val="5"/>
        <w:ind w:firstLine="640"/>
      </w:pPr>
      <w:r>
        <w:rPr>
          <w:rFonts w:hint="eastAsia"/>
        </w:rPr>
        <w:t>截至2025年12月31日，沐川县文化广播电视体育和旅游局共有车辆5辆，其中：副部（省）级及以上领导用车0辆、主要负责人用车0辆、机要通信用车0辆、应急保障用车1辆、执法执勤用车0辆、特种专业技术用车4辆、离退休干部服务用车0辆、其他用车0辆。单价100万元（含）以上设备（不含车辆）0台（套）。</w:t>
      </w:r>
    </w:p>
    <w:p>
      <w:pPr>
        <w:pStyle w:val="4"/>
        <w:ind w:firstLine="643"/>
      </w:pPr>
      <w:r>
        <w:rPr>
          <w:rFonts w:hint="eastAsia"/>
        </w:rPr>
        <w:t>（四）预算绩效管理情况</w:t>
      </w:r>
    </w:p>
    <w:p>
      <w:pPr>
        <w:pStyle w:val="5"/>
        <w:ind w:firstLine="640"/>
      </w:pPr>
      <w:r>
        <w:rPr>
          <w:rFonts w:hint="eastAsia"/>
        </w:rPr>
        <w:t>根据预算绩效管理要求，本单位在2025年度，组织对省运动会锦标赛参赛费、体育比赛业训费、地面数字电视传输覆盖系统运行维护费、文化馆、图书馆、美术馆及19个乡镇文化站免费开放等18个项目开展了预算事前绩效评估，对18个项目编制了绩效目标，预算执行过程中，选取18个项目开展绩效监控，组织对18个项目开展绩效自评，绩效自评表详见第四部分附件</w:t>
      </w:r>
    </w:p>
    <w:p>
      <w:pPr>
        <w:rPr>
          <w:rFonts w:eastAsia="仿宋_GB2312" w:cs="仿宋_GB2312"/>
          <w:sz w:val="32"/>
          <w:szCs w:val="32"/>
        </w:rPr>
      </w:pPr>
      <w:r>
        <w:rPr>
          <w:rFonts w:hint="eastAsia" w:eastAsia="仿宋_GB2312" w:cs="仿宋_GB2312"/>
          <w:sz w:val="32"/>
          <w:szCs w:val="32"/>
        </w:rPr>
        <w:br w:type="page"/>
      </w:r>
    </w:p>
    <w:p>
      <w:pPr>
        <w:pStyle w:val="2"/>
      </w:pPr>
      <w:bookmarkStart w:id="55" w:name="_Toc16051"/>
      <w:bookmarkStart w:id="56" w:name="_Toc15377225"/>
      <w:bookmarkStart w:id="57" w:name="_Toc15396613"/>
      <w:r>
        <w:rPr>
          <w:rFonts w:hint="eastAsia"/>
        </w:rPr>
        <w:t>第三部分  名词解释</w:t>
      </w:r>
      <w:bookmarkEnd w:id="55"/>
      <w:bookmarkEnd w:id="56"/>
      <w:bookmarkEnd w:id="57"/>
    </w:p>
    <w:p>
      <w:pPr>
        <w:pStyle w:val="5"/>
        <w:ind w:firstLine="640"/>
      </w:pPr>
      <w:bookmarkStart w:id="58" w:name="_Toc15377226"/>
      <w:r>
        <w:rPr>
          <w:rFonts w:hint="eastAsia"/>
        </w:rPr>
        <w:t>1.财政拨款收入：指单位从同级财政部门取得的财政预算资金。</w:t>
      </w:r>
    </w:p>
    <w:p>
      <w:pPr>
        <w:pStyle w:val="5"/>
        <w:ind w:firstLine="640"/>
      </w:pPr>
      <w:r>
        <w:rPr>
          <w:rFonts w:hint="eastAsia"/>
        </w:rPr>
        <w:t>2.事业收入：指事业单位开展专业业务活动及辅助活动取得的收入。</w:t>
      </w:r>
    </w:p>
    <w:p>
      <w:pPr>
        <w:pStyle w:val="5"/>
        <w:ind w:firstLine="640"/>
      </w:pPr>
      <w:r>
        <w:rPr>
          <w:rFonts w:hint="eastAsia"/>
        </w:rPr>
        <w:t>3.经营收入：指事业单位在专业业务活动及其辅助活动之外开展非独立核算经营活动取得的收入。</w:t>
      </w:r>
    </w:p>
    <w:p>
      <w:pPr>
        <w:pStyle w:val="5"/>
        <w:ind w:firstLine="640"/>
      </w:pPr>
      <w:r>
        <w:rPr>
          <w:rFonts w:hint="eastAsia"/>
        </w:rPr>
        <w:t xml:space="preserve">4.其他收入：指单位取得的除上述收入以外的各项收入。 </w:t>
      </w:r>
    </w:p>
    <w:p>
      <w:pPr>
        <w:pStyle w:val="5"/>
        <w:ind w:firstLine="640"/>
      </w:pPr>
      <w:r>
        <w:rPr>
          <w:rFonts w:hint="eastAsia"/>
        </w:rPr>
        <w:t xml:space="preserve">5.使用非财政拨款结余（含专用结余）：指事业单位使用以前年度积累的非财政拨款结余弥补当年收支差额的金额。 </w:t>
      </w:r>
    </w:p>
    <w:p>
      <w:pPr>
        <w:pStyle w:val="5"/>
        <w:ind w:firstLine="640"/>
      </w:pPr>
      <w:r>
        <w:rPr>
          <w:rFonts w:hint="eastAsia"/>
        </w:rPr>
        <w:t xml:space="preserve">6.年初结转和结余：指以前年度尚未完成、结转到本年按有关规定继续使用的资金。 </w:t>
      </w:r>
    </w:p>
    <w:p>
      <w:pPr>
        <w:pStyle w:val="5"/>
        <w:ind w:firstLine="640"/>
      </w:pPr>
      <w:r>
        <w:rPr>
          <w:rFonts w:hint="eastAsia"/>
        </w:rPr>
        <w:t>7.结余分配：指事业单位按照会计制度规定缴纳的所得税、提取的专用结余以及转入非财政拨款结余的金额等。</w:t>
      </w:r>
    </w:p>
    <w:p>
      <w:pPr>
        <w:pStyle w:val="5"/>
        <w:ind w:firstLine="640"/>
      </w:pPr>
      <w:r>
        <w:rPr>
          <w:rFonts w:hint="eastAsia"/>
        </w:rPr>
        <w:t>8.年末结转和结余：指单位按有关规定结转到下年或以后年度继续使用的资金。</w:t>
      </w:r>
    </w:p>
    <w:p>
      <w:pPr>
        <w:pStyle w:val="5"/>
        <w:ind w:firstLine="640"/>
      </w:pPr>
      <w:r>
        <w:rPr>
          <w:rFonts w:hint="eastAsia"/>
        </w:rPr>
        <w:t>9.文化旅游体育与传媒（类）文化和旅游（款）行政运行（项）： 指反映行政单位的基本支出。</w:t>
      </w:r>
    </w:p>
    <w:p>
      <w:pPr>
        <w:pStyle w:val="5"/>
        <w:ind w:firstLine="640"/>
      </w:pPr>
      <w:r>
        <w:rPr>
          <w:rFonts w:hint="eastAsia"/>
        </w:rPr>
        <w:t>10.文化旅游体育与传媒（类）文化和旅游（款）一般行政管理事务（项）：指单位反映未单独设置项级科目的其他支出。</w:t>
      </w:r>
    </w:p>
    <w:p>
      <w:pPr>
        <w:pStyle w:val="5"/>
        <w:ind w:firstLine="640"/>
      </w:pPr>
      <w:r>
        <w:rPr>
          <w:rFonts w:hint="eastAsia"/>
        </w:rPr>
        <w:t>11.文化旅游体育与传媒（类）文化和旅游（款）文化展示及纪念机构（项）： 指反映各类展馆的支出。</w:t>
      </w:r>
    </w:p>
    <w:p>
      <w:pPr>
        <w:pStyle w:val="5"/>
        <w:ind w:firstLine="640"/>
      </w:pPr>
      <w:r>
        <w:rPr>
          <w:rFonts w:hint="eastAsia"/>
        </w:rPr>
        <w:t>12 .文化旅游体育与传媒（类）文化和旅游（款）群众文化（项）： 指群众文化方面的支出。</w:t>
      </w:r>
    </w:p>
    <w:p>
      <w:pPr>
        <w:pStyle w:val="5"/>
        <w:ind w:firstLine="640"/>
      </w:pPr>
      <w:r>
        <w:rPr>
          <w:rFonts w:hint="eastAsia"/>
        </w:rPr>
        <w:t>13.文化旅游体育与传媒（类）文化和旅游（款）文化创作与保护（项）： 指激励文学、艺术创作保护方面的支出。</w:t>
      </w:r>
    </w:p>
    <w:p>
      <w:pPr>
        <w:pStyle w:val="5"/>
        <w:ind w:firstLine="640"/>
      </w:pPr>
      <w:r>
        <w:rPr>
          <w:rFonts w:hint="eastAsia"/>
        </w:rPr>
        <w:t>14.文化旅游体育与传媒（类）文化和旅游（款）其他文化和旅游支出（项）： 指其他旅游和文化支出。</w:t>
      </w:r>
    </w:p>
    <w:p>
      <w:pPr>
        <w:pStyle w:val="5"/>
        <w:ind w:firstLine="640"/>
      </w:pPr>
      <w:r>
        <w:rPr>
          <w:rFonts w:hint="eastAsia"/>
        </w:rPr>
        <w:t>15.文化旅游体育与传媒（类）体育（款）体育竞赛（项）： 指综合性运动或单项体育比赛支出。</w:t>
      </w:r>
    </w:p>
    <w:p>
      <w:pPr>
        <w:pStyle w:val="5"/>
        <w:ind w:firstLine="640"/>
      </w:pPr>
      <w:r>
        <w:rPr>
          <w:rFonts w:hint="eastAsia"/>
        </w:rPr>
        <w:t>16.文化旅游体育与传媒（类）体育（款）体育场馆（项）： 指体育场馆建设和维护支出。</w:t>
      </w:r>
    </w:p>
    <w:p>
      <w:pPr>
        <w:pStyle w:val="5"/>
        <w:ind w:firstLine="640"/>
      </w:pPr>
      <w:r>
        <w:rPr>
          <w:rFonts w:hint="eastAsia"/>
        </w:rPr>
        <w:t>17.文化旅游体育与传媒（类）体育（款）群众体育（项）： 指业余体校和群众体育活动支出。</w:t>
      </w:r>
    </w:p>
    <w:p>
      <w:pPr>
        <w:pStyle w:val="5"/>
        <w:ind w:firstLine="640"/>
      </w:pPr>
      <w:r>
        <w:rPr>
          <w:rFonts w:hint="eastAsia"/>
        </w:rPr>
        <w:t>18.文化旅游体育与传媒（类）体育（款）其他体育支出（项）： 指其他体育方面的支出。</w:t>
      </w:r>
    </w:p>
    <w:p>
      <w:pPr>
        <w:pStyle w:val="5"/>
        <w:ind w:firstLine="640"/>
      </w:pPr>
      <w:r>
        <w:rPr>
          <w:rFonts w:hint="eastAsia"/>
        </w:rPr>
        <w:t>19.文化旅游体育与传媒（类）广播电视（款）广播电视事务（项）： 指广播电视台支出。</w:t>
      </w:r>
    </w:p>
    <w:p>
      <w:pPr>
        <w:pStyle w:val="5"/>
        <w:ind w:firstLine="640"/>
      </w:pPr>
      <w:r>
        <w:rPr>
          <w:rFonts w:hint="eastAsia"/>
        </w:rPr>
        <w:t>20.文化旅游体育与传媒（类）广播电视（款）其他广播电视支出（项）： 指其他广播电视支出。</w:t>
      </w:r>
    </w:p>
    <w:p>
      <w:pPr>
        <w:pStyle w:val="5"/>
        <w:ind w:firstLine="640"/>
      </w:pPr>
      <w:r>
        <w:rPr>
          <w:rFonts w:hint="eastAsia"/>
        </w:rPr>
        <w:t>31.文化旅游体育与传媒（类）其他文化旅游体育与传媒支出（款）宣传文化发展专项支出（项）： 指按照国家有关政策支持宣传文化单位发展的专项支出。</w:t>
      </w:r>
    </w:p>
    <w:p>
      <w:pPr>
        <w:pStyle w:val="5"/>
        <w:ind w:firstLine="640"/>
      </w:pPr>
      <w:r>
        <w:rPr>
          <w:rFonts w:hint="eastAsia"/>
        </w:rPr>
        <w:t>22.文化旅游体育与传媒（类）其他文化旅游体育与传媒支出（款）其他文化旅游体育与传媒支出（项）： 指其他文化旅游传媒支出。</w:t>
      </w:r>
    </w:p>
    <w:p>
      <w:pPr>
        <w:pStyle w:val="5"/>
        <w:ind w:firstLine="640"/>
      </w:pPr>
      <w:r>
        <w:rPr>
          <w:rFonts w:hint="eastAsia"/>
        </w:rPr>
        <w:t>23.社会保障和就业（类）人力资源和社会保障管理事务（款）其他人力资源和社会保障管理事务支出（项）： 指其他人力资源和社会保障管理事务支出。</w:t>
      </w:r>
    </w:p>
    <w:p>
      <w:pPr>
        <w:pStyle w:val="5"/>
        <w:ind w:firstLine="640"/>
      </w:pPr>
      <w:r>
        <w:rPr>
          <w:rFonts w:hint="eastAsia"/>
        </w:rPr>
        <w:t>24.社会保障和就业（类）行政事业单位养老支出（款）机关事业单位基本养老保险缴费支出（项）：指机关事业单位实施养老保险制度由单位缴纳的职业年金支出。</w:t>
      </w:r>
    </w:p>
    <w:p>
      <w:pPr>
        <w:pStyle w:val="5"/>
        <w:ind w:firstLine="640"/>
      </w:pPr>
      <w:r>
        <w:rPr>
          <w:rFonts w:hint="eastAsia"/>
        </w:rPr>
        <w:t>25.社会保障和就业（类）行政事业单位养老支出（款）机关事业单位职业年金缴费支出（项）：指机关事业单位实施养老保险制度由单位缴纳的职业年金支出。</w:t>
      </w:r>
    </w:p>
    <w:p>
      <w:pPr>
        <w:pStyle w:val="5"/>
        <w:ind w:firstLine="640"/>
      </w:pPr>
      <w:r>
        <w:rPr>
          <w:rFonts w:hint="eastAsia"/>
        </w:rPr>
        <w:t>26.社会保障和就业（类）行政事业单位养老支出（款）其他行政事业单位养老支出（项）：指机关事业单位实施养老保险制度由单位缴纳的养老保险费等其他支出。</w:t>
      </w:r>
    </w:p>
    <w:p>
      <w:pPr>
        <w:pStyle w:val="5"/>
        <w:ind w:firstLine="640"/>
      </w:pPr>
      <w:r>
        <w:rPr>
          <w:rFonts w:hint="eastAsia"/>
        </w:rPr>
        <w:t>27.社会保障和就业（类）抚恤（款）死亡抚恤（项）：指死亡抚恤支出。</w:t>
      </w:r>
    </w:p>
    <w:p>
      <w:pPr>
        <w:pStyle w:val="5"/>
        <w:ind w:firstLine="640"/>
      </w:pPr>
      <w:r>
        <w:rPr>
          <w:rFonts w:hint="eastAsia"/>
        </w:rPr>
        <w:t xml:space="preserve">28.社会保障和就业（类）其他社会保障和就业支出（款）其他社会保障和就业支出（项）：指机关事业单位实施养老保险制度由单位缴纳的养老保险费等其他支出。 </w:t>
      </w:r>
    </w:p>
    <w:p>
      <w:pPr>
        <w:pStyle w:val="5"/>
        <w:ind w:firstLine="640"/>
      </w:pPr>
      <w:r>
        <w:rPr>
          <w:rFonts w:hint="eastAsia"/>
        </w:rPr>
        <w:t>29.卫生健康（类）行政事业单位医疗（款）行政单位医疗（项）：指反映部门安排的行政单位基本医疗保险缴费经费。</w:t>
      </w:r>
    </w:p>
    <w:p>
      <w:pPr>
        <w:pStyle w:val="5"/>
        <w:ind w:firstLine="640"/>
      </w:pPr>
      <w:r>
        <w:rPr>
          <w:rFonts w:hint="eastAsia"/>
        </w:rPr>
        <w:t>30.卫生健康（类）行政事业单位医疗（款）事业单位医疗（项）：指反映部门安排的事业单位基本医疗保险缴费经费。</w:t>
      </w:r>
    </w:p>
    <w:p>
      <w:pPr>
        <w:pStyle w:val="5"/>
        <w:ind w:firstLine="640"/>
      </w:pPr>
      <w:r>
        <w:rPr>
          <w:rFonts w:hint="eastAsia"/>
        </w:rPr>
        <w:t>31.城乡社区支出（类）国有土地使用权出让收入安排的支出（款）其他国有土地使用权出让收入安排的支出（项）：指反映其他国有土地使用权出让收入安排的支出。</w:t>
      </w:r>
    </w:p>
    <w:p>
      <w:pPr>
        <w:pStyle w:val="5"/>
        <w:ind w:firstLine="640"/>
      </w:pPr>
      <w:r>
        <w:rPr>
          <w:rFonts w:hint="eastAsia"/>
        </w:rPr>
        <w:t>32.农林水支出（类）巩固脱贫攻坚成果衔接乡村振兴（款）社会发展（项）：指反映其他巩固脱贫衔接乡村振兴支出。</w:t>
      </w:r>
    </w:p>
    <w:p>
      <w:pPr>
        <w:pStyle w:val="5"/>
        <w:ind w:firstLine="640"/>
      </w:pPr>
      <w:r>
        <w:rPr>
          <w:rFonts w:hint="eastAsia"/>
        </w:rPr>
        <w:t>33.农林水支出（类）巩固脱贫攻坚成果衔接乡村振兴（款）其他巩固脱贫攻坚成果衔接乡村振兴支出（项）：指反映其他巩固脱贫衔接乡村振兴支出。</w:t>
      </w:r>
    </w:p>
    <w:p>
      <w:pPr>
        <w:pStyle w:val="5"/>
        <w:ind w:firstLine="640"/>
      </w:pPr>
      <w:r>
        <w:rPr>
          <w:rFonts w:hint="eastAsia"/>
        </w:rPr>
        <w:t>34.住房保障支出（类）住房改革支出（款）住房公积金（项）：指反映行政事业单位按人力资源和社会保障部，财政部规定的基本工资和津贴补贴以及规定比例为职工缴纳的住房公积金支出。</w:t>
      </w:r>
    </w:p>
    <w:p>
      <w:pPr>
        <w:pStyle w:val="5"/>
        <w:ind w:firstLine="640"/>
      </w:pPr>
      <w:r>
        <w:rPr>
          <w:rFonts w:hint="eastAsia"/>
        </w:rPr>
        <w:t>35.其他支出（类）其他政府性基金及对应专项债务收入安排的支出款）其他地方自行试点项目收益专项债券收入安排的支出（项）：指其他地方自行试点项目收益专项债券收入安排的支出。</w:t>
      </w:r>
    </w:p>
    <w:p>
      <w:pPr>
        <w:pStyle w:val="5"/>
        <w:ind w:firstLine="640"/>
      </w:pPr>
      <w:r>
        <w:rPr>
          <w:rFonts w:hint="eastAsia"/>
        </w:rPr>
        <w:t>36.其他支出（类）其他政府性基金及对应专项债务收入安排的支出（款）彩票公益金安排的支出（项）：指用于体育事业的彩票公益金支出。</w:t>
      </w:r>
    </w:p>
    <w:p>
      <w:pPr>
        <w:pStyle w:val="5"/>
        <w:ind w:firstLine="640"/>
      </w:pPr>
      <w:r>
        <w:rPr>
          <w:rFonts w:hint="eastAsia"/>
        </w:rPr>
        <w:t>37.基本支出：指为保障机构正常运转、完成日常工作任务而发生的人员支出和公用支出。</w:t>
      </w:r>
    </w:p>
    <w:p>
      <w:pPr>
        <w:pStyle w:val="5"/>
        <w:ind w:firstLine="640"/>
      </w:pPr>
      <w:r>
        <w:rPr>
          <w:rFonts w:hint="eastAsia"/>
        </w:rPr>
        <w:t xml:space="preserve">38.项目支出：指在基本支出之外为完成特定行政任务和事业发展目标所发生的支出。 </w:t>
      </w:r>
    </w:p>
    <w:p>
      <w:pPr>
        <w:pStyle w:val="5"/>
        <w:ind w:firstLine="640"/>
      </w:pPr>
      <w:r>
        <w:rPr>
          <w:rFonts w:hint="eastAsia"/>
        </w:rPr>
        <w:t>39.经营支出：指事业单位在专业业务活动及其辅助活动之外开展非独立核算经营活动发生的支出。</w:t>
      </w:r>
    </w:p>
    <w:p>
      <w:pPr>
        <w:pStyle w:val="5"/>
        <w:ind w:firstLine="640"/>
      </w:pPr>
      <w:r>
        <w:rPr>
          <w:rFonts w:hint="eastAsia"/>
        </w:rPr>
        <w:t>40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5"/>
        <w:ind w:firstLine="640"/>
        <w:jc w:val="left"/>
      </w:pPr>
      <w:r>
        <w:rPr>
          <w:rFonts w:hint="eastAsia"/>
        </w:rPr>
        <w:t>41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5"/>
        <w:ind w:firstLine="640"/>
        <w:jc w:val="left"/>
      </w:pPr>
    </w:p>
    <w:p>
      <w:r>
        <w:rPr>
          <w:rFonts w:hint="eastAsia"/>
        </w:rPr>
        <w:br w:type="page"/>
      </w:r>
    </w:p>
    <w:p>
      <w:pPr>
        <w:pStyle w:val="5"/>
        <w:ind w:firstLine="643"/>
        <w:jc w:val="center"/>
        <w:rPr>
          <w:b/>
          <w:bCs/>
        </w:rPr>
        <w:sectPr>
          <w:footerReference r:id="rId6" w:type="default"/>
          <w:pgSz w:w="11906" w:h="16838"/>
          <w:pgMar w:top="873" w:right="1800" w:bottom="703" w:left="1800" w:header="851" w:footer="992" w:gutter="0"/>
          <w:pgNumType w:start="1"/>
          <w:cols w:space="0" w:num="1"/>
          <w:docGrid w:type="lines" w:linePitch="312" w:charSpace="0"/>
        </w:sectPr>
      </w:pPr>
      <w:bookmarkStart w:id="59" w:name="_Toc4214"/>
    </w:p>
    <w:p>
      <w:pPr>
        <w:pStyle w:val="2"/>
        <w:numPr>
          <w:ilvl w:val="0"/>
          <w:numId w:val="2"/>
        </w:numPr>
        <w:rPr>
          <w:rStyle w:val="19"/>
          <w:b/>
          <w:bCs/>
        </w:rPr>
      </w:pPr>
      <w:bookmarkStart w:id="60" w:name="_Toc15396614"/>
      <w:r>
        <w:rPr>
          <w:rStyle w:val="19"/>
          <w:rFonts w:hint="eastAsia"/>
          <w:b/>
          <w:bCs/>
        </w:rPr>
        <w:t xml:space="preserve"> </w:t>
      </w:r>
      <w:bookmarkStart w:id="61" w:name="_Toc30"/>
      <w:r>
        <w:rPr>
          <w:rStyle w:val="19"/>
          <w:rFonts w:hint="eastAsia"/>
          <w:b/>
          <w:bCs/>
        </w:rPr>
        <w:t>附件</w:t>
      </w:r>
      <w:bookmarkEnd w:id="60"/>
      <w:bookmarkEnd w:id="61"/>
    </w:p>
    <w:p>
      <w:pPr>
        <w:pStyle w:val="5"/>
        <w:ind w:firstLine="643"/>
        <w:jc w:val="center"/>
        <w:rPr>
          <w:b/>
          <w:bCs/>
        </w:rPr>
      </w:pPr>
      <w:r>
        <w:rPr>
          <w:rFonts w:hint="eastAsia"/>
          <w:b/>
          <w:bCs/>
        </w:rPr>
        <w:t>部门预算项目支出绩效自评表（2025年度）</w:t>
      </w:r>
      <w:bookmarkEnd w:id="59"/>
    </w:p>
    <w:tbl>
      <w:tblPr>
        <w:tblStyle w:val="12"/>
        <w:tblW w:w="12701" w:type="dxa"/>
        <w:tblInd w:w="93" w:type="dxa"/>
        <w:tblLayout w:type="fixed"/>
        <w:tblCellMar>
          <w:top w:w="0" w:type="dxa"/>
          <w:left w:w="108" w:type="dxa"/>
          <w:bottom w:w="0" w:type="dxa"/>
          <w:right w:w="108" w:type="dxa"/>
        </w:tblCellMar>
      </w:tblPr>
      <w:tblGrid>
        <w:gridCol w:w="12701"/>
      </w:tblGrid>
      <w:tr>
        <w:tblPrEx>
          <w:tblCellMar>
            <w:top w:w="0" w:type="dxa"/>
            <w:left w:w="108" w:type="dxa"/>
            <w:bottom w:w="0" w:type="dxa"/>
            <w:right w:w="108" w:type="dxa"/>
          </w:tblCellMar>
        </w:tblPrEx>
        <w:trPr>
          <w:trHeight w:val="904" w:hRule="atLeast"/>
        </w:trPr>
        <w:tc>
          <w:tcPr>
            <w:tcW w:w="12465" w:type="dxa"/>
            <w:tcBorders>
              <w:top w:val="nil"/>
              <w:left w:val="nil"/>
              <w:bottom w:val="nil"/>
              <w:right w:val="nil"/>
            </w:tcBorders>
            <w:shd w:val="clear" w:color="auto" w:fill="auto"/>
            <w:vAlign w:val="center"/>
          </w:tcPr>
          <w:p>
            <w:pPr>
              <w:pStyle w:val="5"/>
              <w:ind w:firstLine="0" w:firstLineChars="0"/>
            </w:pPr>
            <w:r>
              <w:rPr>
                <w:rFonts w:hint="eastAsia"/>
              </w:rPr>
              <w:object>
                <v:shape id="_x0000_i1025" o:spt="75" type="#_x0000_t75" style="height:365pt;width:611.85pt;" o:ole="t" filled="f" o:preferrelative="t" stroked="f" coordsize="21600,21600">
                  <v:path/>
                  <v:fill on="f" focussize="0,0"/>
                  <v:stroke on="f" joinstyle="miter"/>
                  <v:imagedata r:id="rId16" o:title=""/>
                  <o:lock v:ext="edit" aspectratio="f"/>
                  <w10:wrap type="none"/>
                  <w10:anchorlock/>
                </v:shape>
                <o:OLEObject Type="Embed" ProgID="Excel.Sheet.12" ShapeID="_x0000_i1025" DrawAspect="Content" ObjectID="_1468075725" r:id="rId15">
                  <o:LockedField>false</o:LockedField>
                </o:OLEObject>
              </w:object>
            </w:r>
          </w:p>
        </w:tc>
      </w:tr>
    </w:tbl>
    <w:p/>
    <w:p>
      <w:pPr>
        <w:spacing w:line="578" w:lineRule="exact"/>
        <w:ind w:firstLine="640"/>
        <w:rPr>
          <w:rFonts w:eastAsia="仿宋_GB2312" w:cs="仿宋_GB2312"/>
          <w:kern w:val="0"/>
          <w:sz w:val="32"/>
          <w:szCs w:val="32"/>
        </w:rPr>
      </w:pPr>
    </w:p>
    <w:p>
      <w:pPr>
        <w:spacing w:line="578" w:lineRule="exact"/>
        <w:ind w:firstLine="640"/>
        <w:rPr>
          <w:rFonts w:eastAsia="仿宋_GB2312" w:cs="仿宋_GB2312"/>
          <w:kern w:val="0"/>
          <w:sz w:val="32"/>
          <w:szCs w:val="32"/>
        </w:rPr>
        <w:sectPr>
          <w:pgSz w:w="16838" w:h="23811"/>
          <w:pgMar w:top="1440" w:right="1803" w:bottom="1440" w:left="1803" w:header="851" w:footer="992" w:gutter="0"/>
          <w:cols w:space="0" w:num="1"/>
          <w:docGrid w:type="lines" w:linePitch="319" w:charSpace="0"/>
        </w:sectPr>
      </w:pPr>
      <w:bookmarkStart w:id="62" w:name="_Toc15396618"/>
      <w:r>
        <w:rPr>
          <w:rFonts w:hint="eastAsia" w:eastAsia="仿宋_GB2312" w:cs="仿宋_GB2312"/>
          <w:kern w:val="0"/>
          <w:sz w:val="32"/>
          <w:szCs w:val="32"/>
        </w:rPr>
        <w:br w:type="page"/>
      </w:r>
    </w:p>
    <w:p>
      <w:pPr>
        <w:pStyle w:val="5"/>
        <w:ind w:firstLine="640"/>
      </w:pPr>
    </w:p>
    <w:p>
      <w:pPr>
        <w:pStyle w:val="5"/>
        <w:ind w:firstLine="0" w:firstLineChars="0"/>
        <w:sectPr>
          <w:pgSz w:w="16838" w:h="23811"/>
          <w:pgMar w:top="1440" w:right="1803" w:bottom="1440" w:left="1803" w:header="851" w:footer="992" w:gutter="0"/>
          <w:cols w:space="0" w:num="1"/>
          <w:docGrid w:type="lines" w:linePitch="319" w:charSpace="0"/>
        </w:sectPr>
      </w:pPr>
      <w:r>
        <w:rPr>
          <w:rFonts w:hint="eastAsia"/>
        </w:rPr>
        <w:object>
          <v:shape id="_x0000_i1026" o:spt="75" type="#_x0000_t75" style="height:398.75pt;width:661.3pt;" o:ole="t" filled="f" o:preferrelative="t" stroked="f" coordsize="21600,21600">
            <v:path/>
            <v:fill on="f" focussize="0,0"/>
            <v:stroke on="f" joinstyle="miter"/>
            <v:imagedata r:id="rId18" o:title=""/>
            <o:lock v:ext="edit" aspectratio="f"/>
            <w10:wrap type="none"/>
            <w10:anchorlock/>
          </v:shape>
          <o:OLEObject Type="Embed" ProgID="Excel.Sheet.12" ShapeID="_x0000_i1026" DrawAspect="Content" ObjectID="_1468075726" r:id="rId17">
            <o:LockedField>false</o:LockedField>
          </o:OLEObject>
        </w:object>
      </w:r>
    </w:p>
    <w:p>
      <w:pPr>
        <w:pStyle w:val="5"/>
        <w:ind w:firstLine="0" w:firstLineChars="0"/>
        <w:sectPr>
          <w:pgSz w:w="16838" w:h="23811"/>
          <w:pgMar w:top="1440" w:right="1803" w:bottom="1440" w:left="1803" w:header="851" w:footer="992" w:gutter="0"/>
          <w:cols w:space="0" w:num="1"/>
          <w:docGrid w:type="lines" w:linePitch="319" w:charSpace="0"/>
        </w:sectPr>
      </w:pPr>
      <w:r>
        <w:rPr>
          <w:rFonts w:hint="eastAsia"/>
        </w:rPr>
        <w:object>
          <v:shape id="_x0000_i1027" o:spt="75" type="#_x0000_t75" style="height:404.35pt;width:661.3pt;" o:ole="t" filled="f" o:preferrelative="t" stroked="f" coordsize="21600,21600">
            <v:path/>
            <v:fill on="f" focussize="0,0"/>
            <v:stroke on="f" joinstyle="miter"/>
            <v:imagedata r:id="rId20" o:title=""/>
            <o:lock v:ext="edit" aspectratio="f"/>
            <w10:wrap type="none"/>
            <w10:anchorlock/>
          </v:shape>
          <o:OLEObject Type="Embed" ProgID="Excel.Sheet.12" ShapeID="_x0000_i1027" DrawAspect="Content" ObjectID="_1468075727" r:id="rId19">
            <o:LockedField>false</o:LockedField>
          </o:OLEObject>
        </w:object>
      </w:r>
    </w:p>
    <w:p>
      <w:pPr>
        <w:pStyle w:val="2"/>
        <w:numPr>
          <w:ilvl w:val="0"/>
          <w:numId w:val="3"/>
        </w:numPr>
      </w:pPr>
      <w:bookmarkStart w:id="63" w:name="_Toc1421"/>
      <w:r>
        <w:rPr>
          <w:rFonts w:hint="eastAsia"/>
        </w:rPr>
        <w:t>附表</w:t>
      </w:r>
      <w:bookmarkEnd w:id="58"/>
      <w:bookmarkEnd w:id="62"/>
      <w:bookmarkEnd w:id="63"/>
      <w:bookmarkStart w:id="64" w:name="_Toc15396619"/>
    </w:p>
    <w:p/>
    <w:p>
      <w:pPr>
        <w:pStyle w:val="3"/>
        <w:spacing w:before="156"/>
        <w:ind w:firstLine="640"/>
      </w:pPr>
      <w:bookmarkStart w:id="65" w:name="_Toc5211"/>
      <w:r>
        <w:rPr>
          <w:rFonts w:hint="eastAsia"/>
        </w:rPr>
        <w:t>一、收入支出决算总表</w:t>
      </w:r>
      <w:bookmarkEnd w:id="64"/>
      <w:bookmarkEnd w:id="65"/>
    </w:p>
    <w:p>
      <w:pPr>
        <w:pStyle w:val="3"/>
        <w:spacing w:before="156"/>
        <w:ind w:firstLine="640"/>
      </w:pPr>
      <w:bookmarkStart w:id="66" w:name="_Toc15396620"/>
      <w:bookmarkStart w:id="67" w:name="_Toc22030"/>
      <w:r>
        <w:rPr>
          <w:rFonts w:hint="eastAsia"/>
        </w:rPr>
        <w:t>二、收入决算表</w:t>
      </w:r>
      <w:bookmarkEnd w:id="66"/>
      <w:bookmarkEnd w:id="67"/>
    </w:p>
    <w:p>
      <w:pPr>
        <w:pStyle w:val="3"/>
        <w:spacing w:before="156"/>
        <w:ind w:firstLine="640"/>
      </w:pPr>
      <w:bookmarkStart w:id="68" w:name="_Toc9298"/>
      <w:bookmarkStart w:id="69" w:name="_Toc15396621"/>
      <w:r>
        <w:rPr>
          <w:rFonts w:hint="eastAsia"/>
        </w:rPr>
        <w:t>三、支出决算表</w:t>
      </w:r>
      <w:bookmarkEnd w:id="68"/>
      <w:bookmarkEnd w:id="69"/>
    </w:p>
    <w:p>
      <w:pPr>
        <w:pStyle w:val="3"/>
        <w:spacing w:before="156"/>
        <w:ind w:firstLine="640"/>
      </w:pPr>
      <w:bookmarkStart w:id="70" w:name="_Toc15396622"/>
      <w:bookmarkStart w:id="71" w:name="_Toc9822"/>
      <w:r>
        <w:rPr>
          <w:rFonts w:hint="eastAsia"/>
        </w:rPr>
        <w:t>四、财政拨款收入支出决算总表</w:t>
      </w:r>
      <w:bookmarkEnd w:id="70"/>
      <w:bookmarkEnd w:id="71"/>
    </w:p>
    <w:p>
      <w:pPr>
        <w:pStyle w:val="3"/>
        <w:spacing w:before="156"/>
        <w:ind w:firstLine="640"/>
      </w:pPr>
      <w:bookmarkStart w:id="72" w:name="_Toc15396623"/>
      <w:bookmarkStart w:id="73" w:name="_Toc9439"/>
      <w:r>
        <w:rPr>
          <w:rFonts w:hint="eastAsia"/>
        </w:rPr>
        <w:t>五、财政拨款支出决算明细表</w:t>
      </w:r>
      <w:bookmarkEnd w:id="72"/>
      <w:bookmarkEnd w:id="73"/>
      <w:bookmarkStart w:id="74" w:name="_Toc15396624"/>
    </w:p>
    <w:p>
      <w:pPr>
        <w:pStyle w:val="3"/>
        <w:spacing w:before="156"/>
        <w:ind w:firstLine="640"/>
      </w:pPr>
      <w:bookmarkStart w:id="75" w:name="_Toc31196"/>
      <w:r>
        <w:rPr>
          <w:rFonts w:hint="eastAsia"/>
        </w:rPr>
        <w:t>六、一般公共预算财政拨款支出决算表</w:t>
      </w:r>
      <w:bookmarkEnd w:id="74"/>
      <w:bookmarkEnd w:id="75"/>
    </w:p>
    <w:p>
      <w:pPr>
        <w:pStyle w:val="3"/>
        <w:spacing w:before="156"/>
        <w:ind w:firstLine="640"/>
      </w:pPr>
      <w:bookmarkStart w:id="76" w:name="_Toc15396625"/>
      <w:bookmarkStart w:id="77" w:name="_Toc11793"/>
      <w:r>
        <w:rPr>
          <w:rFonts w:hint="eastAsia"/>
        </w:rPr>
        <w:t>七、一般公共预算财政拨款支出决算明细表</w:t>
      </w:r>
      <w:bookmarkEnd w:id="76"/>
      <w:bookmarkEnd w:id="77"/>
    </w:p>
    <w:p>
      <w:pPr>
        <w:pStyle w:val="3"/>
        <w:spacing w:before="156"/>
        <w:ind w:firstLine="640"/>
      </w:pPr>
      <w:bookmarkStart w:id="78" w:name="_Toc15396626"/>
      <w:bookmarkStart w:id="79" w:name="_Toc18912"/>
      <w:r>
        <w:rPr>
          <w:rFonts w:hint="eastAsia"/>
        </w:rPr>
        <w:t>八、一般公共预算财政拨款基本支出决算表</w:t>
      </w:r>
      <w:bookmarkEnd w:id="78"/>
      <w:bookmarkEnd w:id="79"/>
    </w:p>
    <w:p>
      <w:pPr>
        <w:pStyle w:val="3"/>
        <w:spacing w:before="156"/>
        <w:ind w:firstLine="640"/>
      </w:pPr>
      <w:bookmarkStart w:id="80" w:name="_Toc15396627"/>
      <w:bookmarkStart w:id="81" w:name="_Toc5982"/>
      <w:r>
        <w:rPr>
          <w:rFonts w:hint="eastAsia"/>
        </w:rPr>
        <w:t>九、一般公共预算财政拨款项目支出决算表</w:t>
      </w:r>
      <w:bookmarkEnd w:id="80"/>
      <w:bookmarkEnd w:id="81"/>
    </w:p>
    <w:p>
      <w:pPr>
        <w:pStyle w:val="3"/>
        <w:spacing w:before="156"/>
        <w:ind w:firstLine="640"/>
      </w:pPr>
      <w:bookmarkStart w:id="82" w:name="_Toc15396628"/>
      <w:bookmarkStart w:id="83" w:name="_Toc11671"/>
      <w:r>
        <w:rPr>
          <w:rFonts w:hint="eastAsia"/>
        </w:rPr>
        <w:t>十、</w:t>
      </w:r>
      <w:bookmarkEnd w:id="82"/>
      <w:r>
        <w:rPr>
          <w:rFonts w:hint="eastAsia"/>
        </w:rPr>
        <w:t>政府性基金预算财政拨款收入支出决算表</w:t>
      </w:r>
      <w:bookmarkEnd w:id="83"/>
    </w:p>
    <w:p>
      <w:pPr>
        <w:pStyle w:val="3"/>
        <w:spacing w:before="156"/>
        <w:ind w:firstLine="640"/>
      </w:pPr>
      <w:bookmarkStart w:id="84" w:name="_Toc15396629"/>
      <w:bookmarkStart w:id="85" w:name="_Toc2689"/>
      <w:r>
        <w:rPr>
          <w:rFonts w:hint="eastAsia"/>
        </w:rPr>
        <w:t>十一、</w:t>
      </w:r>
      <w:bookmarkEnd w:id="84"/>
      <w:r>
        <w:rPr>
          <w:rFonts w:hint="eastAsia"/>
        </w:rPr>
        <w:t>国有资本经营预算财政拨款收入支出决算表</w:t>
      </w:r>
      <w:bookmarkEnd w:id="85"/>
    </w:p>
    <w:p>
      <w:pPr>
        <w:pStyle w:val="3"/>
        <w:spacing w:before="156"/>
        <w:ind w:firstLine="640"/>
      </w:pPr>
      <w:bookmarkStart w:id="86" w:name="_Toc15396630"/>
      <w:bookmarkStart w:id="87" w:name="_Toc496"/>
      <w:r>
        <w:rPr>
          <w:rFonts w:hint="eastAsia"/>
        </w:rPr>
        <w:t>十二、</w:t>
      </w:r>
      <w:bookmarkEnd w:id="86"/>
      <w:r>
        <w:rPr>
          <w:rFonts w:hint="eastAsia"/>
        </w:rPr>
        <w:t>国有资本经营预算财政拨款支出决算表</w:t>
      </w:r>
      <w:bookmarkEnd w:id="87"/>
    </w:p>
    <w:p>
      <w:pPr>
        <w:pStyle w:val="3"/>
        <w:spacing w:before="156"/>
        <w:ind w:firstLine="640"/>
      </w:pPr>
      <w:bookmarkStart w:id="88" w:name="_Toc15396631"/>
      <w:bookmarkStart w:id="89" w:name="_Toc27212"/>
      <w:r>
        <w:rPr>
          <w:rFonts w:hint="eastAsia"/>
        </w:rPr>
        <w:t>十三、</w:t>
      </w:r>
      <w:bookmarkEnd w:id="88"/>
      <w:r>
        <w:rPr>
          <w:rFonts w:hint="eastAsia"/>
        </w:rPr>
        <w:t>财政拨款“三公”经费支出决算表</w:t>
      </w:r>
      <w:bookmarkEnd w:id="89"/>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23</w:t>
                    </w:r>
                    <w:r>
                      <w:fldChar w:fldCharType="end"/>
                    </w:r>
                  </w:p>
                </w:txbxContent>
              </v:textbox>
            </v:shape>
          </w:pict>
        </mc:Fallback>
      </mc:AlternateContent>
    </w:r>
  </w:p>
  <w:p>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BDF83A"/>
    <w:multiLevelType w:val="singleLevel"/>
    <w:tmpl w:val="D2BDF83A"/>
    <w:lvl w:ilvl="0" w:tentative="0">
      <w:start w:val="1"/>
      <w:numFmt w:val="chineseCounting"/>
      <w:suff w:val="nothing"/>
      <w:lvlText w:val="%1、"/>
      <w:lvlJc w:val="left"/>
      <w:rPr>
        <w:rFonts w:hint="eastAsia"/>
      </w:rPr>
    </w:lvl>
  </w:abstractNum>
  <w:abstractNum w:abstractNumId="1">
    <w:nsid w:val="0814A4B7"/>
    <w:multiLevelType w:val="singleLevel"/>
    <w:tmpl w:val="0814A4B7"/>
    <w:lvl w:ilvl="0" w:tentative="0">
      <w:start w:val="5"/>
      <w:numFmt w:val="chineseCounting"/>
      <w:suff w:val="space"/>
      <w:lvlText w:val="第%1部分"/>
      <w:lvlJc w:val="left"/>
      <w:rPr>
        <w:rFonts w:hint="eastAsia"/>
      </w:rPr>
    </w:lvl>
  </w:abstractNum>
  <w:abstractNum w:abstractNumId="2">
    <w:nsid w:val="53BEF71C"/>
    <w:multiLevelType w:val="singleLevel"/>
    <w:tmpl w:val="53BEF71C"/>
    <w:lvl w:ilvl="0" w:tentative="0">
      <w:start w:val="4"/>
      <w:numFmt w:val="chineseCounting"/>
      <w:suff w:val="space"/>
      <w:lvlText w:val="第%1部分"/>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05"/>
  <w:drawingGridVerticalSpacing w:val="159"/>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I2MzViNTk4M2M1YjhjYTYwYTk2Mzk0N2I2ZmQ0MDE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024B"/>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A6CB5"/>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0A46"/>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37B9"/>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AF5"/>
    <w:rsid w:val="02317B1B"/>
    <w:rsid w:val="02FEBE30"/>
    <w:rsid w:val="05190A24"/>
    <w:rsid w:val="061E35DE"/>
    <w:rsid w:val="066E0107"/>
    <w:rsid w:val="07390DE7"/>
    <w:rsid w:val="0744651C"/>
    <w:rsid w:val="07996F6E"/>
    <w:rsid w:val="07DFD8BA"/>
    <w:rsid w:val="08DB07E4"/>
    <w:rsid w:val="09867E8F"/>
    <w:rsid w:val="0A2032A3"/>
    <w:rsid w:val="0A6273E5"/>
    <w:rsid w:val="0A641E54"/>
    <w:rsid w:val="0AA611B3"/>
    <w:rsid w:val="0C6C4794"/>
    <w:rsid w:val="0CA8290A"/>
    <w:rsid w:val="0D35B1ED"/>
    <w:rsid w:val="0DE07E2B"/>
    <w:rsid w:val="0E2B5D40"/>
    <w:rsid w:val="0E5928AD"/>
    <w:rsid w:val="0E644A75"/>
    <w:rsid w:val="0F19203C"/>
    <w:rsid w:val="0F98263C"/>
    <w:rsid w:val="101860EC"/>
    <w:rsid w:val="108178F9"/>
    <w:rsid w:val="10C055FF"/>
    <w:rsid w:val="11772AA4"/>
    <w:rsid w:val="118107EC"/>
    <w:rsid w:val="13957196"/>
    <w:rsid w:val="13D50BC4"/>
    <w:rsid w:val="14022904"/>
    <w:rsid w:val="152F2A07"/>
    <w:rsid w:val="154974F2"/>
    <w:rsid w:val="165E0673"/>
    <w:rsid w:val="16AB2114"/>
    <w:rsid w:val="16BB723D"/>
    <w:rsid w:val="16F13FCB"/>
    <w:rsid w:val="17AA5F28"/>
    <w:rsid w:val="186504BB"/>
    <w:rsid w:val="18EA3CEA"/>
    <w:rsid w:val="1938089F"/>
    <w:rsid w:val="19A445FC"/>
    <w:rsid w:val="19AF33FF"/>
    <w:rsid w:val="1A231FC1"/>
    <w:rsid w:val="1A2A3350"/>
    <w:rsid w:val="1A9C761C"/>
    <w:rsid w:val="1B7D550C"/>
    <w:rsid w:val="1BE8440E"/>
    <w:rsid w:val="1D155CEE"/>
    <w:rsid w:val="1D1C3424"/>
    <w:rsid w:val="1DE178F3"/>
    <w:rsid w:val="1E740ACF"/>
    <w:rsid w:val="1F4F4B60"/>
    <w:rsid w:val="1FE312CB"/>
    <w:rsid w:val="1FF35744"/>
    <w:rsid w:val="1FF6BC77"/>
    <w:rsid w:val="21962A9E"/>
    <w:rsid w:val="21AE7C77"/>
    <w:rsid w:val="21F52068"/>
    <w:rsid w:val="225D61BE"/>
    <w:rsid w:val="22BC3C41"/>
    <w:rsid w:val="23860B96"/>
    <w:rsid w:val="240371BF"/>
    <w:rsid w:val="24A81A41"/>
    <w:rsid w:val="25311A36"/>
    <w:rsid w:val="25407ECB"/>
    <w:rsid w:val="260F557C"/>
    <w:rsid w:val="281408E2"/>
    <w:rsid w:val="286345FC"/>
    <w:rsid w:val="286F217B"/>
    <w:rsid w:val="29FD04D3"/>
    <w:rsid w:val="2A383867"/>
    <w:rsid w:val="2A9C7672"/>
    <w:rsid w:val="2B98280F"/>
    <w:rsid w:val="2BFF7BC6"/>
    <w:rsid w:val="2C8A61B5"/>
    <w:rsid w:val="2CE02C8D"/>
    <w:rsid w:val="2D2E01CF"/>
    <w:rsid w:val="2DF04E50"/>
    <w:rsid w:val="2E011DC0"/>
    <w:rsid w:val="2E1B14D5"/>
    <w:rsid w:val="2E6359AE"/>
    <w:rsid w:val="2E9545B0"/>
    <w:rsid w:val="2F040D46"/>
    <w:rsid w:val="2FAE5751"/>
    <w:rsid w:val="2FB1A395"/>
    <w:rsid w:val="2FD9A7D8"/>
    <w:rsid w:val="300E12F2"/>
    <w:rsid w:val="30BD4AC6"/>
    <w:rsid w:val="319F7F4E"/>
    <w:rsid w:val="321B2544"/>
    <w:rsid w:val="3304709D"/>
    <w:rsid w:val="333837F7"/>
    <w:rsid w:val="34281836"/>
    <w:rsid w:val="349D6851"/>
    <w:rsid w:val="34C92F2E"/>
    <w:rsid w:val="34D16D92"/>
    <w:rsid w:val="355377A7"/>
    <w:rsid w:val="35BA6CAF"/>
    <w:rsid w:val="35D37231"/>
    <w:rsid w:val="364D14C1"/>
    <w:rsid w:val="36AA5135"/>
    <w:rsid w:val="36BE0DA7"/>
    <w:rsid w:val="36BE5B78"/>
    <w:rsid w:val="3719363B"/>
    <w:rsid w:val="376B6AA6"/>
    <w:rsid w:val="376D39B2"/>
    <w:rsid w:val="37E16F03"/>
    <w:rsid w:val="37F53A3B"/>
    <w:rsid w:val="38741F0E"/>
    <w:rsid w:val="389B6C89"/>
    <w:rsid w:val="38D469F0"/>
    <w:rsid w:val="39243934"/>
    <w:rsid w:val="39627CCD"/>
    <w:rsid w:val="397BAF1F"/>
    <w:rsid w:val="3AB79AF3"/>
    <w:rsid w:val="3AF275A9"/>
    <w:rsid w:val="3B7EF35A"/>
    <w:rsid w:val="3B9FDB6C"/>
    <w:rsid w:val="3BF5BC2F"/>
    <w:rsid w:val="3CEBA265"/>
    <w:rsid w:val="3D98207C"/>
    <w:rsid w:val="3D9B0D99"/>
    <w:rsid w:val="3DEE7CF3"/>
    <w:rsid w:val="3DF02244"/>
    <w:rsid w:val="3DF37185"/>
    <w:rsid w:val="3E78745D"/>
    <w:rsid w:val="3EA550E2"/>
    <w:rsid w:val="3EE15E23"/>
    <w:rsid w:val="3EFB2C58"/>
    <w:rsid w:val="3FF4CAE0"/>
    <w:rsid w:val="3FF7B227"/>
    <w:rsid w:val="404A29FF"/>
    <w:rsid w:val="40E54C45"/>
    <w:rsid w:val="41313393"/>
    <w:rsid w:val="418C612E"/>
    <w:rsid w:val="41B309D9"/>
    <w:rsid w:val="42293D69"/>
    <w:rsid w:val="43A407DF"/>
    <w:rsid w:val="43FE2FD4"/>
    <w:rsid w:val="444C3D3F"/>
    <w:rsid w:val="444D7248"/>
    <w:rsid w:val="44515BEA"/>
    <w:rsid w:val="44983428"/>
    <w:rsid w:val="44E268DA"/>
    <w:rsid w:val="453F7E5B"/>
    <w:rsid w:val="470A2656"/>
    <w:rsid w:val="486A6C7A"/>
    <w:rsid w:val="48C112FA"/>
    <w:rsid w:val="49176D9B"/>
    <w:rsid w:val="494006BD"/>
    <w:rsid w:val="49FC61CF"/>
    <w:rsid w:val="4A0C3142"/>
    <w:rsid w:val="4A627F82"/>
    <w:rsid w:val="4B0E749A"/>
    <w:rsid w:val="4B4F25DA"/>
    <w:rsid w:val="4BDA0CFB"/>
    <w:rsid w:val="4BE068DB"/>
    <w:rsid w:val="4C03562B"/>
    <w:rsid w:val="4C2F01CE"/>
    <w:rsid w:val="4D3C0CCC"/>
    <w:rsid w:val="4D577224"/>
    <w:rsid w:val="4D8E361A"/>
    <w:rsid w:val="4DBF1CEB"/>
    <w:rsid w:val="4EAB630A"/>
    <w:rsid w:val="4ECE2238"/>
    <w:rsid w:val="4F833267"/>
    <w:rsid w:val="4F8D6AE2"/>
    <w:rsid w:val="4FC926E8"/>
    <w:rsid w:val="4FE9BD67"/>
    <w:rsid w:val="4FFB052F"/>
    <w:rsid w:val="51501312"/>
    <w:rsid w:val="524A5507"/>
    <w:rsid w:val="53083A92"/>
    <w:rsid w:val="537E6D0A"/>
    <w:rsid w:val="53AF27A2"/>
    <w:rsid w:val="53F74C96"/>
    <w:rsid w:val="54951A5F"/>
    <w:rsid w:val="54E3492E"/>
    <w:rsid w:val="56E47B74"/>
    <w:rsid w:val="57BD3DD4"/>
    <w:rsid w:val="57D85BBE"/>
    <w:rsid w:val="5A13112F"/>
    <w:rsid w:val="5AF92295"/>
    <w:rsid w:val="5BDD79E6"/>
    <w:rsid w:val="5BE657E3"/>
    <w:rsid w:val="5BF561CA"/>
    <w:rsid w:val="5BFF5DFC"/>
    <w:rsid w:val="5CD71FC4"/>
    <w:rsid w:val="5D1F11B5"/>
    <w:rsid w:val="5DAE1B18"/>
    <w:rsid w:val="5DE7D9E5"/>
    <w:rsid w:val="5E1700E4"/>
    <w:rsid w:val="5E203E1A"/>
    <w:rsid w:val="5ECEC941"/>
    <w:rsid w:val="5F493CB7"/>
    <w:rsid w:val="5F5B630A"/>
    <w:rsid w:val="5F9E149B"/>
    <w:rsid w:val="5FAA42E4"/>
    <w:rsid w:val="5FBF9FF3"/>
    <w:rsid w:val="5FCD4E2C"/>
    <w:rsid w:val="5FD15F49"/>
    <w:rsid w:val="5FD27396"/>
    <w:rsid w:val="5FEF394A"/>
    <w:rsid w:val="5FF67715"/>
    <w:rsid w:val="60FB291D"/>
    <w:rsid w:val="62BF3928"/>
    <w:rsid w:val="647629E6"/>
    <w:rsid w:val="647F5392"/>
    <w:rsid w:val="656C5B97"/>
    <w:rsid w:val="664B1D71"/>
    <w:rsid w:val="67AA3209"/>
    <w:rsid w:val="681C4F0D"/>
    <w:rsid w:val="69046D0F"/>
    <w:rsid w:val="698D0931"/>
    <w:rsid w:val="69FE3207"/>
    <w:rsid w:val="6A993CED"/>
    <w:rsid w:val="6B053271"/>
    <w:rsid w:val="6B5415A7"/>
    <w:rsid w:val="6B8A4FC9"/>
    <w:rsid w:val="6B99520C"/>
    <w:rsid w:val="6B9B0F84"/>
    <w:rsid w:val="6BCE6674"/>
    <w:rsid w:val="6C4A05C8"/>
    <w:rsid w:val="6C8742B8"/>
    <w:rsid w:val="6C8A170F"/>
    <w:rsid w:val="6CB54609"/>
    <w:rsid w:val="6D986253"/>
    <w:rsid w:val="6DBF5E93"/>
    <w:rsid w:val="6DFF077E"/>
    <w:rsid w:val="6E1C2FD8"/>
    <w:rsid w:val="6E49116B"/>
    <w:rsid w:val="6E7E3605"/>
    <w:rsid w:val="6E7FDCC7"/>
    <w:rsid w:val="6ED6A62E"/>
    <w:rsid w:val="6EE00B15"/>
    <w:rsid w:val="6F544B20"/>
    <w:rsid w:val="6F6FB3EB"/>
    <w:rsid w:val="6F784160"/>
    <w:rsid w:val="6F8731EA"/>
    <w:rsid w:val="6FCE6052"/>
    <w:rsid w:val="6FD57C00"/>
    <w:rsid w:val="6FEFFFD8"/>
    <w:rsid w:val="6FF5CC65"/>
    <w:rsid w:val="6FFB47EC"/>
    <w:rsid w:val="6FFF034A"/>
    <w:rsid w:val="70001486"/>
    <w:rsid w:val="70137B71"/>
    <w:rsid w:val="70496804"/>
    <w:rsid w:val="707D50FC"/>
    <w:rsid w:val="70DF1913"/>
    <w:rsid w:val="70E44F52"/>
    <w:rsid w:val="710B3229"/>
    <w:rsid w:val="710E3FA6"/>
    <w:rsid w:val="712A28F1"/>
    <w:rsid w:val="7134255F"/>
    <w:rsid w:val="715C0E4B"/>
    <w:rsid w:val="71B15066"/>
    <w:rsid w:val="72233669"/>
    <w:rsid w:val="72710C91"/>
    <w:rsid w:val="72734D90"/>
    <w:rsid w:val="7332FE48"/>
    <w:rsid w:val="735B05FF"/>
    <w:rsid w:val="73AB61DA"/>
    <w:rsid w:val="73AD73D5"/>
    <w:rsid w:val="73B6EB34"/>
    <w:rsid w:val="73FA497D"/>
    <w:rsid w:val="744731E5"/>
    <w:rsid w:val="74527205"/>
    <w:rsid w:val="74BBD01D"/>
    <w:rsid w:val="74ED5379"/>
    <w:rsid w:val="74FC2395"/>
    <w:rsid w:val="75DEEEC2"/>
    <w:rsid w:val="76031F87"/>
    <w:rsid w:val="76AA4771"/>
    <w:rsid w:val="76E3355F"/>
    <w:rsid w:val="76FF5125"/>
    <w:rsid w:val="776F6FFA"/>
    <w:rsid w:val="778769C8"/>
    <w:rsid w:val="77DC22F5"/>
    <w:rsid w:val="79086DAD"/>
    <w:rsid w:val="79974F09"/>
    <w:rsid w:val="79D7FD79"/>
    <w:rsid w:val="79EE5BA4"/>
    <w:rsid w:val="7A894339"/>
    <w:rsid w:val="7AFF7572"/>
    <w:rsid w:val="7B095F0A"/>
    <w:rsid w:val="7B560A24"/>
    <w:rsid w:val="7B6C7DFB"/>
    <w:rsid w:val="7B840A0F"/>
    <w:rsid w:val="7BBFBED0"/>
    <w:rsid w:val="7BC3E394"/>
    <w:rsid w:val="7BD61B65"/>
    <w:rsid w:val="7C1F3737"/>
    <w:rsid w:val="7CBFC87B"/>
    <w:rsid w:val="7CFE0F48"/>
    <w:rsid w:val="7D7EC23E"/>
    <w:rsid w:val="7D916348"/>
    <w:rsid w:val="7D9561F5"/>
    <w:rsid w:val="7E307C52"/>
    <w:rsid w:val="7E8ADEBF"/>
    <w:rsid w:val="7EDE145C"/>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nhideWhenUsed="0" w:uiPriority="0" w:semiHidden="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9"/>
    <w:qFormat/>
    <w:uiPriority w:val="9"/>
    <w:pPr>
      <w:keepNext/>
      <w:keepLines/>
      <w:spacing w:before="340" w:after="330" w:line="579" w:lineRule="auto"/>
      <w:jc w:val="center"/>
      <w:outlineLvl w:val="0"/>
    </w:pPr>
    <w:rPr>
      <w:rFonts w:ascii="黑体" w:hAnsi="黑体" w:eastAsia="黑体"/>
      <w:b/>
      <w:bCs/>
      <w:kern w:val="44"/>
      <w:sz w:val="44"/>
      <w:szCs w:val="44"/>
    </w:rPr>
  </w:style>
  <w:style w:type="paragraph" w:styleId="3">
    <w:name w:val="heading 2"/>
    <w:basedOn w:val="1"/>
    <w:next w:val="1"/>
    <w:link w:val="20"/>
    <w:unhideWhenUsed/>
    <w:qFormat/>
    <w:uiPriority w:val="9"/>
    <w:pPr>
      <w:keepNext/>
      <w:keepLines/>
      <w:spacing w:before="50" w:beforeLines="50" w:line="360" w:lineRule="auto"/>
      <w:ind w:firstLine="1440" w:firstLineChars="200"/>
      <w:outlineLvl w:val="1"/>
    </w:pPr>
    <w:rPr>
      <w:rFonts w:eastAsia="黑体" w:asciiTheme="majorHAnsi" w:hAnsiTheme="majorHAnsi" w:cstheme="majorBidi"/>
      <w:bCs/>
      <w:sz w:val="32"/>
      <w:szCs w:val="32"/>
    </w:rPr>
  </w:style>
  <w:style w:type="paragraph" w:styleId="4">
    <w:name w:val="heading 3"/>
    <w:basedOn w:val="1"/>
    <w:next w:val="1"/>
    <w:link w:val="22"/>
    <w:unhideWhenUsed/>
    <w:qFormat/>
    <w:uiPriority w:val="9"/>
    <w:pPr>
      <w:keepNext/>
      <w:keepLines/>
      <w:spacing w:line="360" w:lineRule="auto"/>
      <w:ind w:firstLine="1440" w:firstLineChars="200"/>
      <w:outlineLvl w:val="2"/>
    </w:pPr>
    <w:rPr>
      <w:rFonts w:eastAsia="仿宋"/>
      <w:b/>
      <w:bCs/>
      <w:sz w:val="32"/>
      <w:szCs w:val="32"/>
    </w:rPr>
  </w:style>
  <w:style w:type="character" w:default="1" w:styleId="13">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17"/>
    <w:qFormat/>
    <w:uiPriority w:val="99"/>
    <w:pPr>
      <w:spacing w:line="360" w:lineRule="auto"/>
      <w:ind w:firstLine="1440" w:firstLineChars="200"/>
    </w:pPr>
    <w:rPr>
      <w:rFonts w:ascii="仿宋_GB2312" w:hAnsi="仿宋_GB2312" w:eastAsia="仿宋_GB2312"/>
      <w:kern w:val="0"/>
      <w:sz w:val="32"/>
    </w:rPr>
  </w:style>
  <w:style w:type="paragraph" w:styleId="6">
    <w:name w:val="toc 3"/>
    <w:basedOn w:val="1"/>
    <w:next w:val="1"/>
    <w:unhideWhenUsed/>
    <w:qFormat/>
    <w:uiPriority w:val="39"/>
    <w:pPr>
      <w:tabs>
        <w:tab w:val="right" w:leader="dot" w:pos="8296"/>
      </w:tabs>
      <w:ind w:left="840" w:leftChars="400"/>
    </w:pPr>
  </w:style>
  <w:style w:type="paragraph" w:styleId="7">
    <w:name w:val="Balloon Text"/>
    <w:basedOn w:val="1"/>
    <w:link w:val="27"/>
    <w:uiPriority w:val="0"/>
    <w:rPr>
      <w:sz w:val="18"/>
      <w:szCs w:val="18"/>
    </w:rPr>
  </w:style>
  <w:style w:type="paragraph" w:styleId="8">
    <w:name w:val="footer"/>
    <w:basedOn w:val="1"/>
    <w:link w:val="16"/>
    <w:qFormat/>
    <w:uiPriority w:val="99"/>
    <w:pPr>
      <w:tabs>
        <w:tab w:val="center" w:pos="4153"/>
        <w:tab w:val="right" w:pos="8306"/>
      </w:tabs>
      <w:snapToGrid w:val="0"/>
      <w:jc w:val="left"/>
    </w:pPr>
    <w:rPr>
      <w:rFonts w:ascii="Calibri" w:hAnsi="Calibri"/>
      <w:kern w:val="0"/>
      <w:sz w:val="18"/>
      <w:szCs w:val="18"/>
    </w:rPr>
  </w:style>
  <w:style w:type="paragraph" w:styleId="9">
    <w:name w:val="header"/>
    <w:basedOn w:val="1"/>
    <w:link w:val="15"/>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0">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1">
    <w:name w:val="toc 2"/>
    <w:basedOn w:val="1"/>
    <w:next w:val="1"/>
    <w:unhideWhenUsed/>
    <w:qFormat/>
    <w:uiPriority w:val="39"/>
    <w:pPr>
      <w:tabs>
        <w:tab w:val="right" w:leader="dot" w:pos="8296"/>
      </w:tabs>
      <w:ind w:left="420" w:leftChars="200"/>
    </w:pPr>
  </w:style>
  <w:style w:type="character" w:styleId="14">
    <w:name w:val="Hyperlink"/>
    <w:basedOn w:val="13"/>
    <w:unhideWhenUsed/>
    <w:qFormat/>
    <w:uiPriority w:val="99"/>
    <w:rPr>
      <w:color w:val="0000FF" w:themeColor="hyperlink"/>
      <w:u w:val="single"/>
      <w14:textFill>
        <w14:solidFill>
          <w14:schemeClr w14:val="hlink"/>
        </w14:solidFill>
      </w14:textFill>
    </w:rPr>
  </w:style>
  <w:style w:type="character" w:customStyle="1" w:styleId="15">
    <w:name w:val="页眉 Char"/>
    <w:link w:val="9"/>
    <w:semiHidden/>
    <w:qFormat/>
    <w:locked/>
    <w:uiPriority w:val="99"/>
    <w:rPr>
      <w:sz w:val="18"/>
    </w:rPr>
  </w:style>
  <w:style w:type="character" w:customStyle="1" w:styleId="16">
    <w:name w:val="页脚 Char"/>
    <w:link w:val="8"/>
    <w:qFormat/>
    <w:locked/>
    <w:uiPriority w:val="99"/>
    <w:rPr>
      <w:sz w:val="18"/>
    </w:rPr>
  </w:style>
  <w:style w:type="character" w:customStyle="1" w:styleId="17">
    <w:name w:val="正文文本 Char"/>
    <w:link w:val="5"/>
    <w:qFormat/>
    <w:locked/>
    <w:uiPriority w:val="99"/>
    <w:rPr>
      <w:rFonts w:ascii="仿宋_GB2312" w:hAnsi="仿宋_GB2312" w:eastAsia="仿宋_GB2312"/>
      <w:sz w:val="32"/>
    </w:rPr>
  </w:style>
  <w:style w:type="paragraph" w:customStyle="1" w:styleId="1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character" w:customStyle="1" w:styleId="19">
    <w:name w:val="标题 1 Char"/>
    <w:basedOn w:val="13"/>
    <w:link w:val="2"/>
    <w:qFormat/>
    <w:uiPriority w:val="9"/>
    <w:rPr>
      <w:rFonts w:ascii="黑体" w:hAnsi="黑体" w:eastAsia="黑体"/>
      <w:b/>
      <w:bCs/>
      <w:kern w:val="44"/>
      <w:sz w:val="44"/>
      <w:szCs w:val="44"/>
    </w:rPr>
  </w:style>
  <w:style w:type="character" w:customStyle="1" w:styleId="20">
    <w:name w:val="标题 2 Char"/>
    <w:basedOn w:val="13"/>
    <w:link w:val="3"/>
    <w:qFormat/>
    <w:uiPriority w:val="9"/>
    <w:rPr>
      <w:rFonts w:eastAsia="黑体" w:asciiTheme="majorHAnsi" w:hAnsiTheme="majorHAnsi" w:cstheme="majorBidi"/>
      <w:bCs/>
      <w:kern w:val="2"/>
      <w:sz w:val="32"/>
      <w:szCs w:val="32"/>
    </w:rPr>
  </w:style>
  <w:style w:type="paragraph" w:customStyle="1" w:styleId="2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22">
    <w:name w:val="标题 3 Char"/>
    <w:basedOn w:val="13"/>
    <w:link w:val="4"/>
    <w:qFormat/>
    <w:uiPriority w:val="9"/>
    <w:rPr>
      <w:rFonts w:ascii="Times New Roman" w:hAnsi="Times New Roman" w:eastAsia="仿宋"/>
      <w:b/>
      <w:bCs/>
      <w:kern w:val="2"/>
      <w:sz w:val="32"/>
      <w:szCs w:val="32"/>
    </w:rPr>
  </w:style>
  <w:style w:type="paragraph" w:customStyle="1" w:styleId="23">
    <w:name w:val="BodyText"/>
    <w:basedOn w:val="1"/>
    <w:next w:val="1"/>
    <w:unhideWhenUsed/>
    <w:qFormat/>
    <w:uiPriority w:val="0"/>
    <w:pPr>
      <w:ind w:left="965"/>
      <w:textAlignment w:val="baseline"/>
    </w:pPr>
    <w:rPr>
      <w:rFonts w:hint="eastAsia" w:ascii="微软雅黑" w:hAnsi="微软雅黑" w:eastAsia="微软雅黑"/>
      <w:sz w:val="24"/>
      <w:lang w:eastAsia="en-US"/>
    </w:rPr>
  </w:style>
  <w:style w:type="paragraph" w:customStyle="1" w:styleId="24">
    <w:name w:val="WPSOffice手动目录 1"/>
    <w:qFormat/>
    <w:uiPriority w:val="0"/>
    <w:rPr>
      <w:rFonts w:ascii="Times New Roman" w:hAnsi="Times New Roman" w:eastAsia="宋体" w:cs="Times New Roman"/>
      <w:lang w:val="en-US" w:eastAsia="zh-CN" w:bidi="ar-SA"/>
    </w:rPr>
  </w:style>
  <w:style w:type="paragraph" w:customStyle="1" w:styleId="25">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26">
    <w:name w:val="WPSOffice手动目录 3"/>
    <w:qFormat/>
    <w:uiPriority w:val="0"/>
    <w:pPr>
      <w:ind w:left="400" w:leftChars="400"/>
    </w:pPr>
    <w:rPr>
      <w:rFonts w:ascii="Times New Roman" w:hAnsi="Times New Roman" w:eastAsia="宋体" w:cs="Times New Roman"/>
      <w:lang w:val="en-US" w:eastAsia="zh-CN" w:bidi="ar-SA"/>
    </w:rPr>
  </w:style>
  <w:style w:type="character" w:customStyle="1" w:styleId="27">
    <w:name w:val="批注框文本 Char"/>
    <w:basedOn w:val="13"/>
    <w:link w:val="7"/>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7.emf"/><Relationship Id="rId2" Type="http://schemas.openxmlformats.org/officeDocument/2006/relationships/settings" Target="settings.xml"/><Relationship Id="rId19" Type="http://schemas.openxmlformats.org/officeDocument/2006/relationships/package" Target="embeddings/Workbook3.xlsx"/><Relationship Id="rId18" Type="http://schemas.openxmlformats.org/officeDocument/2006/relationships/image" Target="media/image6.emf"/><Relationship Id="rId17" Type="http://schemas.openxmlformats.org/officeDocument/2006/relationships/package" Target="embeddings/Workbook2.xlsx"/><Relationship Id="rId16" Type="http://schemas.openxmlformats.org/officeDocument/2006/relationships/image" Target="media/image5.emf"/><Relationship Id="rId15" Type="http://schemas.openxmlformats.org/officeDocument/2006/relationships/package" Target="embeddings/Workbook1.xlsx"/><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image" Target="media/image2.pn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E:\3&#12289;&#37096;&#38376;&#20915;&#31639;&#30456;&#20851;\2025&#24180;&#24230;&#20915;&#31639;&#25209;&#22797;&#21450;&#20844;&#24320;.20260907\doing\&#20915;&#31639;&#20844;&#24320;&#22270;&#2036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3&#12289;&#37096;&#38376;&#20915;&#31639;&#30456;&#20851;\2025&#24180;&#24230;&#20915;&#31639;&#25209;&#22797;&#21450;&#20844;&#24320;.20260907\doing\&#20915;&#31639;&#20844;&#24320;&#22270;&#20363;.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3&#12289;&#37096;&#38376;&#20915;&#31639;&#30456;&#20851;\2025&#24180;&#24230;&#20915;&#31639;&#25209;&#22797;&#21450;&#20844;&#24320;.20260907\doing\&#20915;&#31639;&#20844;&#24320;&#22270;&#2036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lang="zh-CN" sz="1600" b="1" i="0" u="none" strike="noStrike" kern="1200" baseline="0">
                <a:solidFill>
                  <a:schemeClr val="dk1"/>
                </a:solidFill>
                <a:latin typeface="+mn-lt"/>
                <a:ea typeface="+mn-ea"/>
                <a:cs typeface="+mn-cs"/>
              </a:defRPr>
            </a:pPr>
            <a:r>
              <a:rPr lang="zh-CN"/>
              <a:t>收、支决算总计变动情况图</a:t>
            </a:r>
            <a:endParaRPr lang="zh-CN"/>
          </a:p>
        </c:rich>
      </c:tx>
      <c:layout>
        <c:manualLayout>
          <c:xMode val="edge"/>
          <c:yMode val="edge"/>
          <c:x val="0.250148944796535"/>
          <c:y val="0.0324074074074074"/>
        </c:manualLayout>
      </c:layout>
      <c:overlay val="0"/>
      <c:spPr>
        <a:noFill/>
        <a:ln>
          <a:noFill/>
        </a:ln>
        <a:effectLst/>
      </c:spPr>
    </c:title>
    <c:autoTitleDeleted val="0"/>
    <c:plotArea>
      <c:layout/>
      <c:barChart>
        <c:barDir val="col"/>
        <c:grouping val="clustered"/>
        <c:varyColors val="0"/>
        <c:ser>
          <c:idx val="0"/>
          <c:order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dk1"/>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'[决算公开图例.xlsx]329001'!$A$4:$A$5</c:f>
              <c:strCache>
                <c:ptCount val="2"/>
                <c:pt idx="0">
                  <c:v>2025年</c:v>
                </c:pt>
                <c:pt idx="1">
                  <c:v>2024年</c:v>
                </c:pt>
              </c:strCache>
            </c:strRef>
          </c:cat>
          <c:val>
            <c:numRef>
              <c:f>'[决算公开图例.xlsx]329001'!$B$4:$B$5</c:f>
              <c:numCache>
                <c:formatCode>#,##0.00</c:formatCode>
                <c:ptCount val="2"/>
                <c:pt idx="0">
                  <c:v>3538.98</c:v>
                </c:pt>
                <c:pt idx="1">
                  <c:v>4950.56</c:v>
                </c:pt>
              </c:numCache>
            </c:numRef>
          </c:val>
        </c:ser>
        <c:dLbls>
          <c:showLegendKey val="0"/>
          <c:showVal val="1"/>
          <c:showCatName val="0"/>
          <c:showSerName val="0"/>
          <c:showPercent val="0"/>
          <c:showBubbleSize val="0"/>
        </c:dLbls>
        <c:gapWidth val="100"/>
        <c:overlap val="-24"/>
        <c:axId val="34377088"/>
        <c:axId val="41384576"/>
      </c:barChart>
      <c:catAx>
        <c:axId val="34377088"/>
        <c:scaling>
          <c:orientation val="minMax"/>
        </c:scaling>
        <c:delete val="0"/>
        <c:axPos val="b"/>
        <c:title>
          <c:tx>
            <c:rich>
              <a:bodyPr rot="0" spcFirstLastPara="1" vertOverflow="ellipsis" vert="horz" wrap="square" anchor="ctr" anchorCtr="1"/>
              <a:lstStyle/>
              <a:p>
                <a:pPr>
                  <a:defRPr lang="zh-CN" sz="900" b="0" i="0" u="none" strike="noStrike" kern="1200" baseline="0">
                    <a:solidFill>
                      <a:schemeClr val="dk1"/>
                    </a:solidFill>
                    <a:latin typeface="+mn-lt"/>
                    <a:ea typeface="+mn-ea"/>
                    <a:cs typeface="+mn-cs"/>
                  </a:defRPr>
                </a:pPr>
                <a:r>
                  <a:rPr lang="zh-CN"/>
                  <a:t>单位：万元</a:t>
                </a:r>
                <a:endParaRPr lang="zh-CN"/>
              </a:p>
            </c:rich>
          </c:tx>
          <c:layout/>
          <c:overlay val="0"/>
          <c:spPr>
            <a:noFill/>
            <a:ln>
              <a:noFill/>
            </a:ln>
            <a:effectLst/>
          </c:spPr>
        </c:title>
        <c:numFmt formatCode="General" sourceLinked="1"/>
        <c:majorTickMark val="none"/>
        <c:minorTickMark val="none"/>
        <c:tickLblPos val="nextTo"/>
        <c:spPr>
          <a:noFill/>
          <a:ln w="12700"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dk1"/>
                </a:solidFill>
                <a:latin typeface="+mn-lt"/>
                <a:ea typeface="+mn-ea"/>
                <a:cs typeface="+mn-cs"/>
              </a:defRPr>
            </a:pPr>
          </a:p>
        </c:txPr>
        <c:crossAx val="41384576"/>
        <c:crosses val="autoZero"/>
        <c:auto val="1"/>
        <c:lblAlgn val="ctr"/>
        <c:lblOffset val="100"/>
        <c:noMultiLvlLbl val="0"/>
      </c:catAx>
      <c:valAx>
        <c:axId val="4138457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dk1"/>
                </a:solidFill>
                <a:latin typeface="+mn-lt"/>
                <a:ea typeface="+mn-ea"/>
                <a:cs typeface="+mn-cs"/>
              </a:defRPr>
            </a:pPr>
          </a:p>
        </c:txPr>
        <c:crossAx val="34377088"/>
        <c:crosses val="autoZero"/>
        <c:crossBetween val="between"/>
      </c:valAx>
      <c:spPr>
        <a:noFill/>
        <a:ln>
          <a:noFill/>
        </a:ln>
        <a:effectLst/>
      </c:spPr>
    </c:plotArea>
    <c:plotVisOnly val="1"/>
    <c:dispBlanksAs val="gap"/>
    <c:showDLblsOverMax val="0"/>
  </c:chart>
  <c:spPr>
    <a:solidFill>
      <a:schemeClr val="lt1"/>
    </a:solidFill>
    <a:ln w="15875" cap="flat" cmpd="sng" algn="ctr">
      <a:solidFill>
        <a:schemeClr val="tx1"/>
      </a:solidFill>
      <a:prstDash val="solid"/>
      <a:miter lim="800000"/>
    </a:ln>
    <a:effectLst/>
  </c:spPr>
  <c:txPr>
    <a:bodyPr/>
    <a:lstStyle/>
    <a:p>
      <a:pPr>
        <a:defRPr lang="zh-CN">
          <a:solidFill>
            <a:schemeClr val="dk1"/>
          </a:solidFill>
          <a:latin typeface="+mn-lt"/>
          <a:ea typeface="+mn-ea"/>
          <a:cs typeface="+mn-cs"/>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lang="zh-CN" sz="1600" b="1" i="0" u="none" strike="noStrike" kern="1200" baseline="0">
                <a:solidFill>
                  <a:schemeClr val="tx1">
                    <a:lumMod val="65000"/>
                    <a:lumOff val="35000"/>
                  </a:schemeClr>
                </a:solidFill>
                <a:latin typeface="+mn-lt"/>
                <a:ea typeface="+mn-ea"/>
                <a:cs typeface="+mn-cs"/>
              </a:defRPr>
            </a:pPr>
            <a:r>
              <a:rPr lang="zh-CN"/>
              <a:t>财政拨款收、支决算总计变动情况</a:t>
            </a:r>
            <a:endParaRPr lang="zh-CN"/>
          </a:p>
        </c:rich>
      </c:tx>
      <c:layout/>
      <c:overlay val="0"/>
      <c:spPr>
        <a:noFill/>
        <a:ln>
          <a:noFill/>
        </a:ln>
        <a:effectLst/>
      </c:spPr>
    </c:title>
    <c:autoTitleDeleted val="0"/>
    <c:plotArea>
      <c:layout/>
      <c:barChart>
        <c:barDir val="col"/>
        <c:grouping val="clustered"/>
        <c:varyColors val="0"/>
        <c:ser>
          <c:idx val="0"/>
          <c:order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layout>
                <c:manualLayout>
                  <c:x val="-0.00277777777777778"/>
                  <c:y val="0.1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1759259259259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'[决算公开图例.xlsx]329001'!$A$62:$A$63</c:f>
              <c:strCache>
                <c:ptCount val="2"/>
                <c:pt idx="0">
                  <c:v>2025年</c:v>
                </c:pt>
                <c:pt idx="1">
                  <c:v>2024年</c:v>
                </c:pt>
              </c:strCache>
            </c:strRef>
          </c:cat>
          <c:val>
            <c:numRef>
              <c:f>'[决算公开图例.xlsx]329001'!$B$62:$B$63</c:f>
              <c:numCache>
                <c:formatCode>#,##0.00</c:formatCode>
                <c:ptCount val="2"/>
                <c:pt idx="0">
                  <c:v>3470.78</c:v>
                </c:pt>
                <c:pt idx="1">
                  <c:v>4900.56</c:v>
                </c:pt>
              </c:numCache>
            </c:numRef>
          </c:val>
        </c:ser>
        <c:dLbls>
          <c:showLegendKey val="0"/>
          <c:showVal val="0"/>
          <c:showCatName val="0"/>
          <c:showSerName val="0"/>
          <c:showPercent val="0"/>
          <c:showBubbleSize val="0"/>
        </c:dLbls>
        <c:gapWidth val="100"/>
        <c:axId val="41393152"/>
        <c:axId val="41407616"/>
      </c:barChart>
      <c:catAx>
        <c:axId val="41393152"/>
        <c:scaling>
          <c:orientation val="minMax"/>
        </c:scaling>
        <c:delete val="0"/>
        <c:axPos val="b"/>
        <c:title>
          <c:tx>
            <c:rich>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r>
                  <a:rPr lang="zh-CN"/>
                  <a:t>单位：万元</a:t>
                </a:r>
                <a:endParaRPr lang="zh-CN"/>
              </a:p>
            </c:rich>
          </c:tx>
          <c:layout/>
          <c:overlay val="0"/>
          <c:spPr>
            <a:noFill/>
            <a:ln>
              <a:noFill/>
            </a:ln>
            <a:effectLst/>
          </c:spPr>
        </c:title>
        <c:numFmt formatCode="General" sourceLinked="1"/>
        <c:majorTickMark val="none"/>
        <c:minorTickMark val="none"/>
        <c:tickLblPos val="nextTo"/>
        <c:spPr>
          <a:noFill/>
          <a:ln w="12700"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407616"/>
        <c:crosses val="autoZero"/>
        <c:auto val="1"/>
        <c:lblAlgn val="ctr"/>
        <c:lblOffset val="100"/>
        <c:noMultiLvlLbl val="0"/>
      </c:catAx>
      <c:valAx>
        <c:axId val="4140761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393152"/>
        <c:crosses val="autoZero"/>
        <c:crossBetween val="between"/>
      </c:valAx>
      <c:spPr>
        <a:noFill/>
        <a:ln>
          <a:noFill/>
        </a:ln>
        <a:effectLst/>
      </c:spPr>
    </c:plotArea>
    <c:plotVisOnly val="1"/>
    <c:dispBlanksAs val="gap"/>
    <c:showDLblsOverMax val="0"/>
  </c:chart>
  <c:spPr>
    <a:solidFill>
      <a:schemeClr val="bg1"/>
    </a:solidFill>
    <a:ln w="15875" cap="flat" cmpd="sng" algn="ctr">
      <a:solidFill>
        <a:schemeClr val="tx1"/>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lang="zh-CN" sz="1600" b="1" i="0" u="none" strike="noStrike" kern="1200" baseline="0">
                <a:solidFill>
                  <a:schemeClr val="tx1">
                    <a:lumMod val="65000"/>
                    <a:lumOff val="35000"/>
                  </a:schemeClr>
                </a:solidFill>
                <a:latin typeface="+mn-lt"/>
                <a:ea typeface="+mn-ea"/>
                <a:cs typeface="+mn-cs"/>
              </a:defRPr>
            </a:pPr>
            <a:r>
              <a:rPr lang="zh-CN"/>
              <a:t>一般公共预算财政拨款支出决算变动情况</a:t>
            </a:r>
            <a:endParaRPr lang="zh-CN"/>
          </a:p>
        </c:rich>
      </c:tx>
      <c:layout/>
      <c:overlay val="0"/>
      <c:spPr>
        <a:noFill/>
        <a:ln>
          <a:noFill/>
        </a:ln>
        <a:effectLst/>
      </c:spPr>
    </c:title>
    <c:autoTitleDeleted val="0"/>
    <c:plotArea>
      <c:layout/>
      <c:barChart>
        <c:barDir val="col"/>
        <c:grouping val="clustered"/>
        <c:varyColors val="0"/>
        <c:ser>
          <c:idx val="0"/>
          <c:order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layout>
                <c:manualLayout>
                  <c:x val="-0.00793650793650798"/>
                  <c:y val="0.1111111111111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38095238095239"/>
                  <c:y val="0.1759259259259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'[决算公开图例.xlsx]329001'!$A$80:$A$81</c:f>
              <c:strCache>
                <c:ptCount val="2"/>
                <c:pt idx="0">
                  <c:v>2025年</c:v>
                </c:pt>
                <c:pt idx="1">
                  <c:v>2024年</c:v>
                </c:pt>
              </c:strCache>
            </c:strRef>
          </c:cat>
          <c:val>
            <c:numRef>
              <c:f>'[决算公开图例.xlsx]329001'!$B$80:$B$81</c:f>
              <c:numCache>
                <c:formatCode>#,##0.00</c:formatCode>
                <c:ptCount val="2"/>
                <c:pt idx="0">
                  <c:v>1918.89</c:v>
                </c:pt>
                <c:pt idx="1">
                  <c:v>1876.29</c:v>
                </c:pt>
              </c:numCache>
            </c:numRef>
          </c:val>
        </c:ser>
        <c:dLbls>
          <c:showLegendKey val="0"/>
          <c:showVal val="0"/>
          <c:showCatName val="0"/>
          <c:showSerName val="0"/>
          <c:showPercent val="0"/>
          <c:showBubbleSize val="0"/>
        </c:dLbls>
        <c:gapWidth val="100"/>
        <c:overlap val="-24"/>
        <c:axId val="43005824"/>
        <c:axId val="43016192"/>
      </c:barChart>
      <c:catAx>
        <c:axId val="43005824"/>
        <c:scaling>
          <c:orientation val="minMax"/>
        </c:scaling>
        <c:delete val="0"/>
        <c:axPos val="b"/>
        <c:title>
          <c:tx>
            <c:rich>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r>
                  <a:rPr lang="zh-CN"/>
                  <a:t>单位：万元</a:t>
                </a:r>
                <a:endParaRPr lang="zh-CN"/>
              </a:p>
            </c:rich>
          </c:tx>
          <c:layout/>
          <c:overlay val="0"/>
          <c:spPr>
            <a:noFill/>
            <a:ln>
              <a:noFill/>
            </a:ln>
            <a:effectLst/>
          </c:spPr>
        </c:title>
        <c:numFmt formatCode="General" sourceLinked="1"/>
        <c:majorTickMark val="none"/>
        <c:minorTickMark val="none"/>
        <c:tickLblPos val="nextTo"/>
        <c:spPr>
          <a:noFill/>
          <a:ln w="12700"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016192"/>
        <c:crosses val="autoZero"/>
        <c:auto val="1"/>
        <c:lblAlgn val="ctr"/>
        <c:lblOffset val="100"/>
        <c:noMultiLvlLbl val="0"/>
      </c:catAx>
      <c:valAx>
        <c:axId val="4301619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005824"/>
        <c:crosses val="autoZero"/>
        <c:crossBetween val="between"/>
      </c:valAx>
      <c:spPr>
        <a:noFill/>
        <a:ln>
          <a:noFill/>
        </a:ln>
        <a:effectLst/>
      </c:spPr>
    </c:plotArea>
    <c:plotVisOnly val="1"/>
    <c:dispBlanksAs val="gap"/>
    <c:showDLblsOverMax val="0"/>
  </c:chart>
  <c:spPr>
    <a:solidFill>
      <a:schemeClr val="bg1"/>
    </a:solidFill>
    <a:ln w="15875" cap="flat" cmpd="sng" algn="ctr">
      <a:solidFill>
        <a:schemeClr val="tx1"/>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25</Pages>
  <Words>8080</Words>
  <Characters>8777</Characters>
  <Lines>76</Lines>
  <Paragraphs>21</Paragraphs>
  <TotalTime>3</TotalTime>
  <ScaleCrop>false</ScaleCrop>
  <LinksUpToDate>false</LinksUpToDate>
  <CharactersWithSpaces>8912</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贾同迅</cp:lastModifiedBy>
  <cp:lastPrinted>2026-08-03T09:27:00Z</cp:lastPrinted>
  <dcterms:modified xsi:type="dcterms:W3CDTF">2026-09-23T02:53:15Z</dcterms:modified>
  <dc:title>四川省***</dc:title>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400D301575C74348A5277D00A7902E06</vt:lpwstr>
  </property>
  <property fmtid="{D5CDD505-2E9C-101B-9397-08002B2CF9AE}" pid="4" name="KSOTemplateDocerSaveRecord">
    <vt:lpwstr>eyJoZGlkIjoiOThlYmU2YmQ1ZDE2NTMwMzkwZjkyNTZkNmQxYmNkODIiLCJ1c2VySWQiOiIxMjkwMzk0ODc5In0=</vt:lpwstr>
  </property>
</Properties>
</file>