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rPr>
      </w:pPr>
      <w:r>
        <w:rPr>
          <w:rFonts w:hint="eastAsia" w:ascii="黑体" w:hAnsi="黑体" w:eastAsia="黑体" w:cs="黑体"/>
          <w:spacing w:val="1"/>
          <w:sz w:val="44"/>
          <w:szCs w:val="44"/>
        </w:rPr>
        <w:t>县不动产登记中心房租</w:t>
      </w:r>
      <w:r>
        <w:rPr>
          <w:rFonts w:hint="eastAsia" w:ascii="黑体" w:hAnsi="黑体" w:eastAsia="黑体" w:cs="黑体"/>
          <w:spacing w:val="1"/>
          <w:sz w:val="44"/>
          <w:szCs w:val="44"/>
          <w:lang w:eastAsia="zh-CN"/>
        </w:rPr>
        <w:t>费</w:t>
      </w:r>
      <w:r>
        <w:rPr>
          <w:rFonts w:hint="eastAsia" w:ascii="黑体" w:hAnsi="黑体" w:eastAsia="黑体" w:cs="黑体"/>
          <w:spacing w:val="1"/>
          <w:sz w:val="44"/>
          <w:szCs w:val="44"/>
        </w:rPr>
        <w:t>项目</w:t>
      </w: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rPr>
      </w:pPr>
      <w:r>
        <w:rPr>
          <w:rFonts w:hint="eastAsia" w:ascii="黑体" w:hAnsi="黑体" w:eastAsia="黑体" w:cs="黑体"/>
          <w:spacing w:val="1"/>
          <w:sz w:val="44"/>
          <w:szCs w:val="44"/>
        </w:rPr>
        <w:t>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rPr>
      </w:pPr>
      <w:r>
        <w:rPr>
          <w:rFonts w:hint="eastAsia" w:ascii="仿宋" w:hAnsi="仿宋" w:eastAsia="仿宋" w:cs="仿宋"/>
          <w:sz w:val="32"/>
          <w:szCs w:val="32"/>
        </w:rPr>
        <w:t>项目具体目标为：</w:t>
      </w:r>
      <w:r>
        <w:rPr>
          <w:rFonts w:hint="eastAsia" w:ascii="仿宋" w:hAnsi="仿宋" w:eastAsia="仿宋" w:cs="仿宋"/>
          <w:kern w:val="0"/>
          <w:sz w:val="32"/>
          <w:szCs w:val="32"/>
        </w:rPr>
        <w:t>为</w:t>
      </w:r>
      <w:r>
        <w:rPr>
          <w:rFonts w:hint="eastAsia" w:ascii="仿宋" w:hAnsi="仿宋" w:eastAsia="仿宋" w:cs="仿宋"/>
          <w:kern w:val="0"/>
          <w:sz w:val="32"/>
          <w:szCs w:val="32"/>
          <w:lang w:eastAsia="zh-CN"/>
        </w:rPr>
        <w:t>保障不动产登记中心有办公场所，</w:t>
      </w:r>
      <w:r>
        <w:rPr>
          <w:rFonts w:hint="eastAsia" w:ascii="仿宋" w:hAnsi="仿宋" w:eastAsia="仿宋" w:cs="仿宋"/>
          <w:kern w:val="0"/>
          <w:sz w:val="32"/>
          <w:szCs w:val="32"/>
        </w:rPr>
        <w:t>方便群众办事。</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15.03</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lang w:eastAsia="zh-CN"/>
        </w:rPr>
        <w:t>（一）</w:t>
      </w:r>
      <w:r>
        <w:rPr>
          <w:rFonts w:hint="eastAsia" w:ascii="楷体" w:hAnsi="楷体" w:eastAsia="楷体" w:cs="楷体"/>
          <w:b/>
          <w:bCs w:val="0"/>
          <w:sz w:val="32"/>
          <w:szCs w:val="32"/>
        </w:rPr>
        <w:t>预算执行进度情况分析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项目预算批复资金为</w:t>
      </w:r>
      <w:r>
        <w:rPr>
          <w:rFonts w:hint="eastAsia" w:ascii="仿宋" w:hAnsi="仿宋" w:eastAsia="仿宋" w:cs="仿宋"/>
          <w:sz w:val="32"/>
          <w:szCs w:val="32"/>
          <w:lang w:val="en-US" w:eastAsia="zh-CN"/>
        </w:rPr>
        <w:t>15.03</w:t>
      </w:r>
      <w:r>
        <w:rPr>
          <w:rFonts w:hint="eastAsia" w:ascii="仿宋" w:hAnsi="仿宋" w:eastAsia="仿宋" w:cs="仿宋"/>
          <w:sz w:val="32"/>
          <w:szCs w:val="32"/>
        </w:rPr>
        <w:t>万元，资金实际支付为</w:t>
      </w:r>
      <w:r>
        <w:rPr>
          <w:rFonts w:hint="eastAsia" w:ascii="仿宋" w:hAnsi="仿宋" w:eastAsia="仿宋" w:cs="仿宋"/>
          <w:sz w:val="32"/>
          <w:szCs w:val="32"/>
          <w:lang w:val="en-US" w:eastAsia="zh-CN"/>
        </w:rPr>
        <w:t>15.03</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100</w:t>
      </w:r>
      <w:r>
        <w:rPr>
          <w:rFonts w:hint="eastAsia" w:ascii="仿宋" w:hAnsi="仿宋" w:eastAsia="仿宋" w:cs="仿宋"/>
          <w:sz w:val="32"/>
          <w:szCs w:val="32"/>
        </w:rPr>
        <w:t>%，主要用于</w:t>
      </w:r>
      <w:r>
        <w:rPr>
          <w:rFonts w:hint="eastAsia" w:ascii="仿宋" w:hAnsi="仿宋" w:eastAsia="仿宋" w:cs="仿宋"/>
          <w:sz w:val="32"/>
          <w:szCs w:val="32"/>
          <w:lang w:eastAsia="zh-CN"/>
        </w:rPr>
        <w:t>不动产登记中心房租费</w:t>
      </w:r>
      <w:r>
        <w:rPr>
          <w:rFonts w:hint="eastAsia" w:ascii="仿宋" w:hAnsi="仿宋" w:eastAsia="仿宋" w:cs="仿宋"/>
          <w:sz w:val="32"/>
          <w:szCs w:val="32"/>
        </w:rPr>
        <w:t>，资金开支范围、标准及支付进度严格按照规定，支付</w:t>
      </w:r>
      <w:r>
        <w:rPr>
          <w:rFonts w:hint="eastAsia" w:ascii="仿宋" w:hAnsi="仿宋" w:eastAsia="仿宋" w:cs="仿宋"/>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kinsoku/>
        <w:wordWrap/>
        <w:overflowPunct/>
        <w:topLinePunct w:val="0"/>
        <w:autoSpaceDE/>
        <w:autoSpaceDN/>
        <w:bidi w:val="0"/>
        <w:adjustRightInd w:val="0"/>
        <w:snapToGrid w:val="0"/>
        <w:spacing w:line="56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完成不动产登记中心房租支付</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（三）绩效指标完成情况分析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sz w:val="32"/>
          <w:szCs w:val="32"/>
          <w:lang w:val="en-US" w:eastAsia="zh-CN"/>
        </w:rPr>
        <w:t>项目实施</w:t>
      </w:r>
      <w:r>
        <w:rPr>
          <w:rFonts w:hint="eastAsia" w:ascii="仿宋" w:hAnsi="仿宋" w:eastAsia="仿宋" w:cs="仿宋"/>
          <w:sz w:val="32"/>
          <w:szCs w:val="32"/>
        </w:rPr>
        <w:t>为与业主签定的房租协议，</w:t>
      </w:r>
      <w:r>
        <w:rPr>
          <w:rFonts w:hint="eastAsia" w:ascii="仿宋" w:hAnsi="仿宋" w:eastAsia="仿宋" w:cs="仿宋"/>
          <w:sz w:val="32"/>
          <w:szCs w:val="32"/>
          <w:lang w:eastAsia="zh-CN"/>
        </w:rPr>
        <w:t>租赁办公面积约</w:t>
      </w:r>
      <w:r>
        <w:rPr>
          <w:rFonts w:hint="eastAsia" w:ascii="仿宋" w:hAnsi="仿宋" w:eastAsia="仿宋" w:cs="仿宋"/>
          <w:kern w:val="0"/>
          <w:sz w:val="32"/>
          <w:szCs w:val="32"/>
          <w:lang w:val="en-US" w:eastAsia="zh-CN"/>
        </w:rPr>
        <w:t>700平方米，2022年6月</w:t>
      </w:r>
      <w:r>
        <w:rPr>
          <w:rFonts w:hint="eastAsia" w:ascii="仿宋" w:hAnsi="仿宋" w:eastAsia="仿宋" w:cs="仿宋"/>
          <w:kern w:val="0"/>
          <w:sz w:val="32"/>
          <w:szCs w:val="32"/>
        </w:rPr>
        <w:t>内</w:t>
      </w:r>
      <w:r>
        <w:rPr>
          <w:rFonts w:hint="eastAsia" w:ascii="仿宋" w:hAnsi="仿宋" w:eastAsia="仿宋" w:cs="仿宋"/>
          <w:kern w:val="0"/>
          <w:sz w:val="32"/>
          <w:szCs w:val="32"/>
          <w:lang w:eastAsia="zh-CN"/>
        </w:rPr>
        <w:t>底前按合同约定</w:t>
      </w:r>
      <w:r>
        <w:rPr>
          <w:rFonts w:hint="eastAsia" w:ascii="仿宋" w:hAnsi="仿宋" w:eastAsia="仿宋" w:cs="仿宋"/>
          <w:kern w:val="0"/>
          <w:sz w:val="32"/>
          <w:szCs w:val="32"/>
        </w:rPr>
        <w:t>足额支付房租费，</w:t>
      </w:r>
      <w:r>
        <w:rPr>
          <w:rFonts w:hint="eastAsia" w:ascii="仿宋" w:hAnsi="仿宋" w:eastAsia="仿宋" w:cs="仿宋"/>
          <w:kern w:val="0"/>
          <w:sz w:val="32"/>
          <w:szCs w:val="32"/>
          <w:lang w:eastAsia="zh-CN"/>
        </w:rPr>
        <w:t>为不动产登记中心提供好办公场所，</w:t>
      </w:r>
      <w:r>
        <w:rPr>
          <w:rFonts w:hint="eastAsia" w:ascii="仿宋" w:hAnsi="仿宋" w:eastAsia="仿宋" w:cs="仿宋"/>
          <w:kern w:val="0"/>
          <w:sz w:val="32"/>
          <w:szCs w:val="32"/>
        </w:rPr>
        <w:t>保障不动产登记中心的正常运行，方便群众办事。</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320" w:firstLineChars="100"/>
        <w:textAlignment w:val="auto"/>
        <w:rPr>
          <w:rFonts w:hint="eastAsia" w:ascii="仿宋" w:hAnsi="仿宋" w:eastAsia="仿宋" w:cs="仿宋"/>
          <w:b w:val="0"/>
          <w:bCs/>
          <w:sz w:val="32"/>
          <w:szCs w:val="32"/>
        </w:rPr>
      </w:pPr>
      <w:r>
        <w:rPr>
          <w:rFonts w:hint="eastAsia" w:ascii="仿宋" w:hAnsi="仿宋" w:eastAsia="仿宋" w:cs="仿宋"/>
          <w:b w:val="0"/>
          <w:bCs/>
          <w:sz w:val="32"/>
          <w:szCs w:val="32"/>
          <w:lang w:eastAsia="zh-CN"/>
        </w:rPr>
        <w:t>（四）</w:t>
      </w:r>
      <w:r>
        <w:rPr>
          <w:rFonts w:hint="eastAsia" w:ascii="仿宋" w:hAnsi="仿宋" w:eastAsia="仿宋" w:cs="仿宋"/>
          <w:b w:val="0"/>
          <w:bCs/>
          <w:sz w:val="32"/>
          <w:szCs w:val="32"/>
        </w:rPr>
        <w:t>项目效益分析</w:t>
      </w:r>
    </w:p>
    <w:p>
      <w:pPr>
        <w:pageBreakBefore w:val="0"/>
        <w:widowControl/>
        <w:numPr>
          <w:ilvl w:val="0"/>
          <w:numId w:val="0"/>
        </w:numPr>
        <w:wordWrap/>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sz w:val="32"/>
          <w:szCs w:val="32"/>
        </w:rPr>
      </w:pPr>
      <w:r>
        <w:rPr>
          <w:rFonts w:hint="eastAsia" w:ascii="仿宋" w:hAnsi="仿宋" w:eastAsia="仿宋" w:cs="仿宋"/>
          <w:kern w:val="0"/>
          <w:sz w:val="32"/>
          <w:szCs w:val="32"/>
          <w:lang w:eastAsia="zh-CN"/>
        </w:rPr>
        <w:t>为不动产登记中心提供好办公场所，</w:t>
      </w:r>
      <w:r>
        <w:rPr>
          <w:rFonts w:hint="eastAsia" w:ascii="仿宋" w:hAnsi="仿宋" w:eastAsia="仿宋" w:cs="仿宋"/>
          <w:kern w:val="0"/>
          <w:sz w:val="32"/>
          <w:szCs w:val="32"/>
        </w:rPr>
        <w:t>保障不动产登记中心的正常运行，方便群众办事。</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2022年度项目自评得分为97分，绩效目标与预算同步批复、同步公开。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3" w:firstLineChars="2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附件：1.2022年度</w:t>
      </w:r>
      <w:r>
        <w:rPr>
          <w:rFonts w:hint="eastAsia" w:ascii="仿宋" w:hAnsi="仿宋" w:eastAsia="仿宋" w:cs="仿宋"/>
          <w:b/>
          <w:bCs/>
          <w:sz w:val="32"/>
          <w:szCs w:val="32"/>
          <w:lang w:eastAsia="zh-CN"/>
        </w:rPr>
        <w:t>不动产登记中心房租</w:t>
      </w:r>
      <w:r>
        <w:rPr>
          <w:rFonts w:hint="eastAsia" w:ascii="仿宋" w:hAnsi="仿宋" w:eastAsia="仿宋" w:cs="仿宋"/>
          <w:b/>
          <w:bCs/>
          <w:sz w:val="32"/>
          <w:szCs w:val="32"/>
        </w:rPr>
        <w:t>项目绩效目标自评表</w:t>
      </w:r>
    </w:p>
    <w:p>
      <w:pPr>
        <w:pStyle w:val="7"/>
        <w:pageBreakBefore w:val="0"/>
        <w:widowControl/>
        <w:wordWrap/>
        <w:topLinePunct w:val="0"/>
        <w:autoSpaceDE/>
        <w:autoSpaceDN/>
        <w:bidi w:val="0"/>
        <w:adjustRightInd w:val="0"/>
        <w:snapToGrid w:val="0"/>
        <w:spacing w:line="560" w:lineRule="exact"/>
        <w:ind w:left="660" w:leftChars="300" w:firstLine="964" w:firstLineChars="300"/>
        <w:jc w:val="both"/>
        <w:textAlignment w:val="auto"/>
        <w:rPr>
          <w:rFonts w:hint="eastAsia" w:ascii="仿宋" w:hAnsi="仿宋" w:eastAsia="仿宋" w:cs="仿宋"/>
          <w:b/>
          <w:bCs/>
          <w:sz w:val="32"/>
          <w:szCs w:val="32"/>
        </w:rPr>
      </w:pPr>
      <w:r>
        <w:rPr>
          <w:rFonts w:hint="eastAsia" w:ascii="仿宋" w:hAnsi="仿宋" w:eastAsia="仿宋" w:cs="仿宋"/>
          <w:b/>
          <w:bCs/>
          <w:sz w:val="32"/>
          <w:szCs w:val="32"/>
        </w:rPr>
        <w:t>2.2022年度</w:t>
      </w:r>
      <w:r>
        <w:rPr>
          <w:rFonts w:hint="eastAsia" w:ascii="仿宋" w:hAnsi="仿宋" w:eastAsia="仿宋" w:cs="仿宋"/>
          <w:b/>
          <w:bCs/>
          <w:sz w:val="32"/>
          <w:szCs w:val="32"/>
          <w:lang w:eastAsia="zh-CN"/>
        </w:rPr>
        <w:t>不动产登记中心房租</w:t>
      </w:r>
      <w:r>
        <w:rPr>
          <w:rFonts w:hint="eastAsia" w:ascii="仿宋" w:hAnsi="仿宋" w:eastAsia="仿宋" w:cs="仿宋"/>
          <w:b/>
          <w:bCs/>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rPr>
      </w:pP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2023年7月1</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pStyle w:val="7"/>
        <w:pageBreakBefore w:val="0"/>
        <w:widowControl/>
        <w:wordWrap/>
        <w:topLinePunct w:val="0"/>
        <w:autoSpaceDE/>
        <w:autoSpaceDN/>
        <w:bidi w:val="0"/>
        <w:adjustRightInd w:val="0"/>
        <w:snapToGrid w:val="0"/>
        <w:spacing w:line="560" w:lineRule="exact"/>
        <w:ind w:firstLine="640" w:firstLineChars="200"/>
        <w:jc w:val="center"/>
        <w:textAlignment w:val="auto"/>
        <w:rPr>
          <w:rFonts w:hint="eastAsia" w:ascii="仿宋" w:hAnsi="仿宋" w:eastAsia="仿宋" w:cs="仿宋"/>
          <w:sz w:val="32"/>
          <w:szCs w:val="32"/>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498"/>
        <w:gridCol w:w="869"/>
        <w:gridCol w:w="1645"/>
        <w:gridCol w:w="1161"/>
        <w:gridCol w:w="1067"/>
        <w:gridCol w:w="825"/>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spacing w:line="440" w:lineRule="exact"/>
              <w:jc w:val="center"/>
              <w:textAlignment w:val="center"/>
              <w:rPr>
                <w:rFonts w:eastAsia="方正小标宋简体"/>
                <w:color w:val="000000"/>
              </w:rPr>
            </w:pPr>
            <w:r>
              <w:rPr>
                <w:rFonts w:hint="eastAsia" w:eastAsiaTheme="minorEastAsia"/>
                <w:color w:val="000000"/>
                <w:kern w:val="0"/>
                <w:sz w:val="36"/>
                <w:szCs w:val="36"/>
              </w:rPr>
              <w:t>不动产登记中心房租</w:t>
            </w:r>
            <w:r>
              <w:rPr>
                <w:rFonts w:hint="eastAsia" w:ascii="宋体" w:hAnsi="宋体" w:eastAsia="宋体" w:cs="宋体"/>
                <w:color w:val="000000"/>
                <w:kern w:val="0"/>
                <w:sz w:val="36"/>
                <w:szCs w:val="36"/>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spacing w:line="320" w:lineRule="exact"/>
              <w:jc w:val="center"/>
              <w:textAlignment w:val="top"/>
              <w:rPr>
                <w:rFonts w:eastAsia="宋体"/>
                <w:color w:val="000000"/>
                <w:sz w:val="22"/>
                <w:szCs w:val="22"/>
              </w:rPr>
            </w:pPr>
            <w:r>
              <w:rPr>
                <w:rFonts w:ascii="宋体" w:hAnsi="宋体" w:eastAsia="宋体"/>
                <w:color w:val="000000"/>
                <w:kern w:val="0"/>
                <w:sz w:val="22"/>
                <w:szCs w:val="22"/>
              </w:rPr>
              <w:t>（</w:t>
            </w:r>
            <w:r>
              <w:rPr>
                <w:rFonts w:eastAsia="宋体"/>
                <w:color w:val="000000"/>
                <w:kern w:val="0"/>
                <w:sz w:val="22"/>
                <w:szCs w:val="22"/>
              </w:rPr>
              <w:t>2022</w:t>
            </w:r>
            <w:r>
              <w:rPr>
                <w:rFonts w:ascii="宋体" w:hAnsi="宋体" w:eastAsia="宋体"/>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8" w:type="pct"/>
            <w:gridSpan w:val="3"/>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项目（政策）名称</w:t>
            </w:r>
          </w:p>
        </w:tc>
        <w:tc>
          <w:tcPr>
            <w:tcW w:w="3761" w:type="pct"/>
            <w:gridSpan w:val="5"/>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不动产登记中心房租费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8" w:type="pct"/>
            <w:gridSpan w:val="3"/>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项目主管部门</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kern w:val="0"/>
                <w:sz w:val="16"/>
                <w:szCs w:val="16"/>
              </w:rPr>
            </w:pPr>
            <w:r>
              <w:rPr>
                <w:rFonts w:ascii="宋体" w:hAnsi="宋体" w:eastAsia="宋体"/>
                <w:color w:val="000000"/>
                <w:kern w:val="0"/>
                <w:sz w:val="16"/>
                <w:szCs w:val="16"/>
              </w:rPr>
              <w:t>资金使用单位</w:t>
            </w:r>
          </w:p>
        </w:tc>
        <w:tc>
          <w:tcPr>
            <w:tcW w:w="1489"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38" w:type="pct"/>
            <w:gridSpan w:val="3"/>
            <w:vMerge w:val="restar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项目资金</w:t>
            </w:r>
            <w:r>
              <w:rPr>
                <w:rFonts w:eastAsia="宋体"/>
                <w:color w:val="000000"/>
                <w:kern w:val="0"/>
                <w:sz w:val="16"/>
                <w:szCs w:val="16"/>
              </w:rPr>
              <w:br w:type="textWrapping"/>
            </w:r>
            <w:r>
              <w:rPr>
                <w:rFonts w:ascii="宋体" w:hAnsi="宋体" w:eastAsia="宋体"/>
                <w:color w:val="000000"/>
                <w:kern w:val="0"/>
                <w:sz w:val="16"/>
                <w:szCs w:val="16"/>
              </w:rPr>
              <w:t>（万元）</w:t>
            </w: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全年执行数</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Fonts w:ascii="宋体" w:hAnsi="宋体" w:eastAsia="宋体"/>
                <w:color w:val="000000"/>
                <w:kern w:val="0"/>
                <w:sz w:val="16"/>
                <w:szCs w:val="16"/>
              </w:rPr>
              <w:t>年度资金总额：</w:t>
            </w: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hint="default" w:eastAsia="宋体"/>
                <w:color w:val="000000"/>
                <w:sz w:val="16"/>
                <w:szCs w:val="16"/>
                <w:lang w:val="en-US" w:eastAsia="zh-CN"/>
              </w:rPr>
            </w:pPr>
            <w:r>
              <w:rPr>
                <w:rFonts w:hint="eastAsia" w:eastAsia="宋体"/>
                <w:color w:val="000000"/>
                <w:sz w:val="16"/>
                <w:szCs w:val="16"/>
                <w:lang w:val="en-US" w:eastAsia="zh-CN"/>
              </w:rPr>
              <w:t>15.03</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hint="default" w:eastAsia="宋体"/>
                <w:color w:val="000000"/>
                <w:sz w:val="16"/>
                <w:szCs w:val="16"/>
                <w:lang w:val="en-US" w:eastAsia="zh-CN"/>
              </w:rPr>
            </w:pPr>
            <w:r>
              <w:rPr>
                <w:rFonts w:hint="eastAsia" w:eastAsia="宋体"/>
                <w:color w:val="000000"/>
                <w:sz w:val="16"/>
                <w:szCs w:val="16"/>
                <w:lang w:val="en-US" w:eastAsia="zh-CN"/>
              </w:rPr>
              <w:t>15.03</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eastAsia="宋体"/>
                <w:color w:val="000000"/>
                <w:sz w:val="16"/>
                <w:szCs w:val="16"/>
              </w:rPr>
            </w:pPr>
            <w:r>
              <w:rPr>
                <w:rFonts w:hint="eastAsia" w:eastAsia="宋体"/>
                <w:color w:val="00000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Style w:val="11"/>
                <w:rFonts w:hint="default"/>
              </w:rPr>
              <w:t>其中：中央、省补助</w:t>
            </w: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Style w:val="11"/>
                <w:rFonts w:hint="default"/>
              </w:rPr>
              <w:t xml:space="preserve">      市级财政资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Fonts w:eastAsia="宋体"/>
                <w:color w:val="000000"/>
                <w:kern w:val="0"/>
                <w:sz w:val="16"/>
                <w:szCs w:val="16"/>
              </w:rPr>
              <w:t xml:space="preserve">       </w:t>
            </w:r>
            <w:r>
              <w:rPr>
                <w:rFonts w:ascii="宋体" w:hAnsi="宋体" w:eastAsia="宋体"/>
                <w:color w:val="000000"/>
                <w:kern w:val="0"/>
                <w:sz w:val="16"/>
                <w:szCs w:val="16"/>
              </w:rPr>
              <w:t>县级财政资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hint="default" w:eastAsia="宋体"/>
                <w:color w:val="000000"/>
                <w:sz w:val="16"/>
                <w:szCs w:val="16"/>
                <w:lang w:val="en-US" w:eastAsia="zh-CN"/>
              </w:rPr>
            </w:pPr>
            <w:r>
              <w:rPr>
                <w:rFonts w:hint="eastAsia" w:eastAsia="宋体"/>
                <w:color w:val="000000"/>
                <w:sz w:val="16"/>
                <w:szCs w:val="16"/>
                <w:lang w:val="en-US" w:eastAsia="zh-CN"/>
              </w:rPr>
              <w:t>15.03</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hint="default" w:eastAsia="宋体"/>
                <w:color w:val="000000"/>
                <w:sz w:val="16"/>
                <w:szCs w:val="16"/>
                <w:lang w:val="en-US" w:eastAsia="zh-CN"/>
              </w:rPr>
            </w:pPr>
            <w:r>
              <w:rPr>
                <w:rFonts w:hint="eastAsia" w:eastAsia="宋体"/>
                <w:color w:val="000000"/>
                <w:sz w:val="16"/>
                <w:szCs w:val="16"/>
                <w:lang w:val="en-US" w:eastAsia="zh-CN"/>
              </w:rPr>
              <w:t>15.03</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eastAsia="宋体"/>
                <w:color w:val="000000"/>
                <w:sz w:val="16"/>
                <w:szCs w:val="16"/>
              </w:rPr>
            </w:pPr>
            <w:r>
              <w:rPr>
                <w:rFonts w:hint="eastAsia" w:eastAsia="宋体"/>
                <w:color w:val="000000"/>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Style w:val="11"/>
                <w:rFonts w:hint="default"/>
              </w:rPr>
              <w:t xml:space="preserve"> 其他资金</w:t>
            </w:r>
          </w:p>
        </w:tc>
        <w:tc>
          <w:tcPr>
            <w:tcW w:w="681"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6" w:type="pct"/>
            <w:vMerge w:val="restart"/>
            <w:tcBorders>
              <w:top w:val="nil"/>
              <w:left w:val="single" w:color="auto" w:sz="4" w:space="0"/>
              <w:bottom w:val="single" w:color="auto" w:sz="4" w:space="0"/>
              <w:right w:val="single" w:color="auto" w:sz="4" w:space="0"/>
            </w:tcBorders>
            <w:vAlign w:val="center"/>
          </w:tcPr>
          <w:p>
            <w:pPr>
              <w:widowControl/>
              <w:spacing w:line="180" w:lineRule="exact"/>
              <w:jc w:val="center"/>
              <w:textAlignment w:val="center"/>
              <w:rPr>
                <w:rFonts w:eastAsia="宋体"/>
                <w:color w:val="000000"/>
                <w:sz w:val="16"/>
                <w:szCs w:val="16"/>
              </w:rPr>
            </w:pPr>
            <w:r>
              <w:rPr>
                <w:rFonts w:ascii="宋体" w:hAnsi="宋体" w:eastAsia="宋体"/>
                <w:color w:val="000000"/>
                <w:kern w:val="0"/>
                <w:sz w:val="16"/>
                <w:szCs w:val="16"/>
              </w:rPr>
              <w:t>总体目标完成情况</w:t>
            </w: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总体目标</w:t>
            </w:r>
          </w:p>
        </w:tc>
        <w:tc>
          <w:tcPr>
            <w:tcW w:w="2115" w:type="pct"/>
            <w:gridSpan w:val="3"/>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保障不动产登记中心有办公场所</w:t>
            </w:r>
          </w:p>
        </w:tc>
        <w:tc>
          <w:tcPr>
            <w:tcW w:w="2115" w:type="pct"/>
            <w:gridSpan w:val="3"/>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保障不动产登记中心办公场所，方便群众办事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6" w:type="pct"/>
            <w:vMerge w:val="restar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绩效指标</w:t>
            </w:r>
          </w:p>
        </w:tc>
        <w:tc>
          <w:tcPr>
            <w:tcW w:w="292" w:type="pct"/>
            <w:tcBorders>
              <w:top w:val="single" w:color="auto" w:sz="4" w:space="0"/>
              <w:left w:val="single" w:color="auto" w:sz="4" w:space="0"/>
              <w:bottom w:val="single" w:color="auto" w:sz="4" w:space="0"/>
              <w:right w:val="single" w:color="auto" w:sz="4" w:space="0"/>
            </w:tcBorders>
            <w:vAlign w:val="center"/>
          </w:tcPr>
          <w:p>
            <w:pPr>
              <w:widowControl/>
              <w:spacing w:line="180" w:lineRule="exact"/>
              <w:jc w:val="center"/>
              <w:textAlignment w:val="center"/>
              <w:rPr>
                <w:rFonts w:eastAsia="宋体"/>
                <w:color w:val="000000"/>
                <w:sz w:val="16"/>
                <w:szCs w:val="16"/>
              </w:rPr>
            </w:pPr>
            <w:r>
              <w:rPr>
                <w:rFonts w:ascii="宋体" w:hAnsi="宋体" w:eastAsia="宋体"/>
                <w:color w:val="000000"/>
                <w:kern w:val="0"/>
                <w:sz w:val="16"/>
                <w:szCs w:val="16"/>
              </w:rPr>
              <w:t>一级</w:t>
            </w:r>
            <w:r>
              <w:rPr>
                <w:rFonts w:eastAsia="宋体"/>
                <w:color w:val="000000"/>
                <w:kern w:val="0"/>
                <w:sz w:val="16"/>
                <w:szCs w:val="16"/>
              </w:rPr>
              <w:br w:type="textWrapping"/>
            </w:r>
            <w:r>
              <w:rPr>
                <w:rFonts w:ascii="宋体" w:hAnsi="宋体" w:eastAsia="宋体"/>
                <w:color w:val="000000"/>
                <w:kern w:val="0"/>
                <w:sz w:val="16"/>
                <w:szCs w:val="16"/>
              </w:rPr>
              <w:t>指标</w:t>
            </w:r>
          </w:p>
        </w:tc>
        <w:tc>
          <w:tcPr>
            <w:tcW w:w="509"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二级指标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全年实际完成值</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产</w:t>
            </w:r>
            <w:r>
              <w:rPr>
                <w:rFonts w:eastAsia="宋体"/>
                <w:color w:val="000000"/>
                <w:kern w:val="0"/>
                <w:sz w:val="16"/>
                <w:szCs w:val="16"/>
              </w:rPr>
              <w:br w:type="textWrapping"/>
            </w:r>
            <w:r>
              <w:rPr>
                <w:rFonts w:ascii="宋体" w:hAnsi="宋体" w:eastAsia="宋体"/>
                <w:color w:val="000000"/>
                <w:kern w:val="0"/>
                <w:sz w:val="16"/>
                <w:szCs w:val="16"/>
              </w:rPr>
              <w:t>出</w:t>
            </w:r>
            <w:r>
              <w:rPr>
                <w:rFonts w:eastAsia="宋体"/>
                <w:color w:val="000000"/>
                <w:kern w:val="0"/>
                <w:sz w:val="16"/>
                <w:szCs w:val="16"/>
              </w:rPr>
              <w:br w:type="textWrapping"/>
            </w:r>
            <w:r>
              <w:rPr>
                <w:rFonts w:ascii="宋体" w:hAnsi="宋体" w:eastAsia="宋体"/>
                <w:color w:val="000000"/>
                <w:kern w:val="0"/>
                <w:sz w:val="16"/>
                <w:szCs w:val="16"/>
              </w:rPr>
              <w:t>指</w:t>
            </w:r>
            <w:r>
              <w:rPr>
                <w:rFonts w:eastAsia="宋体"/>
                <w:color w:val="000000"/>
                <w:kern w:val="0"/>
                <w:sz w:val="16"/>
                <w:szCs w:val="16"/>
              </w:rPr>
              <w:br w:type="textWrapping"/>
            </w:r>
            <w:r>
              <w:rPr>
                <w:rFonts w:ascii="宋体" w:hAnsi="宋体" w:eastAsia="宋体"/>
                <w:color w:val="000000"/>
                <w:kern w:val="0"/>
                <w:sz w:val="16"/>
                <w:szCs w:val="16"/>
              </w:rPr>
              <w:t>标</w:t>
            </w:r>
          </w:p>
        </w:tc>
        <w:tc>
          <w:tcPr>
            <w:tcW w:w="509" w:type="pc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数量指标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租赁办公面积</w:t>
            </w:r>
            <w:r>
              <w:rPr>
                <w:rFonts w:hint="eastAsia" w:eastAsia="宋体"/>
                <w:color w:val="000000"/>
                <w:sz w:val="16"/>
                <w:szCs w:val="16"/>
                <w:lang w:eastAsia="zh-CN"/>
              </w:rPr>
              <w:t>约</w:t>
            </w:r>
            <w:r>
              <w:rPr>
                <w:rFonts w:hint="eastAsia" w:eastAsia="宋体"/>
                <w:color w:val="000000"/>
                <w:sz w:val="16"/>
                <w:szCs w:val="16"/>
                <w:lang w:val="en-US" w:eastAsia="zh-CN"/>
              </w:rPr>
              <w:t>700</w:t>
            </w:r>
            <w:r>
              <w:rPr>
                <w:rFonts w:hint="eastAsia" w:eastAsia="宋体"/>
                <w:color w:val="000000"/>
                <w:sz w:val="16"/>
                <w:szCs w:val="16"/>
              </w:rPr>
              <w:t>平方米</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完成</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509" w:type="pc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质量指标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按合同约定及时支付房租</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好</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完成</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509" w:type="pc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时效指标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ind w:firstLine="400" w:firstLineChars="250"/>
              <w:rPr>
                <w:rFonts w:eastAsia="宋体"/>
                <w:color w:val="000000"/>
                <w:sz w:val="16"/>
                <w:szCs w:val="16"/>
              </w:rPr>
            </w:pPr>
            <w:r>
              <w:rPr>
                <w:rFonts w:hint="eastAsia" w:eastAsia="宋体"/>
                <w:color w:val="000000"/>
                <w:sz w:val="16"/>
                <w:szCs w:val="16"/>
              </w:rPr>
              <w:t>合同约定租赁期限1年</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完成</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效</w:t>
            </w:r>
            <w:r>
              <w:rPr>
                <w:rFonts w:eastAsia="宋体"/>
                <w:color w:val="000000"/>
                <w:kern w:val="0"/>
                <w:sz w:val="16"/>
                <w:szCs w:val="16"/>
              </w:rPr>
              <w:br w:type="textWrapping"/>
            </w:r>
            <w:r>
              <w:rPr>
                <w:rFonts w:ascii="宋体" w:hAnsi="宋体" w:eastAsia="宋体"/>
                <w:color w:val="000000"/>
                <w:kern w:val="0"/>
                <w:sz w:val="16"/>
                <w:szCs w:val="16"/>
              </w:rPr>
              <w:t>益</w:t>
            </w:r>
            <w:r>
              <w:rPr>
                <w:rFonts w:eastAsia="宋体"/>
                <w:color w:val="000000"/>
                <w:kern w:val="0"/>
                <w:sz w:val="16"/>
                <w:szCs w:val="16"/>
              </w:rPr>
              <w:br w:type="textWrapping"/>
            </w:r>
            <w:r>
              <w:rPr>
                <w:rFonts w:ascii="宋体" w:hAnsi="宋体" w:eastAsia="宋体"/>
                <w:color w:val="000000"/>
                <w:kern w:val="0"/>
                <w:sz w:val="16"/>
                <w:szCs w:val="16"/>
              </w:rPr>
              <w:t>指</w:t>
            </w:r>
            <w:r>
              <w:rPr>
                <w:rFonts w:eastAsia="宋体"/>
                <w:color w:val="000000"/>
                <w:kern w:val="0"/>
                <w:sz w:val="16"/>
                <w:szCs w:val="16"/>
              </w:rPr>
              <w:br w:type="textWrapping"/>
            </w:r>
            <w:r>
              <w:rPr>
                <w:rFonts w:ascii="宋体" w:hAnsi="宋体" w:eastAsia="宋体"/>
                <w:color w:val="000000"/>
                <w:kern w:val="0"/>
                <w:sz w:val="16"/>
                <w:szCs w:val="16"/>
              </w:rPr>
              <w:t>标</w:t>
            </w:r>
          </w:p>
        </w:tc>
        <w:tc>
          <w:tcPr>
            <w:tcW w:w="509" w:type="pc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经济效益</w:t>
            </w:r>
            <w:r>
              <w:rPr>
                <w:rFonts w:eastAsia="宋体"/>
                <w:color w:val="000000"/>
                <w:kern w:val="0"/>
                <w:sz w:val="16"/>
                <w:szCs w:val="16"/>
              </w:rPr>
              <w:br w:type="textWrapping"/>
            </w:r>
            <w:r>
              <w:rPr>
                <w:rFonts w:ascii="宋体" w:hAnsi="宋体" w:eastAsia="宋体"/>
                <w:color w:val="000000"/>
                <w:kern w:val="0"/>
                <w:sz w:val="16"/>
                <w:szCs w:val="16"/>
              </w:rPr>
              <w:t>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509" w:type="pct"/>
            <w:tcBorders>
              <w:top w:val="nil"/>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社会效益</w:t>
            </w:r>
            <w:r>
              <w:rPr>
                <w:rFonts w:eastAsia="宋体"/>
                <w:color w:val="000000"/>
                <w:kern w:val="0"/>
                <w:sz w:val="16"/>
                <w:szCs w:val="16"/>
              </w:rPr>
              <w:br w:type="textWrapping"/>
            </w:r>
            <w:r>
              <w:rPr>
                <w:rFonts w:ascii="宋体" w:hAnsi="宋体" w:eastAsia="宋体"/>
                <w:color w:val="000000"/>
                <w:kern w:val="0"/>
                <w:sz w:val="16"/>
                <w:szCs w:val="16"/>
              </w:rPr>
              <w:t>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提供办公场所，方便群众办事</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完成</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509"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生态效益</w:t>
            </w:r>
            <w:r>
              <w:rPr>
                <w:rFonts w:eastAsia="宋体"/>
                <w:color w:val="000000"/>
                <w:kern w:val="0"/>
                <w:sz w:val="16"/>
                <w:szCs w:val="16"/>
              </w:rPr>
              <w:br w:type="textWrapping"/>
            </w:r>
            <w:r>
              <w:rPr>
                <w:rFonts w:ascii="宋体" w:hAnsi="宋体" w:eastAsia="宋体"/>
                <w:color w:val="000000"/>
                <w:kern w:val="0"/>
                <w:sz w:val="16"/>
                <w:szCs w:val="16"/>
              </w:rPr>
              <w:t>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eastAsia="宋体"/>
                <w:color w:val="000000"/>
                <w:sz w:val="16"/>
                <w:szCs w:val="16"/>
              </w:rPr>
            </w:pPr>
          </w:p>
        </w:tc>
        <w:tc>
          <w:tcPr>
            <w:tcW w:w="292" w:type="pct"/>
            <w:tcBorders>
              <w:top w:val="single" w:color="auto" w:sz="4" w:space="0"/>
              <w:left w:val="single" w:color="auto" w:sz="4" w:space="0"/>
              <w:bottom w:val="single" w:color="auto" w:sz="4" w:space="0"/>
              <w:right w:val="single" w:color="auto" w:sz="4" w:space="0"/>
            </w:tcBorders>
            <w:vAlign w:val="center"/>
          </w:tcPr>
          <w:p>
            <w:pPr>
              <w:widowControl/>
              <w:spacing w:line="180" w:lineRule="exact"/>
              <w:jc w:val="center"/>
              <w:textAlignment w:val="center"/>
              <w:rPr>
                <w:rFonts w:eastAsia="宋体"/>
                <w:color w:val="000000"/>
                <w:sz w:val="16"/>
                <w:szCs w:val="16"/>
              </w:rPr>
            </w:pPr>
            <w:r>
              <w:rPr>
                <w:rFonts w:ascii="宋体" w:hAnsi="宋体" w:eastAsia="宋体"/>
                <w:color w:val="000000"/>
                <w:kern w:val="0"/>
                <w:sz w:val="16"/>
                <w:szCs w:val="16"/>
              </w:rPr>
              <w:t>满意度指标</w:t>
            </w:r>
          </w:p>
        </w:tc>
        <w:tc>
          <w:tcPr>
            <w:tcW w:w="509"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服务对象</w:t>
            </w:r>
            <w:r>
              <w:rPr>
                <w:rFonts w:eastAsia="宋体"/>
                <w:color w:val="000000"/>
                <w:kern w:val="0"/>
                <w:sz w:val="16"/>
                <w:szCs w:val="16"/>
              </w:rPr>
              <w:br w:type="textWrapping"/>
            </w:r>
            <w:r>
              <w:rPr>
                <w:rFonts w:ascii="宋体" w:hAnsi="宋体" w:eastAsia="宋体"/>
                <w:color w:val="000000"/>
                <w:kern w:val="0"/>
                <w:sz w:val="16"/>
                <w:szCs w:val="16"/>
              </w:rPr>
              <w:t>满意度指标</w:t>
            </w:r>
          </w:p>
        </w:tc>
        <w:tc>
          <w:tcPr>
            <w:tcW w:w="1646" w:type="pct"/>
            <w:gridSpan w:val="2"/>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r>
              <w:rPr>
                <w:rFonts w:hint="eastAsia" w:eastAsia="宋体"/>
                <w:color w:val="000000"/>
                <w:sz w:val="16"/>
                <w:szCs w:val="16"/>
              </w:rPr>
              <w:t>方便群众办事，群众满意度提高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95%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spacing w:line="200" w:lineRule="exact"/>
              <w:rPr>
                <w:rFonts w:eastAsia="宋体"/>
                <w:color w:val="000000"/>
                <w:sz w:val="16"/>
                <w:szCs w:val="16"/>
              </w:rPr>
            </w:pPr>
            <w:r>
              <w:rPr>
                <w:rFonts w:hint="eastAsia" w:eastAsia="宋体"/>
                <w:color w:val="000000"/>
                <w:sz w:val="16"/>
                <w:szCs w:val="16"/>
              </w:rPr>
              <w:t>完成</w:t>
            </w:r>
          </w:p>
        </w:tc>
        <w:tc>
          <w:tcPr>
            <w:tcW w:w="1005"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rPr>
                <w:rFonts w:eastAsia="宋体"/>
                <w:color w:val="00000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pPr>
              <w:widowControl/>
              <w:spacing w:line="200" w:lineRule="exact"/>
              <w:jc w:val="center"/>
              <w:textAlignment w:val="center"/>
              <w:rPr>
                <w:rFonts w:eastAsia="宋体"/>
                <w:color w:val="000000"/>
                <w:sz w:val="16"/>
                <w:szCs w:val="16"/>
              </w:rPr>
            </w:pPr>
            <w:r>
              <w:rPr>
                <w:rFonts w:ascii="宋体" w:hAnsi="宋体" w:eastAsia="宋体"/>
                <w:color w:val="000000"/>
                <w:kern w:val="0"/>
                <w:sz w:val="16"/>
                <w:szCs w:val="16"/>
              </w:rPr>
              <w:t>说明</w:t>
            </w:r>
          </w:p>
        </w:tc>
        <w:tc>
          <w:tcPr>
            <w:tcW w:w="4563" w:type="pct"/>
            <w:gridSpan w:val="7"/>
            <w:tcBorders>
              <w:top w:val="single" w:color="auto" w:sz="4" w:space="0"/>
              <w:left w:val="single" w:color="auto" w:sz="4" w:space="0"/>
              <w:bottom w:val="single" w:color="auto" w:sz="4" w:space="0"/>
              <w:right w:val="single" w:color="auto" w:sz="4" w:space="0"/>
            </w:tcBorders>
            <w:vAlign w:val="center"/>
          </w:tcPr>
          <w:p>
            <w:pPr>
              <w:widowControl/>
              <w:spacing w:line="200" w:lineRule="exact"/>
              <w:jc w:val="left"/>
              <w:textAlignment w:val="center"/>
              <w:rPr>
                <w:rFonts w:eastAsia="宋体"/>
                <w:color w:val="000000"/>
                <w:sz w:val="16"/>
                <w:szCs w:val="16"/>
              </w:rPr>
            </w:pPr>
            <w:r>
              <w:rPr>
                <w:rFonts w:ascii="宋体" w:hAnsi="宋体" w:eastAsia="宋体"/>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spacing w:line="180" w:lineRule="exact"/>
              <w:jc w:val="left"/>
              <w:textAlignment w:val="center"/>
              <w:rPr>
                <w:rFonts w:eastAsia="楷体_GB2312"/>
                <w:color w:val="000000"/>
                <w:sz w:val="16"/>
                <w:szCs w:val="16"/>
              </w:rPr>
            </w:pPr>
            <w:r>
              <w:rPr>
                <w:rFonts w:hint="eastAsia" w:ascii="宋体" w:hAnsi="宋体" w:eastAsia="宋体" w:cs="宋体"/>
                <w:color w:val="000000"/>
                <w:kern w:val="0"/>
                <w:sz w:val="16"/>
                <w:szCs w:val="16"/>
              </w:rPr>
              <w:t>注：</w:t>
            </w:r>
            <w:r>
              <w:rPr>
                <w:rFonts w:eastAsia="楷体_GB2312"/>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eastAsia="楷体_GB2312"/>
                <w:color w:val="000000"/>
                <w:kern w:val="0"/>
                <w:sz w:val="16"/>
                <w:szCs w:val="16"/>
              </w:rPr>
              <w:t>100%-80%</w:t>
            </w:r>
            <w:r>
              <w:rPr>
                <w:rFonts w:hint="eastAsia" w:ascii="宋体" w:hAnsi="宋体" w:eastAsia="宋体" w:cs="宋体"/>
                <w:color w:val="000000"/>
                <w:kern w:val="0"/>
                <w:sz w:val="16"/>
                <w:szCs w:val="16"/>
              </w:rPr>
              <w:t>（含）、</w:t>
            </w:r>
            <w:r>
              <w:rPr>
                <w:rFonts w:eastAsia="楷体_GB2312"/>
                <w:color w:val="000000"/>
                <w:kern w:val="0"/>
                <w:sz w:val="16"/>
                <w:szCs w:val="16"/>
              </w:rPr>
              <w:t>80%-60%</w:t>
            </w:r>
            <w:r>
              <w:rPr>
                <w:rFonts w:hint="eastAsia" w:ascii="宋体" w:hAnsi="宋体" w:eastAsia="宋体" w:cs="宋体"/>
                <w:color w:val="000000"/>
                <w:kern w:val="0"/>
                <w:sz w:val="16"/>
                <w:szCs w:val="16"/>
              </w:rPr>
              <w:t>（含）、</w:t>
            </w:r>
            <w:r>
              <w:rPr>
                <w:rFonts w:eastAsia="楷体_GB2312"/>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spacing w:line="180" w:lineRule="exact"/>
              <w:jc w:val="left"/>
              <w:textAlignment w:val="center"/>
              <w:rPr>
                <w:rFonts w:eastAsia="楷体_GB2312"/>
                <w:color w:val="000000"/>
                <w:sz w:val="16"/>
                <w:szCs w:val="16"/>
              </w:rPr>
            </w:pPr>
            <w:r>
              <w:rPr>
                <w:rFonts w:eastAsia="楷体_GB2312"/>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rPr>
          <w:rFonts w:eastAsiaTheme="minorEastAsia"/>
        </w:rPr>
      </w:pPr>
    </w:p>
    <w:p>
      <w:pPr>
        <w:pStyle w:val="7"/>
        <w:pageBreakBefore w:val="0"/>
        <w:widowControl/>
        <w:wordWrap/>
        <w:topLinePunct w:val="0"/>
        <w:autoSpaceDE/>
        <w:autoSpaceDN/>
        <w:bidi w:val="0"/>
        <w:adjustRightInd w:val="0"/>
        <w:snapToGrid w:val="0"/>
        <w:spacing w:line="560" w:lineRule="exact"/>
        <w:ind w:firstLine="640" w:firstLineChars="200"/>
        <w:jc w:val="center"/>
        <w:textAlignment w:val="auto"/>
        <w:rPr>
          <w:rFonts w:hint="eastAsia" w:ascii="仿宋" w:hAnsi="仿宋" w:eastAsia="仿宋" w:cs="仿宋"/>
          <w:sz w:val="32"/>
          <w:szCs w:val="32"/>
        </w:rPr>
        <w:sectPr>
          <w:headerReference r:id="rId5" w:type="default"/>
          <w:footerReference r:id="rId6"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kinsoku w:val="0"/>
        <w:overflowPunct w:val="0"/>
        <w:spacing w:before="0" w:beforeAutospacing="0" w:after="0" w:afterAutospacing="0" w:line="360" w:lineRule="auto"/>
        <w:ind w:left="0" w:right="0"/>
        <w:jc w:val="center"/>
        <w:rPr>
          <w:rFonts w:eastAsia="方正小标宋简体"/>
          <w:spacing w:val="1"/>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年度不动产登记中心房租费项目支出绩效评价指标体系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97"/>
        <w:gridCol w:w="431"/>
        <w:gridCol w:w="634"/>
        <w:gridCol w:w="772"/>
        <w:gridCol w:w="1315"/>
        <w:gridCol w:w="1100"/>
        <w:gridCol w:w="1559"/>
        <w:gridCol w:w="1250"/>
        <w:gridCol w:w="781"/>
        <w:gridCol w:w="584"/>
        <w:gridCol w:w="506"/>
        <w:gridCol w:w="625"/>
        <w:gridCol w:w="628"/>
        <w:gridCol w:w="4172"/>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eastAsiaTheme="minor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民生保障项目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区域均衡性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项目资金分配体现的均衡公平情况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不均衡</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较均衡</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均衡</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按实际分配结果选择客观因素测算验证资金分配方法制定、分配要素设定、基础数据应用、测算依据选取等是否科学合理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对象公平性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项目资金分配结果是否公平合理，是否充分考虑地域条件、经济条件等</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不公平</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公平</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主要查看项目资金分配和实施结果是否体现公平公正性，是否存在明显的排他性和歧视性规定，是否做到大多数和少数的协调统一，统筹兼顾</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社会满意度</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相关群体满意度调查情况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按根据实际满意度与满意度标准值的比率计算指标得分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主要调研政策和项目相关方在政策实施过程中的满意值，通过不满意情况汇总分析政策在顶层设计、制度构建、管理实施及成效各环节的情况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微软雅黑"/>
                <w:kern w:val="0"/>
                <w:sz w:val="18"/>
                <w:szCs w:val="18"/>
                <w:lang w:val="en-US" w:eastAsia="zh-CN"/>
              </w:rPr>
            </w:pPr>
            <w:r>
              <w:rPr>
                <w:rFonts w:hint="eastAsia"/>
                <w:kern w:val="0"/>
                <w:sz w:val="18"/>
                <w:szCs w:val="18"/>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基础设施（设备购置）项目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功能性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反映公共基础设施建设功能是否达到计划能力，建成后是否正常并良好运行，延续性是否达到预期</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发现基础设施功能明显未实现预期的，发现一项扣</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主要查看建设项目是否实施方案实现预期功能，是否能够持续良好地运作，有效地维护，特别是公共设施类的项目，是否能有效满足人民群众的现实需要</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配套性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项目建成后相关工程、点位是否相关协调，配套设施是否整体协调，是否全面衔接发挥整体效益</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重点查看区域内建设规划在空间分布、功能配套整合、土地利用等方面是否存在明显有违常理，不科学合理的情况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微软雅黑"/>
                <w:kern w:val="0"/>
                <w:sz w:val="18"/>
                <w:szCs w:val="18"/>
                <w:lang w:val="en-US" w:eastAsia="zh-CN"/>
              </w:rPr>
            </w:pPr>
            <w:r>
              <w:rPr>
                <w:rFonts w:hint="eastAsia"/>
                <w:kern w:val="0"/>
                <w:sz w:val="18"/>
                <w:szCs w:val="18"/>
                <w:lang w:val="en-US" w:eastAsia="zh-CN"/>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bl>
    <w:p>
      <w:pPr>
        <w:keepNext w:val="0"/>
        <w:keepLines w:val="0"/>
        <w:widowControl w:val="0"/>
        <w:suppressLineNumbers w:val="0"/>
        <w:spacing w:before="0" w:beforeAutospacing="0" w:after="0" w:afterAutospacing="0"/>
        <w:ind w:left="0" w:right="0"/>
        <w:jc w:val="both"/>
        <w:rPr>
          <w:b/>
          <w:bCs/>
          <w:sz w:val="24"/>
          <w:szCs w:val="24"/>
          <w:lang w:val="en-US"/>
        </w:rPr>
      </w:pPr>
      <w:r>
        <w:rPr>
          <w:rFonts w:hint="eastAsia" w:ascii="Times New Roman" w:hAnsi="Times New Roman" w:eastAsia="楷体_GB2312" w:cs="楷体_GB2312"/>
          <w:b/>
          <w:bCs/>
          <w:kern w:val="2"/>
          <w:sz w:val="24"/>
          <w:szCs w:val="24"/>
          <w:lang w:val="en-US" w:eastAsia="zh-CN" w:bidi="ar"/>
        </w:rPr>
        <w:t>相关说明：</w:t>
      </w:r>
    </w:p>
    <w:p>
      <w:pPr>
        <w:keepNext w:val="0"/>
        <w:keepLines w:val="0"/>
        <w:widowControl w:val="0"/>
        <w:suppressLineNumbers w:val="0"/>
        <w:spacing w:before="0" w:beforeAutospacing="0" w:after="0" w:afterAutospacing="0"/>
        <w:ind w:left="0" w:right="0"/>
        <w:jc w:val="both"/>
        <w:rPr>
          <w:b/>
          <w:bCs/>
          <w:sz w:val="24"/>
          <w:szCs w:val="24"/>
          <w:lang w:val="en-US"/>
        </w:rPr>
      </w:pPr>
      <w:r>
        <w:rPr>
          <w:rFonts w:hint="default" w:ascii="Times New Roman" w:hAnsi="Times New Roman" w:eastAsia="楷体_GB2312" w:cs="Times New Roman"/>
          <w:b/>
          <w:bCs/>
          <w:kern w:val="2"/>
          <w:sz w:val="24"/>
          <w:szCs w:val="24"/>
          <w:lang w:val="en-US" w:eastAsia="zh-CN" w:bidi="ar"/>
        </w:rPr>
        <w:t>1.</w:t>
      </w:r>
      <w:r>
        <w:rPr>
          <w:rFonts w:hint="eastAsia" w:ascii="Times New Roman" w:hAnsi="Times New Roman" w:eastAsia="楷体_GB2312" w:cs="楷体_GB2312"/>
          <w:b/>
          <w:bCs/>
          <w:kern w:val="2"/>
          <w:sz w:val="24"/>
          <w:szCs w:val="24"/>
          <w:lang w:val="en-US" w:eastAsia="zh-CN" w:bidi="ar"/>
        </w:rPr>
        <w:t>评分方法归为六类：</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1</w:t>
      </w:r>
      <w:r>
        <w:rPr>
          <w:rFonts w:hint="eastAsia" w:ascii="Times New Roman" w:hAnsi="Times New Roman" w:eastAsia="楷体_GB2312" w:cs="楷体_GB2312"/>
          <w:b/>
          <w:bCs/>
          <w:kern w:val="2"/>
          <w:sz w:val="24"/>
          <w:szCs w:val="24"/>
          <w:lang w:val="en-US" w:eastAsia="zh-CN" w:bidi="ar"/>
        </w:rPr>
        <w:t>）是否评分法：</w:t>
      </w:r>
      <w:r>
        <w:rPr>
          <w:rFonts w:hint="eastAsia" w:ascii="Times New Roman" w:hAnsi="Times New Roman" w:eastAsia="仿宋_GB2312" w:cs="仿宋_GB2312"/>
          <w:kern w:val="2"/>
          <w:sz w:val="24"/>
          <w:szCs w:val="24"/>
          <w:lang w:val="en-US" w:eastAsia="zh-CN" w:bidi="ar"/>
        </w:rPr>
        <w:t>适用于合规性等正反判断指标，正向满分，反向</w:t>
      </w:r>
      <w:r>
        <w:rPr>
          <w:rFonts w:hint="default" w:ascii="Times New Roman" w:hAnsi="Times New Roman" w:eastAsia="仿宋_GB2312" w:cs="Times New Roman"/>
          <w:kern w:val="2"/>
          <w:sz w:val="24"/>
          <w:szCs w:val="24"/>
          <w:lang w:val="en-US" w:eastAsia="zh-CN" w:bidi="ar"/>
        </w:rPr>
        <w:t>0</w:t>
      </w:r>
      <w:r>
        <w:rPr>
          <w:rFonts w:hint="eastAsia" w:ascii="Times New Roman" w:hAnsi="Times New Roman" w:eastAsia="仿宋_GB2312" w:cs="仿宋_GB2312"/>
          <w:kern w:val="2"/>
          <w:sz w:val="24"/>
          <w:szCs w:val="24"/>
          <w:lang w:val="en-US" w:eastAsia="zh-CN" w:bidi="ar"/>
        </w:rPr>
        <w:t>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2</w:t>
      </w:r>
      <w:r>
        <w:rPr>
          <w:rFonts w:hint="eastAsia" w:ascii="Times New Roman" w:hAnsi="Times New Roman" w:eastAsia="楷体_GB2312" w:cs="楷体_GB2312"/>
          <w:b/>
          <w:bCs/>
          <w:kern w:val="2"/>
          <w:sz w:val="24"/>
          <w:szCs w:val="24"/>
          <w:lang w:val="en-US" w:eastAsia="zh-CN" w:bidi="ar"/>
        </w:rPr>
        <w:t>）分级评分法：</w:t>
      </w:r>
      <w:r>
        <w:rPr>
          <w:rFonts w:hint="eastAsia" w:ascii="Times New Roman" w:hAnsi="Times New Roman" w:eastAsia="仿宋_GB2312" w:cs="仿宋_GB2312"/>
          <w:kern w:val="2"/>
          <w:sz w:val="24"/>
          <w:szCs w:val="24"/>
          <w:lang w:val="en-US" w:eastAsia="zh-CN" w:bidi="ar"/>
        </w:rPr>
        <w:t>指标评分设置</w:t>
      </w:r>
      <w:r>
        <w:rPr>
          <w:rFonts w:hint="default" w:ascii="Times New Roman" w:hAnsi="Times New Roman" w:eastAsia="仿宋_GB2312" w:cs="Times New Roman"/>
          <w:kern w:val="2"/>
          <w:sz w:val="24"/>
          <w:szCs w:val="24"/>
          <w:lang w:val="en-US" w:eastAsia="zh-CN" w:bidi="ar"/>
        </w:rPr>
        <w:t>n</w:t>
      </w:r>
      <w:r>
        <w:rPr>
          <w:rFonts w:hint="eastAsia" w:ascii="Times New Roman" w:hAnsi="Times New Roman" w:eastAsia="仿宋_GB2312" w:cs="仿宋_GB2312"/>
          <w:kern w:val="2"/>
          <w:sz w:val="24"/>
          <w:szCs w:val="24"/>
          <w:lang w:val="en-US" w:eastAsia="zh-CN" w:bidi="ar"/>
        </w:rPr>
        <w:t>级权重，指标得分按指标值所处区间的权重计算。</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3</w:t>
      </w:r>
      <w:r>
        <w:rPr>
          <w:rFonts w:hint="eastAsia" w:ascii="Times New Roman" w:hAnsi="Times New Roman" w:eastAsia="楷体_GB2312" w:cs="楷体_GB2312"/>
          <w:b/>
          <w:bCs/>
          <w:kern w:val="2"/>
          <w:sz w:val="24"/>
          <w:szCs w:val="24"/>
          <w:lang w:val="en-US" w:eastAsia="zh-CN" w:bidi="ar"/>
        </w:rPr>
        <w:t>）比率分值法：</w:t>
      </w:r>
      <w:r>
        <w:rPr>
          <w:rFonts w:hint="eastAsia" w:ascii="Times New Roman" w:hAnsi="Times New Roman" w:eastAsia="仿宋_GB2312" w:cs="仿宋_GB2312"/>
          <w:kern w:val="2"/>
          <w:sz w:val="24"/>
          <w:szCs w:val="24"/>
          <w:lang w:val="en-US" w:eastAsia="zh-CN" w:bidi="ar"/>
        </w:rPr>
        <w:t>对存在连续性比率的指标，按比率乘以指标分值计算得分。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4</w:t>
      </w:r>
      <w:r>
        <w:rPr>
          <w:rFonts w:hint="eastAsia" w:ascii="Times New Roman" w:hAnsi="Times New Roman" w:eastAsia="楷体_GB2312" w:cs="楷体_GB2312"/>
          <w:b/>
          <w:bCs/>
          <w:kern w:val="2"/>
          <w:sz w:val="24"/>
          <w:szCs w:val="24"/>
          <w:lang w:val="en-US" w:eastAsia="zh-CN" w:bidi="ar"/>
        </w:rPr>
        <w:t>）缺（错）项扣分法：</w:t>
      </w:r>
      <w:r>
        <w:rPr>
          <w:rFonts w:hint="eastAsia" w:ascii="Times New Roman" w:hAnsi="Times New Roman" w:eastAsia="仿宋_GB2312" w:cs="仿宋_GB2312"/>
          <w:kern w:val="2"/>
          <w:sz w:val="24"/>
          <w:szCs w:val="24"/>
          <w:lang w:val="en-US" w:eastAsia="zh-CN" w:bidi="ar"/>
        </w:rPr>
        <w:t>按照要求所具备的事项计算，全部具备得满分，缺少一项扣</w:t>
      </w:r>
      <w:r>
        <w:rPr>
          <w:rFonts w:hint="default" w:ascii="Times New Roman" w:hAnsi="Times New Roman" w:eastAsia="仿宋_GB2312" w:cs="Times New Roman"/>
          <w:kern w:val="2"/>
          <w:sz w:val="24"/>
          <w:szCs w:val="24"/>
          <w:lang w:val="en-US" w:eastAsia="zh-CN" w:bidi="ar"/>
        </w:rPr>
        <w:t>X</w:t>
      </w:r>
      <w:r>
        <w:rPr>
          <w:rFonts w:hint="eastAsia" w:ascii="Times New Roman" w:hAnsi="Times New Roman" w:eastAsia="仿宋_GB2312" w:cs="仿宋_GB2312"/>
          <w:kern w:val="2"/>
          <w:sz w:val="24"/>
          <w:szCs w:val="24"/>
          <w:lang w:val="en-US" w:eastAsia="zh-CN" w:bidi="ar"/>
        </w:rPr>
        <w:t>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5</w:t>
      </w:r>
      <w:r>
        <w:rPr>
          <w:rFonts w:hint="eastAsia" w:ascii="Times New Roman" w:hAnsi="Times New Roman" w:eastAsia="楷体_GB2312" w:cs="楷体_GB2312"/>
          <w:b/>
          <w:bCs/>
          <w:kern w:val="2"/>
          <w:sz w:val="24"/>
          <w:szCs w:val="24"/>
          <w:lang w:val="en-US" w:eastAsia="zh-CN" w:bidi="ar"/>
        </w:rPr>
        <w:t>）满意值赋分法：</w:t>
      </w:r>
      <w:r>
        <w:rPr>
          <w:rFonts w:hint="eastAsia" w:ascii="Times New Roman" w:hAnsi="Times New Roman" w:eastAsia="仿宋_GB2312" w:cs="仿宋_GB2312"/>
          <w:kern w:val="2"/>
          <w:sz w:val="24"/>
          <w:szCs w:val="24"/>
          <w:lang w:val="en-US" w:eastAsia="zh-CN" w:bidi="ar"/>
        </w:rPr>
        <w:t>设置一个满意值，指标值达到满意值得满分，未达到不得分或扣分。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6</w:t>
      </w:r>
      <w:r>
        <w:rPr>
          <w:rFonts w:hint="eastAsia" w:ascii="Times New Roman" w:hAnsi="Times New Roman" w:eastAsia="楷体_GB2312" w:cs="楷体_GB2312"/>
          <w:b/>
          <w:bCs/>
          <w:kern w:val="2"/>
          <w:sz w:val="24"/>
          <w:szCs w:val="24"/>
          <w:lang w:val="en-US" w:eastAsia="zh-CN" w:bidi="ar"/>
        </w:rPr>
        <w:t>）按数累加法：</w:t>
      </w:r>
      <w:r>
        <w:rPr>
          <w:rFonts w:hint="eastAsia" w:ascii="Times New Roman" w:hAnsi="Times New Roman" w:eastAsia="仿宋_GB2312" w:cs="仿宋_GB2312"/>
          <w:kern w:val="2"/>
          <w:sz w:val="24"/>
          <w:szCs w:val="24"/>
          <w:lang w:val="en-US" w:eastAsia="zh-CN" w:bidi="ar"/>
        </w:rPr>
        <w:t>若有必要用于加分项指标。</w:t>
      </w:r>
    </w:p>
    <w:p>
      <w:pPr>
        <w:keepNext w:val="0"/>
        <w:keepLines w:val="0"/>
        <w:widowControl w:val="0"/>
        <w:suppressLineNumbers w:val="0"/>
        <w:spacing w:before="0" w:beforeAutospacing="0" w:after="0" w:afterAutospacing="0"/>
        <w:ind w:left="0" w:right="0"/>
        <w:jc w:val="both"/>
        <w:rPr>
          <w:rFonts w:hint="eastAsia" w:ascii="Times New Roman" w:hAnsi="Times New Roman" w:eastAsia="楷体_GB2312" w:cs="楷体_GB2312"/>
          <w:b/>
          <w:bCs/>
          <w:kern w:val="2"/>
          <w:sz w:val="24"/>
          <w:szCs w:val="24"/>
          <w:lang w:val="en-US" w:eastAsia="zh-CN" w:bidi="ar"/>
        </w:rPr>
        <w:sectPr>
          <w:pgSz w:w="16838" w:h="11906" w:orient="landscape"/>
          <w:pgMar w:top="720" w:right="720" w:bottom="720" w:left="720" w:header="454" w:footer="454" w:gutter="0"/>
          <w:pgNumType w:fmt="decimal"/>
          <w:cols w:space="425" w:num="1"/>
          <w:docGrid w:type="lines" w:linePitch="436" w:charSpace="0"/>
        </w:sectPr>
      </w:pPr>
      <w:r>
        <w:rPr>
          <w:rFonts w:hint="default" w:ascii="Times New Roman" w:hAnsi="Times New Roman" w:eastAsia="楷体_GB2312" w:cs="Times New Roman"/>
          <w:b/>
          <w:bCs/>
          <w:kern w:val="2"/>
          <w:sz w:val="24"/>
          <w:szCs w:val="24"/>
          <w:lang w:val="en-US" w:eastAsia="zh-CN" w:bidi="ar"/>
        </w:rPr>
        <w:t>2.</w:t>
      </w:r>
      <w:r>
        <w:rPr>
          <w:rFonts w:hint="eastAsia" w:ascii="Times New Roman" w:hAnsi="Times New Roman" w:eastAsia="楷体_GB2312" w:cs="楷体_GB2312"/>
          <w:b/>
          <w:bCs/>
          <w:kern w:val="2"/>
          <w:sz w:val="24"/>
          <w:szCs w:val="24"/>
          <w:lang w:val="en-US" w:eastAsia="zh-CN" w:bidi="ar"/>
        </w:rPr>
        <w:t>特性指标二三级指标权重可自行分</w:t>
      </w: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b w:val="0"/>
          <w:bCs w:val="0"/>
          <w:kern w:val="0"/>
          <w:sz w:val="44"/>
          <w:szCs w:val="44"/>
        </w:rPr>
        <w:t>偿还被征地农民养老保险贷款</w:t>
      </w:r>
      <w:r>
        <w:rPr>
          <w:rFonts w:hint="eastAsia" w:ascii="黑体" w:hAnsi="黑体" w:eastAsia="黑体" w:cs="黑体"/>
          <w:spacing w:val="1"/>
          <w:sz w:val="44"/>
          <w:szCs w:val="44"/>
        </w:rPr>
        <w:t>项目支出绩效自评报告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cs="仿宋"/>
          <w:sz w:val="32"/>
          <w:szCs w:val="32"/>
        </w:rPr>
        <w:t>项目具体目标：</w:t>
      </w:r>
      <w:r>
        <w:rPr>
          <w:rFonts w:hint="eastAsia" w:ascii="仿宋" w:hAnsi="仿宋" w:eastAsia="仿宋"/>
          <w:kern w:val="0"/>
          <w:sz w:val="32"/>
          <w:szCs w:val="32"/>
        </w:rPr>
        <w:t>按月足额偿通过农业银行偿还被征地农民养老保险贷款</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w:t>
      </w:r>
      <w:r>
        <w:rPr>
          <w:rFonts w:hint="eastAsia" w:ascii="仿宋" w:hAnsi="仿宋" w:eastAsia="仿宋" w:cs="仿宋"/>
          <w:sz w:val="32"/>
          <w:szCs w:val="32"/>
          <w:lang w:eastAsia="zh-CN"/>
        </w:rPr>
        <w:t>全年</w:t>
      </w:r>
      <w:r>
        <w:rPr>
          <w:rFonts w:hint="eastAsia" w:ascii="仿宋" w:hAnsi="仿宋" w:eastAsia="仿宋" w:cs="仿宋"/>
          <w:sz w:val="32"/>
          <w:szCs w:val="32"/>
        </w:rPr>
        <w:t>预算</w:t>
      </w:r>
      <w:r>
        <w:rPr>
          <w:rFonts w:hint="eastAsia" w:ascii="仿宋" w:hAnsi="仿宋" w:eastAsia="仿宋" w:cs="仿宋"/>
          <w:sz w:val="32"/>
          <w:szCs w:val="32"/>
          <w:lang w:val="en-US" w:eastAsia="zh-CN"/>
        </w:rPr>
        <w:t>2070.3</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spacing w:before="0" w:after="0"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（一）预算执行进度情况分析</w:t>
      </w:r>
    </w:p>
    <w:p>
      <w:pPr>
        <w:pStyle w:val="4"/>
        <w:spacing w:before="0" w:after="0" w:line="360" w:lineRule="auto"/>
        <w:ind w:firstLine="640" w:firstLineChars="200"/>
        <w:rPr>
          <w:rFonts w:hint="eastAsia" w:ascii="仿宋" w:hAnsi="仿宋" w:eastAsia="仿宋" w:cs="仿宋"/>
          <w:sz w:val="32"/>
          <w:szCs w:val="32"/>
          <w:lang w:val="en-US" w:eastAsia="zh-CN"/>
        </w:rPr>
      </w:pPr>
      <w:r>
        <w:rPr>
          <w:rFonts w:hint="eastAsia" w:ascii="仿宋" w:hAnsi="仿宋" w:eastAsia="仿宋" w:cs="仿宋"/>
          <w:b w:val="0"/>
          <w:bCs/>
          <w:sz w:val="32"/>
          <w:szCs w:val="32"/>
        </w:rPr>
        <w:t>项目</w:t>
      </w:r>
      <w:r>
        <w:rPr>
          <w:rFonts w:hint="eastAsia" w:ascii="仿宋" w:hAnsi="仿宋" w:eastAsia="仿宋" w:cs="仿宋"/>
          <w:b w:val="0"/>
          <w:bCs/>
          <w:sz w:val="32"/>
          <w:szCs w:val="32"/>
          <w:lang w:eastAsia="zh-CN"/>
        </w:rPr>
        <w:t>全年预算数</w:t>
      </w:r>
      <w:r>
        <w:rPr>
          <w:rFonts w:hint="eastAsia" w:ascii="仿宋" w:hAnsi="仿宋" w:eastAsia="仿宋" w:cs="仿宋"/>
          <w:b w:val="0"/>
          <w:bCs/>
          <w:sz w:val="32"/>
          <w:szCs w:val="32"/>
          <w:lang w:val="en-US" w:eastAsia="zh-CN"/>
        </w:rPr>
        <w:t>2070.3</w:t>
      </w:r>
      <w:r>
        <w:rPr>
          <w:rFonts w:hint="eastAsia" w:ascii="仿宋" w:hAnsi="仿宋" w:eastAsia="仿宋" w:cs="仿宋"/>
          <w:b w:val="0"/>
          <w:bCs/>
          <w:sz w:val="32"/>
          <w:szCs w:val="32"/>
        </w:rPr>
        <w:t>万元，资金实际支付为</w:t>
      </w:r>
      <w:r>
        <w:rPr>
          <w:rFonts w:hint="eastAsia" w:ascii="仿宋" w:hAnsi="仿宋" w:eastAsia="仿宋" w:cs="仿宋"/>
          <w:b w:val="0"/>
          <w:bCs/>
          <w:sz w:val="32"/>
          <w:szCs w:val="32"/>
          <w:lang w:val="en-US" w:eastAsia="zh-CN"/>
        </w:rPr>
        <w:t>2070.3</w:t>
      </w:r>
      <w:r>
        <w:rPr>
          <w:rFonts w:hint="eastAsia" w:ascii="仿宋" w:hAnsi="仿宋" w:eastAsia="仿宋" w:cs="仿宋"/>
          <w:b w:val="0"/>
          <w:bCs/>
          <w:sz w:val="32"/>
          <w:szCs w:val="32"/>
        </w:rPr>
        <w:t>万元</w:t>
      </w:r>
      <w:r>
        <w:rPr>
          <w:rFonts w:hint="eastAsia" w:ascii="仿宋" w:hAnsi="仿宋" w:eastAsia="仿宋" w:cs="仿宋"/>
          <w:b w:val="0"/>
          <w:bCs/>
          <w:kern w:val="0"/>
          <w:sz w:val="32"/>
          <w:szCs w:val="32"/>
          <w:lang w:val="en-US" w:eastAsia="zh-CN"/>
        </w:rPr>
        <w:t>，预算执行率100%。</w:t>
      </w:r>
      <w:r>
        <w:rPr>
          <w:rFonts w:hint="eastAsia" w:ascii="仿宋" w:hAnsi="仿宋" w:eastAsia="仿宋" w:cs="仿宋"/>
          <w:b w:val="0"/>
          <w:bCs/>
          <w:sz w:val="32"/>
          <w:szCs w:val="32"/>
        </w:rPr>
        <w:t>资金开支范围、标准及支付进度严格按照规定，支付</w:t>
      </w:r>
      <w:r>
        <w:rPr>
          <w:rFonts w:hint="eastAsia" w:ascii="仿宋" w:hAnsi="仿宋" w:eastAsia="仿宋" w:cs="仿宋"/>
          <w:b w:val="0"/>
          <w:bCs/>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kern w:val="0"/>
          <w:sz w:val="32"/>
          <w:szCs w:val="32"/>
          <w:lang w:eastAsia="zh-CN"/>
        </w:rPr>
      </w:pPr>
      <w:r>
        <w:rPr>
          <w:rFonts w:hint="eastAsia" w:ascii="仿宋" w:hAnsi="仿宋" w:eastAsia="仿宋" w:cs="仿宋"/>
          <w:kern w:val="0"/>
          <w:sz w:val="32"/>
          <w:szCs w:val="32"/>
        </w:rPr>
        <w:t>按月足额偿通过农业银行偿还被征地农民养老保险贷款，维护群众的合法权益，保障社会稳定。</w:t>
      </w:r>
      <w:r>
        <w:rPr>
          <w:rFonts w:hint="eastAsia" w:ascii="仿宋" w:hAnsi="仿宋" w:eastAsia="仿宋" w:cs="仿宋"/>
          <w:kern w:val="0"/>
          <w:sz w:val="32"/>
          <w:szCs w:val="32"/>
          <w:lang w:eastAsia="zh-CN"/>
        </w:rPr>
        <w:t>。</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（三）绩效指标完成情况分析</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kern w:val="0"/>
          <w:sz w:val="32"/>
          <w:szCs w:val="32"/>
          <w:lang w:val="en-US" w:eastAsia="zh-CN"/>
        </w:rPr>
      </w:pPr>
      <w:r>
        <w:rPr>
          <w:rFonts w:hint="eastAsia" w:ascii="仿宋" w:hAnsi="仿宋" w:eastAsia="仿宋" w:cs="仿宋"/>
          <w:b w:val="0"/>
          <w:bCs/>
          <w:kern w:val="0"/>
          <w:sz w:val="32"/>
          <w:szCs w:val="32"/>
          <w:lang w:val="en-US" w:eastAsia="zh-CN"/>
        </w:rPr>
        <w:t>2022年1-12月每月20日</w:t>
      </w:r>
      <w:r>
        <w:rPr>
          <w:rFonts w:hint="eastAsia" w:ascii="仿宋" w:hAnsi="仿宋" w:eastAsia="仿宋" w:cs="仿宋"/>
          <w:b w:val="0"/>
          <w:bCs/>
          <w:kern w:val="0"/>
          <w:sz w:val="32"/>
          <w:szCs w:val="32"/>
        </w:rPr>
        <w:t>足额偿通过农业银行偿还</w:t>
      </w:r>
      <w:r>
        <w:rPr>
          <w:rFonts w:hint="eastAsia" w:ascii="仿宋" w:hAnsi="仿宋" w:eastAsia="仿宋" w:cs="仿宋"/>
          <w:b w:val="0"/>
          <w:bCs/>
          <w:kern w:val="0"/>
          <w:sz w:val="32"/>
          <w:szCs w:val="32"/>
          <w:lang w:eastAsia="zh-CN"/>
        </w:rPr>
        <w:t>为</w:t>
      </w:r>
      <w:r>
        <w:rPr>
          <w:rFonts w:hint="eastAsia" w:ascii="仿宋" w:hAnsi="仿宋" w:eastAsia="仿宋" w:cs="仿宋"/>
          <w:b w:val="0"/>
          <w:bCs/>
          <w:kern w:val="0"/>
          <w:sz w:val="32"/>
          <w:szCs w:val="32"/>
          <w:lang w:val="en-US" w:eastAsia="zh-CN"/>
        </w:rPr>
        <w:t>1624名农</w:t>
      </w:r>
      <w:r>
        <w:rPr>
          <w:rFonts w:hint="eastAsia" w:ascii="仿宋" w:hAnsi="仿宋" w:eastAsia="仿宋" w:cs="仿宋"/>
          <w:b w:val="0"/>
          <w:bCs/>
          <w:kern w:val="0"/>
          <w:sz w:val="32"/>
          <w:szCs w:val="32"/>
        </w:rPr>
        <w:t>被征地农民</w:t>
      </w:r>
      <w:r>
        <w:rPr>
          <w:rFonts w:hint="eastAsia" w:ascii="仿宋" w:hAnsi="仿宋" w:eastAsia="仿宋" w:cs="仿宋"/>
          <w:b w:val="0"/>
          <w:bCs/>
          <w:kern w:val="0"/>
          <w:sz w:val="32"/>
          <w:szCs w:val="32"/>
          <w:lang w:eastAsia="zh-CN"/>
        </w:rPr>
        <w:t>偿还</w:t>
      </w:r>
      <w:r>
        <w:rPr>
          <w:rFonts w:hint="eastAsia" w:ascii="仿宋" w:hAnsi="仿宋" w:eastAsia="仿宋" w:cs="仿宋"/>
          <w:b w:val="0"/>
          <w:bCs/>
          <w:kern w:val="0"/>
          <w:sz w:val="32"/>
          <w:szCs w:val="32"/>
        </w:rPr>
        <w:t>养老保险贷款</w:t>
      </w:r>
      <w:r>
        <w:rPr>
          <w:rFonts w:hint="eastAsia" w:ascii="仿宋" w:hAnsi="仿宋" w:eastAsia="仿宋" w:cs="仿宋"/>
          <w:b w:val="0"/>
          <w:bCs/>
          <w:kern w:val="0"/>
          <w:sz w:val="32"/>
          <w:szCs w:val="32"/>
          <w:lang w:eastAsia="zh-CN"/>
        </w:rPr>
        <w:t>。</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3"/>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b w:val="0"/>
          <w:bCs/>
          <w:kern w:val="0"/>
          <w:sz w:val="32"/>
          <w:szCs w:val="32"/>
          <w:lang w:val="en-US" w:eastAsia="zh-CN"/>
        </w:rPr>
      </w:pPr>
      <w:r>
        <w:rPr>
          <w:rFonts w:hint="eastAsia" w:ascii="仿宋" w:hAnsi="仿宋" w:eastAsia="仿宋"/>
          <w:b w:val="0"/>
          <w:bCs/>
          <w:kern w:val="0"/>
          <w:sz w:val="32"/>
          <w:szCs w:val="32"/>
          <w:lang w:eastAsia="zh-CN"/>
        </w:rPr>
        <w:t>按时足额偿还农户养老保险贷款，切实</w:t>
      </w:r>
      <w:r>
        <w:rPr>
          <w:rFonts w:hint="eastAsia" w:ascii="仿宋" w:hAnsi="仿宋" w:eastAsia="仿宋"/>
          <w:b w:val="0"/>
          <w:bCs/>
          <w:kern w:val="0"/>
          <w:sz w:val="32"/>
          <w:szCs w:val="32"/>
        </w:rPr>
        <w:t>维护群众的合法权益，保障社会稳定</w:t>
      </w:r>
      <w:r>
        <w:rPr>
          <w:rFonts w:hint="eastAsia" w:ascii="仿宋" w:hAnsi="仿宋" w:eastAsia="仿宋"/>
          <w:b w:val="0"/>
          <w:bCs/>
          <w:kern w:val="0"/>
          <w:sz w:val="32"/>
          <w:szCs w:val="32"/>
          <w:lang w:val="en-US" w:eastAsia="zh-CN"/>
        </w:rPr>
        <w:t>。</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5</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附件：1.2022年度</w:t>
      </w:r>
      <w:r>
        <w:rPr>
          <w:rFonts w:hint="eastAsia" w:ascii="仿宋" w:hAnsi="仿宋" w:eastAsia="仿宋" w:cs="仿宋"/>
          <w:kern w:val="0"/>
          <w:sz w:val="32"/>
          <w:szCs w:val="32"/>
          <w:lang w:eastAsia="zh-CN"/>
        </w:rPr>
        <w:t>偿还被征地农户养老保险贷款</w:t>
      </w:r>
      <w:r>
        <w:rPr>
          <w:rFonts w:hint="eastAsia" w:ascii="仿宋" w:hAnsi="仿宋" w:eastAsia="仿宋" w:cs="仿宋"/>
          <w:spacing w:val="1"/>
          <w:sz w:val="32"/>
          <w:szCs w:val="32"/>
        </w:rPr>
        <w:t>项目</w:t>
      </w:r>
      <w:r>
        <w:rPr>
          <w:rFonts w:hint="eastAsia" w:ascii="仿宋" w:hAnsi="仿宋" w:eastAsia="仿宋" w:cs="仿宋"/>
          <w:b w:val="0"/>
          <w:bCs w:val="0"/>
          <w:sz w:val="32"/>
          <w:szCs w:val="32"/>
        </w:rPr>
        <w:t>绩效目标自评表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lang w:eastAsia="zh-CN"/>
        </w:rPr>
        <w:t>偿还被征地农户养老保险贷款</w:t>
      </w:r>
      <w:r>
        <w:rPr>
          <w:rFonts w:hint="eastAsia" w:ascii="仿宋" w:hAnsi="仿宋" w:eastAsia="仿宋" w:cs="仿宋"/>
          <w:spacing w:val="1"/>
          <w:sz w:val="32"/>
          <w:szCs w:val="32"/>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501"/>
        <w:gridCol w:w="864"/>
        <w:gridCol w:w="1648"/>
        <w:gridCol w:w="1161"/>
        <w:gridCol w:w="1067"/>
        <w:gridCol w:w="825"/>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偿还被征地农民养老保险贷款</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偿还被征地农民养老保险贷款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2070.3</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ind w:firstLine="480" w:firstLineChars="300"/>
              <w:jc w:val="both"/>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2070.3</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2070.3</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2070.3</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按时偿还征地农户养老保险贷款</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按时足额偿还被征地农民养老保险贷款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偿还1624人养老保险贷款</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每月按时足额偿还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每月20日偿还贷款</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及时支付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维护和保障群众的切身利益</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sectPr>
          <w:headerReference r:id="rId7" w:type="default"/>
          <w:footerReference r:id="rId8"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黑体" w:cs="Times New Roman"/>
          <w:kern w:val="2"/>
          <w:sz w:val="21"/>
          <w:szCs w:val="24"/>
          <w:lang w:val="en-US"/>
        </w:rPr>
      </w:pPr>
      <w:r>
        <w:rPr>
          <w:rFonts w:hint="eastAsia" w:ascii="Times New Roman" w:hAnsi="Times New Roman" w:eastAsia="黑体" w:cs="黑体"/>
          <w:kern w:val="2"/>
          <w:sz w:val="32"/>
          <w:szCs w:val="32"/>
          <w:lang w:val="en-US" w:eastAsia="zh-CN" w:bidi="ar"/>
        </w:rPr>
        <w:t>附件</w:t>
      </w:r>
      <w:r>
        <w:rPr>
          <w:rFonts w:hint="default" w:ascii="Times New Roman" w:hAnsi="Times New Roman" w:eastAsia="黑体" w:cs="Times New Roman"/>
          <w:kern w:val="2"/>
          <w:sz w:val="32"/>
          <w:szCs w:val="32"/>
          <w:lang w:val="en-US" w:eastAsia="zh-CN" w:bidi="ar"/>
        </w:rPr>
        <w:t>3</w:t>
      </w: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w:t>
      </w:r>
      <w:r>
        <w:rPr>
          <w:rFonts w:hint="eastAsia" w:ascii="Times New Roman" w:hAnsi="Times New Roman" w:cs="Times New Roman" w:eastAsiaTheme="minorEastAsia"/>
          <w:color w:val="000000"/>
          <w:kern w:val="0"/>
          <w:sz w:val="32"/>
          <w:szCs w:val="32"/>
        </w:rPr>
        <w:t>偿还被征地农民养老保险贷款</w:t>
      </w:r>
      <w:r>
        <w:rPr>
          <w:rFonts w:hint="eastAsia" w:ascii="Times New Roman" w:hAnsi="方正小标宋简体" w:eastAsia="方正小标宋简体" w:cs="方正小标宋简体"/>
          <w:spacing w:val="1"/>
          <w:kern w:val="2"/>
          <w:sz w:val="36"/>
          <w:szCs w:val="36"/>
          <w:lang w:val="en-US" w:eastAsia="zh-CN" w:bidi="ar"/>
        </w:rPr>
        <w:t>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99"/>
        <w:gridCol w:w="431"/>
        <w:gridCol w:w="634"/>
        <w:gridCol w:w="772"/>
        <w:gridCol w:w="1315"/>
        <w:gridCol w:w="1100"/>
        <w:gridCol w:w="1559"/>
        <w:gridCol w:w="1250"/>
        <w:gridCol w:w="781"/>
        <w:gridCol w:w="584"/>
        <w:gridCol w:w="506"/>
        <w:gridCol w:w="625"/>
        <w:gridCol w:w="628"/>
        <w:gridCol w:w="4171"/>
        <w:gridCol w:w="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农业产业（包括林业产业）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增加值提升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项目实施涉及产值增长情况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三年产值平均增长率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当年涉农产值增量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上一年度涉农产值总量</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重点查看项目实施区域涉农增加值变动情况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年均收入变动率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项目实施后农户收入变动情况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标准值负值为</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（项目实施后人均年收入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重点查看三年来农民人均年收入增长变化情况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从业带动能力</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项目带动周边从事相关行业情况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三年平均新增带动就业户数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通过实地走访、调研、收集带动就业户数相关基础数据进行对比分析</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bl>
    <w:p>
      <w:pPr>
        <w:pStyle w:val="2"/>
        <w:rPr>
          <w:rFonts w:hint="default"/>
          <w:lang w:val="en-US" w:eastAsia="zh-CN"/>
        </w:rPr>
        <w:sectPr>
          <w:pgSz w:w="16838" w:h="11906" w:orient="landscape"/>
          <w:pgMar w:top="720" w:right="720" w:bottom="720" w:left="720" w:header="454" w:footer="454" w:gutter="0"/>
          <w:pgNumType w:fmt="decimal"/>
          <w:cols w:space="425" w:num="1"/>
          <w:docGrid w:type="lines" w:linePitch="436" w:charSpace="0"/>
        </w:sectPr>
      </w:pPr>
    </w:p>
    <w:p>
      <w:pPr>
        <w:pageBreakBefore w:val="0"/>
        <w:widowControl/>
        <w:kinsoku w:val="0"/>
        <w:wordWrap/>
        <w:overflowPunct w:val="0"/>
        <w:topLinePunct w:val="0"/>
        <w:autoSpaceDE/>
        <w:autoSpaceDN/>
        <w:bidi w:val="0"/>
        <w:adjustRightInd w:val="0"/>
        <w:snapToGrid w:val="0"/>
        <w:spacing w:line="50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0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kern w:val="0"/>
          <w:sz w:val="44"/>
          <w:szCs w:val="44"/>
          <w:lang w:val="en-US" w:eastAsia="zh-CN"/>
        </w:rPr>
        <w:t>地质灾害项目</w:t>
      </w:r>
      <w:r>
        <w:rPr>
          <w:rFonts w:hint="eastAsia" w:ascii="黑体" w:hAnsi="黑体" w:eastAsia="黑体" w:cs="黑体"/>
          <w:spacing w:val="1"/>
          <w:sz w:val="44"/>
          <w:szCs w:val="44"/>
        </w:rPr>
        <w:t>支出绩效自评报告</w:t>
      </w:r>
    </w:p>
    <w:p>
      <w:pPr>
        <w:pStyle w:val="3"/>
        <w:pageBreakBefore w:val="0"/>
        <w:widowControl/>
        <w:wordWrap/>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pStyle w:val="3"/>
        <w:pageBreakBefore w:val="0"/>
        <w:widowControl/>
        <w:wordWrap/>
        <w:topLinePunct w:val="0"/>
        <w:autoSpaceDE/>
        <w:autoSpaceDN/>
        <w:bidi w:val="0"/>
        <w:adjustRightInd w:val="0"/>
        <w:snapToGrid w:val="0"/>
        <w:spacing w:before="0" w:after="0" w:line="500" w:lineRule="exact"/>
        <w:ind w:firstLine="640" w:firstLineChars="200"/>
        <w:textAlignment w:val="auto"/>
        <w:rPr>
          <w:rFonts w:hint="default" w:ascii="仿宋" w:hAnsi="仿宋" w:eastAsia="仿宋"/>
          <w:b w:val="0"/>
          <w:bCs/>
          <w:kern w:val="0"/>
          <w:sz w:val="32"/>
          <w:szCs w:val="32"/>
          <w:lang w:val="en-US" w:eastAsia="zh-CN"/>
        </w:rPr>
      </w:pPr>
      <w:r>
        <w:rPr>
          <w:rFonts w:hint="eastAsia" w:ascii="仿宋" w:hAnsi="仿宋" w:eastAsia="仿宋"/>
          <w:b w:val="0"/>
          <w:bCs/>
          <w:kern w:val="0"/>
          <w:sz w:val="32"/>
          <w:szCs w:val="32"/>
          <w:lang w:val="en-US" w:eastAsia="zh-CN"/>
        </w:rPr>
        <w:t>项目具体目标：完成全县所有地质灾害监测点的巡查，及时发布预警信息，完成专职监测人员的工作任务考核。对考核合格监测人员兑现专职监测人员补助。</w:t>
      </w:r>
    </w:p>
    <w:p>
      <w:pPr>
        <w:pStyle w:val="4"/>
        <w:pageBreakBefore w:val="0"/>
        <w:widowControl/>
        <w:wordWrap/>
        <w:topLinePunct w:val="0"/>
        <w:autoSpaceDE/>
        <w:autoSpaceDN/>
        <w:bidi w:val="0"/>
        <w:adjustRightInd w:val="0"/>
        <w:snapToGrid w:val="0"/>
        <w:spacing w:before="0" w:after="0" w:line="5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3"/>
        <w:pageBreakBefore w:val="0"/>
        <w:widowControl/>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kern w:val="0"/>
          <w:lang w:val="en-US" w:eastAsia="zh-CN"/>
        </w:rPr>
      </w:pPr>
      <w:r>
        <w:rPr>
          <w:rFonts w:hint="eastAsia" w:ascii="仿宋" w:hAnsi="仿宋" w:eastAsia="仿宋"/>
          <w:b w:val="0"/>
          <w:bCs/>
          <w:kern w:val="0"/>
          <w:sz w:val="32"/>
          <w:szCs w:val="32"/>
          <w:lang w:val="en-US" w:eastAsia="zh-CN"/>
        </w:rPr>
        <w:t>根据2022年4月《乐山市自然资源局提前下达2022年地质灾害防治体第建设省级补助资金项目任务的通知》（乐市自然资发【2022】34号通知要求，下达资金计划25.2万元。</w:t>
      </w:r>
    </w:p>
    <w:p>
      <w:pPr>
        <w:pStyle w:val="3"/>
        <w:pageBreakBefore w:val="0"/>
        <w:widowControl/>
        <w:wordWrap/>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pageBreakBefore w:val="0"/>
        <w:widowControl/>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（一）预算执行进度情况分析</w:t>
      </w:r>
    </w:p>
    <w:p>
      <w:pPr>
        <w:pStyle w:val="4"/>
        <w:pageBreakBefore w:val="0"/>
        <w:widowControl/>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项目</w:t>
      </w:r>
      <w:r>
        <w:rPr>
          <w:rFonts w:hint="eastAsia" w:ascii="仿宋" w:hAnsi="仿宋" w:eastAsia="仿宋" w:cs="仿宋"/>
          <w:b w:val="0"/>
          <w:bCs/>
          <w:sz w:val="32"/>
          <w:szCs w:val="32"/>
          <w:lang w:eastAsia="zh-CN"/>
        </w:rPr>
        <w:t>全年</w:t>
      </w:r>
      <w:r>
        <w:rPr>
          <w:rFonts w:hint="eastAsia" w:ascii="仿宋" w:hAnsi="仿宋" w:eastAsia="仿宋" w:cs="仿宋"/>
          <w:b w:val="0"/>
          <w:bCs/>
          <w:sz w:val="32"/>
          <w:szCs w:val="32"/>
        </w:rPr>
        <w:t>预算资金为</w:t>
      </w:r>
      <w:r>
        <w:rPr>
          <w:rFonts w:hint="eastAsia" w:ascii="仿宋" w:hAnsi="仿宋" w:eastAsia="仿宋"/>
          <w:b w:val="0"/>
          <w:bCs/>
          <w:kern w:val="0"/>
          <w:sz w:val="32"/>
          <w:szCs w:val="32"/>
          <w:lang w:val="en-US" w:eastAsia="zh-CN"/>
        </w:rPr>
        <w:t>17.76</w:t>
      </w:r>
      <w:r>
        <w:rPr>
          <w:rFonts w:hint="eastAsia" w:ascii="仿宋" w:hAnsi="仿宋" w:eastAsia="仿宋" w:cs="仿宋"/>
          <w:b w:val="0"/>
          <w:bCs/>
          <w:sz w:val="32"/>
          <w:szCs w:val="32"/>
        </w:rPr>
        <w:t>万元，资金实际支付为</w:t>
      </w:r>
      <w:r>
        <w:rPr>
          <w:rFonts w:hint="eastAsia" w:ascii="仿宋" w:hAnsi="仿宋" w:eastAsia="仿宋"/>
          <w:b w:val="0"/>
          <w:bCs/>
          <w:kern w:val="0"/>
          <w:sz w:val="32"/>
          <w:szCs w:val="32"/>
          <w:lang w:val="en-US" w:eastAsia="zh-CN"/>
        </w:rPr>
        <w:t>17.76</w:t>
      </w:r>
      <w:r>
        <w:rPr>
          <w:rFonts w:hint="eastAsia" w:ascii="仿宋" w:hAnsi="仿宋" w:eastAsia="仿宋" w:cs="仿宋"/>
          <w:b w:val="0"/>
          <w:bCs/>
          <w:sz w:val="32"/>
          <w:szCs w:val="32"/>
        </w:rPr>
        <w:t>万元，</w:t>
      </w:r>
      <w:r>
        <w:rPr>
          <w:rFonts w:hint="eastAsia" w:ascii="仿宋" w:hAnsi="仿宋" w:eastAsia="仿宋"/>
          <w:b w:val="0"/>
          <w:bCs/>
          <w:kern w:val="0"/>
          <w:sz w:val="32"/>
          <w:szCs w:val="32"/>
          <w:lang w:val="en-US" w:eastAsia="zh-CN"/>
        </w:rPr>
        <w:t>预算执行率100%。</w:t>
      </w:r>
      <w:r>
        <w:rPr>
          <w:rFonts w:hint="eastAsia" w:ascii="仿宋" w:hAnsi="仿宋" w:eastAsia="仿宋" w:cs="仿宋"/>
          <w:b w:val="0"/>
          <w:bCs/>
          <w:sz w:val="32"/>
          <w:szCs w:val="32"/>
        </w:rPr>
        <w:t>资金开支范围、标准及支付进度严格按照规定，支付</w:t>
      </w:r>
      <w:r>
        <w:rPr>
          <w:rFonts w:hint="eastAsia" w:ascii="仿宋" w:hAnsi="仿宋" w:eastAsia="仿宋" w:cs="仿宋"/>
          <w:b w:val="0"/>
          <w:bCs/>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numPr>
          <w:ilvl w:val="0"/>
          <w:numId w:val="0"/>
        </w:numPr>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总体绩效目标基本完成，地质灾害专职监测人员补助已足额补助到位</w:t>
      </w:r>
    </w:p>
    <w:p>
      <w:pPr>
        <w:pageBreakBefore w:val="0"/>
        <w:widowControl/>
        <w:numPr>
          <w:ilvl w:val="0"/>
          <w:numId w:val="1"/>
        </w:numPr>
        <w:kinsoku/>
        <w:wordWrap/>
        <w:overflowPunct/>
        <w:topLinePunct w:val="0"/>
        <w:autoSpaceDE/>
        <w:autoSpaceDN/>
        <w:bidi w:val="0"/>
        <w:adjustRightInd w:val="0"/>
        <w:snapToGrid w:val="0"/>
        <w:spacing w:line="5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绩效指标完成情况分析</w:t>
      </w:r>
    </w:p>
    <w:p>
      <w:pPr>
        <w:pStyle w:val="4"/>
        <w:pageBreakBefore w:val="0"/>
        <w:widowControl/>
        <w:numPr>
          <w:ilvl w:val="0"/>
          <w:numId w:val="0"/>
        </w:numPr>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kern w:val="0"/>
          <w:sz w:val="32"/>
          <w:szCs w:val="32"/>
          <w:lang w:val="en-US" w:eastAsia="zh-CN"/>
        </w:rPr>
      </w:pPr>
      <w:r>
        <w:rPr>
          <w:rFonts w:hint="eastAsia" w:ascii="仿宋" w:hAnsi="仿宋" w:eastAsia="仿宋"/>
          <w:b w:val="0"/>
          <w:bCs/>
          <w:kern w:val="0"/>
          <w:sz w:val="32"/>
          <w:szCs w:val="32"/>
          <w:lang w:val="en-US" w:eastAsia="zh-CN"/>
        </w:rPr>
        <w:t>完成对全县地质灾害隐患点专人监测，专职人员开展汛前、汛中排查，全年排查次数达300人次。2022年12月通过乡镇考核合格后，足额兑现2022年度56名地质灾害专职监测人员补助。</w:t>
      </w:r>
    </w:p>
    <w:p>
      <w:pPr>
        <w:pStyle w:val="4"/>
        <w:pageBreakBefore w:val="0"/>
        <w:widowControl/>
        <w:numPr>
          <w:ilvl w:val="0"/>
          <w:numId w:val="0"/>
        </w:numPr>
        <w:wordWrap/>
        <w:topLinePunct w:val="0"/>
        <w:autoSpaceDE/>
        <w:autoSpaceDN/>
        <w:bidi w:val="0"/>
        <w:adjustRightInd w:val="0"/>
        <w:snapToGrid w:val="0"/>
        <w:spacing w:before="0" w:after="0" w:line="50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4"/>
        <w:pageBreakBefore w:val="0"/>
        <w:widowControl/>
        <w:numPr>
          <w:ilvl w:val="0"/>
          <w:numId w:val="0"/>
        </w:numPr>
        <w:wordWrap/>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b w:val="0"/>
          <w:bCs/>
          <w:kern w:val="0"/>
          <w:sz w:val="32"/>
          <w:szCs w:val="32"/>
          <w:lang w:val="en-US" w:eastAsia="zh-CN"/>
        </w:rPr>
      </w:pPr>
      <w:r>
        <w:rPr>
          <w:rFonts w:hint="eastAsia" w:ascii="仿宋" w:hAnsi="仿宋" w:eastAsia="仿宋"/>
          <w:b w:val="0"/>
          <w:bCs/>
          <w:kern w:val="0"/>
          <w:sz w:val="32"/>
          <w:szCs w:val="32"/>
          <w:lang w:val="en-US" w:eastAsia="zh-CN"/>
        </w:rPr>
        <w:t>2022年地质灾害专职监测补助项目申报合乎我县地质灾害防治工作实际，项目管理制度规范健全并落实到位，项目实施符合上级要求，专职监测项目实施顺利，有效保证了各地质灾害隐患点变化情况得到及时发现，确保及时高效的预警预报，提高各乡镇应急处置能力，保护了当地受威胁群众的生命财产安全。严格按上级相关要求，及时足额将补助资金发放到监测员手中，激发监测员工作热情，保证群测群防工作扎实有效。</w:t>
      </w:r>
    </w:p>
    <w:p>
      <w:pPr>
        <w:pStyle w:val="3"/>
        <w:pageBreakBefore w:val="0"/>
        <w:widowControl/>
        <w:wordWrap/>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3</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附件：1.2022年度</w:t>
      </w:r>
      <w:r>
        <w:rPr>
          <w:rFonts w:hint="eastAsia" w:ascii="仿宋" w:hAnsi="仿宋" w:eastAsia="仿宋" w:cs="仿宋"/>
          <w:kern w:val="0"/>
          <w:sz w:val="32"/>
          <w:szCs w:val="32"/>
          <w:lang w:eastAsia="zh-CN"/>
        </w:rPr>
        <w:t>地质灾害</w:t>
      </w:r>
      <w:r>
        <w:rPr>
          <w:rFonts w:hint="eastAsia" w:ascii="仿宋" w:hAnsi="仿宋" w:eastAsia="仿宋" w:cs="仿宋"/>
          <w:spacing w:val="1"/>
          <w:sz w:val="32"/>
          <w:szCs w:val="32"/>
        </w:rPr>
        <w:t>项目</w:t>
      </w:r>
      <w:r>
        <w:rPr>
          <w:rFonts w:hint="eastAsia" w:ascii="仿宋" w:hAnsi="仿宋" w:eastAsia="仿宋" w:cs="仿宋"/>
          <w:b w:val="0"/>
          <w:bCs w:val="0"/>
          <w:sz w:val="32"/>
          <w:szCs w:val="32"/>
        </w:rPr>
        <w:t>绩效目标自评表</w:t>
      </w:r>
    </w:p>
    <w:p>
      <w:pPr>
        <w:pStyle w:val="7"/>
        <w:pageBreakBefore w:val="0"/>
        <w:widowControl/>
        <w:wordWrap/>
        <w:topLinePunct w:val="0"/>
        <w:autoSpaceDE/>
        <w:autoSpaceDN/>
        <w:bidi w:val="0"/>
        <w:adjustRightInd w:val="0"/>
        <w:snapToGrid w:val="0"/>
        <w:spacing w:line="500" w:lineRule="exact"/>
        <w:ind w:left="660" w:leftChars="300" w:firstLine="960" w:firstLineChars="3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lang w:eastAsia="zh-CN"/>
        </w:rPr>
        <w:t>地质灾害</w:t>
      </w:r>
      <w:r>
        <w:rPr>
          <w:rFonts w:hint="eastAsia" w:ascii="仿宋" w:hAnsi="仿宋" w:eastAsia="仿宋" w:cs="仿宋"/>
          <w:spacing w:val="1"/>
          <w:sz w:val="32"/>
          <w:szCs w:val="32"/>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0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0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501"/>
        <w:gridCol w:w="864"/>
        <w:gridCol w:w="1648"/>
        <w:gridCol w:w="1161"/>
        <w:gridCol w:w="1067"/>
        <w:gridCol w:w="825"/>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地质灾害</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地质灾害项目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17.76</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17.76</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17.76</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17.76</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补助2022年地质灾害专职监测人员补助</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足额兑现56名专职监测人员补助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补助资金发放56人，17.76万元</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监测人员考核合格，地质灾害信息上报及时，补助资金发放规范</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2022年12月底前完成补助兑现</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及时支付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及时报送地质灾害信息，有效参与地质灾害应急与救治</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widowControl w:val="0"/>
        <w:adjustRightInd/>
        <w:snapToGrid/>
        <w:spacing w:after="0" w:line="520" w:lineRule="exact"/>
        <w:jc w:val="both"/>
        <w:rPr>
          <w:rFonts w:ascii="Times New Roman" w:hAnsi="Times New Roman" w:eastAsia="黑体" w:cs="Times New Roman"/>
          <w:kern w:val="2"/>
          <w:sz w:val="32"/>
          <w:szCs w:val="32"/>
        </w:rPr>
        <w:sectPr>
          <w:headerReference r:id="rId9" w:type="default"/>
          <w:footerReference r:id="rId10"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黑体" w:cs="Times New Roman"/>
          <w:kern w:val="2"/>
          <w:sz w:val="21"/>
          <w:szCs w:val="24"/>
          <w:lang w:val="en-US"/>
        </w:rPr>
      </w:pPr>
      <w:r>
        <w:rPr>
          <w:rFonts w:hint="eastAsia" w:ascii="Times New Roman" w:hAnsi="Times New Roman" w:eastAsia="黑体" w:cs="黑体"/>
          <w:kern w:val="2"/>
          <w:sz w:val="32"/>
          <w:szCs w:val="32"/>
          <w:lang w:val="en-US" w:eastAsia="zh-CN" w:bidi="ar"/>
        </w:rPr>
        <w:t>附件</w:t>
      </w:r>
      <w:r>
        <w:rPr>
          <w:rFonts w:hint="default" w:ascii="Times New Roman" w:hAnsi="Times New Roman" w:eastAsia="黑体" w:cs="Times New Roman"/>
          <w:kern w:val="2"/>
          <w:sz w:val="32"/>
          <w:szCs w:val="32"/>
          <w:lang w:val="en-US" w:eastAsia="zh-CN" w:bidi="ar"/>
        </w:rPr>
        <w:t>3</w:t>
      </w: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年度地</w:t>
      </w:r>
      <w:r>
        <w:rPr>
          <w:rFonts w:hint="eastAsia" w:ascii="Times New Roman" w:hAnsi="方正小标宋简体" w:eastAsia="宋体" w:cs="方正小标宋简体"/>
          <w:spacing w:val="1"/>
          <w:kern w:val="2"/>
          <w:sz w:val="36"/>
          <w:szCs w:val="36"/>
          <w:lang w:val="en-US" w:eastAsia="zh-CN" w:bidi="ar"/>
        </w:rPr>
        <w:t>质灾害</w:t>
      </w:r>
      <w:r>
        <w:rPr>
          <w:rFonts w:hint="eastAsia" w:ascii="Times New Roman" w:hAnsi="方正小标宋简体" w:eastAsia="方正小标宋简体" w:cs="方正小标宋简体"/>
          <w:spacing w:val="1"/>
          <w:kern w:val="2"/>
          <w:sz w:val="36"/>
          <w:szCs w:val="36"/>
          <w:lang w:val="en-US" w:eastAsia="zh-CN" w:bidi="ar"/>
        </w:rPr>
        <w:t>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97"/>
        <w:gridCol w:w="431"/>
        <w:gridCol w:w="634"/>
        <w:gridCol w:w="772"/>
        <w:gridCol w:w="1315"/>
        <w:gridCol w:w="1100"/>
        <w:gridCol w:w="1559"/>
        <w:gridCol w:w="1250"/>
        <w:gridCol w:w="781"/>
        <w:gridCol w:w="584"/>
        <w:gridCol w:w="506"/>
        <w:gridCol w:w="625"/>
        <w:gridCol w:w="628"/>
        <w:gridCol w:w="4172"/>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50</w:t>
            </w:r>
          </w:p>
        </w:tc>
      </w:tr>
    </w:tbl>
    <w:p>
      <w:pPr>
        <w:pStyle w:val="2"/>
        <w:ind w:left="0" w:leftChars="0" w:firstLine="0" w:firstLineChars="0"/>
      </w:pPr>
    </w:p>
    <w:p>
      <w:pPr>
        <w:pStyle w:val="2"/>
        <w:bidi w:val="0"/>
        <w:rPr>
          <w:rFonts w:hint="eastAsia"/>
        </w:rPr>
      </w:pPr>
    </w:p>
    <w:p>
      <w:pPr>
        <w:rPr>
          <w:rFonts w:hint="default"/>
          <w:lang w:val="en-US" w:eastAsia="zh-CN"/>
        </w:rPr>
        <w:sectPr>
          <w:pgSz w:w="16838" w:h="11906" w:orient="landscape"/>
          <w:pgMar w:top="720" w:right="720" w:bottom="720" w:left="720" w:header="454" w:footer="454" w:gutter="0"/>
          <w:pgNumType w:fmt="decimal"/>
          <w:cols w:space="425" w:num="1"/>
          <w:docGrid w:type="lines" w:linePitch="436" w:charSpace="0"/>
        </w:sectPr>
      </w:pPr>
    </w:p>
    <w:p>
      <w:pPr>
        <w:pageBreakBefore w:val="0"/>
        <w:widowControl/>
        <w:kinsoku w:val="0"/>
        <w:wordWrap/>
        <w:overflowPunct w:val="0"/>
        <w:topLinePunct w:val="0"/>
        <w:autoSpaceDE/>
        <w:autoSpaceDN/>
        <w:bidi w:val="0"/>
        <w:adjustRightInd w:val="0"/>
        <w:snapToGrid w:val="0"/>
        <w:spacing w:line="50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0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kern w:val="0"/>
          <w:sz w:val="44"/>
          <w:szCs w:val="44"/>
          <w:lang w:eastAsia="zh-CN"/>
        </w:rPr>
        <w:t>规划编制服务</w:t>
      </w:r>
      <w:r>
        <w:rPr>
          <w:rFonts w:hint="eastAsia" w:ascii="黑体" w:hAnsi="黑体" w:eastAsia="黑体" w:cs="黑体"/>
          <w:spacing w:val="1"/>
          <w:sz w:val="44"/>
          <w:szCs w:val="44"/>
        </w:rPr>
        <w:t>项目支出绩效自评报告</w:t>
      </w:r>
    </w:p>
    <w:p>
      <w:pPr>
        <w:pStyle w:val="3"/>
        <w:pageBreakBefore w:val="0"/>
        <w:widowControl/>
        <w:kinsoku/>
        <w:wordWrap/>
        <w:overflowPunct/>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kinsoku/>
        <w:wordWrap/>
        <w:overflowPunct/>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0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cs="仿宋"/>
          <w:sz w:val="32"/>
          <w:szCs w:val="32"/>
        </w:rPr>
        <w:t>项目具体目标：</w:t>
      </w:r>
      <w:r>
        <w:rPr>
          <w:rFonts w:hint="eastAsia" w:ascii="仿宋" w:hAnsi="仿宋" w:eastAsia="仿宋" w:cs="仿宋"/>
          <w:sz w:val="32"/>
          <w:szCs w:val="32"/>
          <w:lang w:eastAsia="zh-CN"/>
        </w:rPr>
        <w:t>按合同约定</w:t>
      </w:r>
      <w:r>
        <w:rPr>
          <w:rFonts w:hint="eastAsia" w:ascii="仿宋" w:hAnsi="仿宋" w:eastAsia="仿宋"/>
          <w:kern w:val="0"/>
          <w:sz w:val="32"/>
          <w:szCs w:val="32"/>
          <w:lang w:val="en-US" w:eastAsia="zh-CN"/>
        </w:rPr>
        <w:t>完成各乡镇产业园区规划编制、城市控规编制、空间生态修复编制的任务。</w:t>
      </w:r>
    </w:p>
    <w:p>
      <w:pPr>
        <w:pStyle w:val="4"/>
        <w:pageBreakBefore w:val="0"/>
        <w:widowControl/>
        <w:kinsoku/>
        <w:wordWrap/>
        <w:overflowPunct/>
        <w:topLinePunct w:val="0"/>
        <w:autoSpaceDE/>
        <w:autoSpaceDN/>
        <w:bidi w:val="0"/>
        <w:adjustRightInd w:val="0"/>
        <w:snapToGrid w:val="0"/>
        <w:spacing w:before="0" w:after="0" w:line="5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181.91</w:t>
      </w:r>
      <w:r>
        <w:rPr>
          <w:rFonts w:hint="eastAsia" w:ascii="仿宋" w:hAnsi="仿宋" w:eastAsia="仿宋" w:cs="仿宋"/>
          <w:sz w:val="32"/>
          <w:szCs w:val="32"/>
        </w:rPr>
        <w:t>万元，此项目资金全部来源于县本级财政资金。</w:t>
      </w:r>
    </w:p>
    <w:p>
      <w:pPr>
        <w:pStyle w:val="3"/>
        <w:pageBreakBefore w:val="0"/>
        <w:widowControl/>
        <w:kinsoku/>
        <w:wordWrap/>
        <w:overflowPunct/>
        <w:topLinePunct w:val="0"/>
        <w:autoSpaceDE/>
        <w:autoSpaceDN/>
        <w:bidi w:val="0"/>
        <w:adjustRightInd w:val="0"/>
        <w:snapToGrid w:val="0"/>
        <w:spacing w:before="0" w:after="0" w:line="500" w:lineRule="exact"/>
        <w:ind w:firstLine="643" w:firstLineChars="200"/>
        <w:textAlignment w:val="auto"/>
        <w:rPr>
          <w:rFonts w:hint="eastAsia" w:ascii="仿宋" w:hAnsi="仿宋" w:eastAsia="仿宋" w:cs="仿宋"/>
          <w:b w:val="0"/>
          <w:bCs/>
          <w:sz w:val="32"/>
          <w:szCs w:val="32"/>
        </w:rPr>
      </w:pPr>
      <w:r>
        <w:rPr>
          <w:rFonts w:hint="eastAsia" w:ascii="黑体" w:hAnsi="黑体" w:eastAsia="黑体" w:cs="黑体"/>
          <w:sz w:val="32"/>
          <w:szCs w:val="32"/>
        </w:rPr>
        <w:t>二、绩效目标完成情况分析</w:t>
      </w:r>
    </w:p>
    <w:p>
      <w:pPr>
        <w:pStyle w:val="4"/>
        <w:pageBreakBefore w:val="0"/>
        <w:widowControl/>
        <w:kinsoku/>
        <w:wordWrap/>
        <w:overflowPunct/>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（一）预算执行进度情况分析</w:t>
      </w:r>
    </w:p>
    <w:p>
      <w:pPr>
        <w:pStyle w:val="4"/>
        <w:pageBreakBefore w:val="0"/>
        <w:widowControl/>
        <w:kinsoku/>
        <w:wordWrap/>
        <w:overflowPunct/>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rPr>
        <w:t>项目预算批复资金为</w:t>
      </w:r>
      <w:r>
        <w:rPr>
          <w:rFonts w:hint="eastAsia" w:ascii="仿宋" w:hAnsi="仿宋" w:eastAsia="仿宋" w:cs="仿宋"/>
          <w:b w:val="0"/>
          <w:bCs/>
          <w:sz w:val="32"/>
          <w:szCs w:val="32"/>
          <w:lang w:val="en-US" w:eastAsia="zh-CN"/>
        </w:rPr>
        <w:t>181.91</w:t>
      </w:r>
      <w:r>
        <w:rPr>
          <w:rFonts w:hint="eastAsia" w:ascii="仿宋" w:hAnsi="仿宋" w:eastAsia="仿宋" w:cs="仿宋"/>
          <w:b w:val="0"/>
          <w:bCs/>
          <w:sz w:val="32"/>
          <w:szCs w:val="32"/>
        </w:rPr>
        <w:t>万元，资金实际支付为</w:t>
      </w:r>
      <w:r>
        <w:rPr>
          <w:rFonts w:hint="eastAsia" w:ascii="仿宋" w:hAnsi="仿宋" w:eastAsia="仿宋" w:cs="仿宋"/>
          <w:b w:val="0"/>
          <w:bCs/>
          <w:sz w:val="32"/>
          <w:szCs w:val="32"/>
          <w:lang w:val="en-US" w:eastAsia="zh-CN"/>
        </w:rPr>
        <w:t>181.91</w:t>
      </w:r>
      <w:r>
        <w:rPr>
          <w:rFonts w:hint="eastAsia" w:ascii="仿宋" w:hAnsi="仿宋" w:eastAsia="仿宋" w:cs="仿宋"/>
          <w:b w:val="0"/>
          <w:bCs/>
          <w:sz w:val="32"/>
          <w:szCs w:val="32"/>
        </w:rPr>
        <w:t>万元，</w:t>
      </w:r>
      <w:r>
        <w:rPr>
          <w:rFonts w:hint="eastAsia" w:ascii="仿宋" w:hAnsi="仿宋" w:eastAsia="仿宋" w:cs="仿宋"/>
          <w:b w:val="0"/>
          <w:bCs/>
          <w:kern w:val="0"/>
          <w:sz w:val="32"/>
          <w:szCs w:val="32"/>
          <w:lang w:val="en-US" w:eastAsia="zh-CN"/>
        </w:rPr>
        <w:t>预算执行率100%。</w:t>
      </w:r>
      <w:r>
        <w:rPr>
          <w:rFonts w:hint="eastAsia" w:ascii="仿宋" w:hAnsi="仿宋" w:eastAsia="仿宋" w:cs="仿宋"/>
          <w:b w:val="0"/>
          <w:bCs/>
          <w:sz w:val="32"/>
          <w:szCs w:val="32"/>
        </w:rPr>
        <w:t>资金开支范围、标准及支付进度严格按照规定，支付</w:t>
      </w:r>
      <w:r>
        <w:rPr>
          <w:rFonts w:hint="eastAsia" w:ascii="仿宋" w:hAnsi="仿宋" w:eastAsia="仿宋" w:cs="仿宋"/>
          <w:b w:val="0"/>
          <w:bCs/>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kinsoku/>
        <w:wordWrap/>
        <w:overflowPunct/>
        <w:topLinePunct w:val="0"/>
        <w:autoSpaceDE/>
        <w:autoSpaceDN/>
        <w:bidi w:val="0"/>
        <w:adjustRightInd w:val="0"/>
        <w:snapToGrid w:val="0"/>
        <w:spacing w:line="500" w:lineRule="exact"/>
        <w:ind w:firstLine="640" w:firstLineChars="200"/>
        <w:textAlignment w:val="auto"/>
        <w:rPr>
          <w:rFonts w:hint="default" w:ascii="仿宋" w:hAnsi="仿宋" w:eastAsia="仿宋"/>
          <w:kern w:val="0"/>
          <w:sz w:val="32"/>
          <w:szCs w:val="32"/>
          <w:lang w:val="en-US" w:eastAsia="zh-CN"/>
        </w:rPr>
      </w:pPr>
      <w:r>
        <w:rPr>
          <w:rFonts w:hint="eastAsia" w:ascii="仿宋" w:hAnsi="仿宋" w:eastAsia="仿宋"/>
          <w:kern w:val="0"/>
          <w:sz w:val="32"/>
          <w:szCs w:val="32"/>
          <w:lang w:eastAsia="zh-CN"/>
        </w:rPr>
        <w:t>总体绩效目标基本完成，按项目合同约定完成利店镇茶产业舟坝镇循环经济片区国土空间规划编制、沐川县国土空间生态修改编制、沐川县城市控规划编制以及</w:t>
      </w:r>
      <w:r>
        <w:rPr>
          <w:rFonts w:hint="eastAsia" w:ascii="仿宋" w:hAnsi="仿宋" w:eastAsia="仿宋"/>
          <w:kern w:val="0"/>
          <w:sz w:val="32"/>
          <w:szCs w:val="32"/>
          <w:lang w:val="en-US" w:eastAsia="zh-CN"/>
        </w:rPr>
        <w:t>2021年8个特色产业规划编制任务。</w:t>
      </w:r>
    </w:p>
    <w:p>
      <w:pPr>
        <w:pageBreakBefore w:val="0"/>
        <w:widowControl/>
        <w:numPr>
          <w:ilvl w:val="0"/>
          <w:numId w:val="1"/>
        </w:numPr>
        <w:kinsoku/>
        <w:wordWrap/>
        <w:overflowPunct/>
        <w:topLinePunct w:val="0"/>
        <w:autoSpaceDE/>
        <w:autoSpaceDN/>
        <w:bidi w:val="0"/>
        <w:adjustRightInd w:val="0"/>
        <w:snapToGrid w:val="0"/>
        <w:spacing w:line="5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绩效指标完成情况分析</w:t>
      </w:r>
    </w:p>
    <w:p>
      <w:pPr>
        <w:pageBreakBefore w:val="0"/>
        <w:widowControl/>
        <w:kinsoku/>
        <w:wordWrap/>
        <w:overflowPunct/>
        <w:topLinePunct w:val="0"/>
        <w:autoSpaceDE/>
        <w:autoSpaceDN/>
        <w:bidi w:val="0"/>
        <w:adjustRightInd w:val="0"/>
        <w:snapToGrid w:val="0"/>
        <w:spacing w:line="500" w:lineRule="exact"/>
        <w:ind w:firstLine="640" w:firstLineChars="200"/>
        <w:textAlignment w:val="auto"/>
        <w:rPr>
          <w:rFonts w:hint="eastAsia"/>
          <w:lang w:val="en-US" w:eastAsia="zh-CN"/>
        </w:rPr>
      </w:pPr>
      <w:r>
        <w:rPr>
          <w:rFonts w:hint="eastAsia" w:ascii="仿宋" w:hAnsi="仿宋" w:eastAsia="仿宋"/>
          <w:kern w:val="0"/>
          <w:sz w:val="32"/>
          <w:szCs w:val="32"/>
          <w:lang w:val="en-US" w:eastAsia="zh-CN"/>
        </w:rPr>
        <w:t>2022年</w:t>
      </w:r>
      <w:r>
        <w:rPr>
          <w:rFonts w:hint="eastAsia" w:ascii="仿宋" w:hAnsi="仿宋" w:eastAsia="仿宋"/>
          <w:kern w:val="0"/>
          <w:sz w:val="32"/>
          <w:szCs w:val="32"/>
          <w:lang w:eastAsia="zh-CN"/>
        </w:rPr>
        <w:t>利店镇茶产业舟坝镇循环经济片区国土空间规划编制成果通过县专家组评审和国土空间规划会审定并上报市级审批。沐川县国土空间生态修复编制成果初稿完成并在征求县级部门意见后完成初稿修定，并县政府网站公示征求社会公众意见，公示期无异议。沐川县城市控规维护和新编制按合同约定已完成相关资料收集整理，编制工作正常有序推进。</w:t>
      </w:r>
      <w:r>
        <w:rPr>
          <w:rFonts w:hint="eastAsia" w:ascii="仿宋" w:hAnsi="仿宋" w:eastAsia="仿宋"/>
          <w:kern w:val="0"/>
          <w:sz w:val="32"/>
          <w:szCs w:val="32"/>
          <w:lang w:val="en-US" w:eastAsia="zh-CN"/>
        </w:rPr>
        <w:t>2021年8个特色产业规划编制已完成三个连片村的编制成果并提交报告。</w:t>
      </w:r>
    </w:p>
    <w:p>
      <w:pPr>
        <w:pStyle w:val="4"/>
        <w:pageBreakBefore w:val="0"/>
        <w:widowControl/>
        <w:numPr>
          <w:ilvl w:val="0"/>
          <w:numId w:val="0"/>
        </w:numPr>
        <w:kinsoku/>
        <w:wordWrap/>
        <w:overflowPunct/>
        <w:topLinePunct w:val="0"/>
        <w:autoSpaceDE/>
        <w:autoSpaceDN/>
        <w:bidi w:val="0"/>
        <w:adjustRightInd w:val="0"/>
        <w:snapToGrid w:val="0"/>
        <w:spacing w:before="0" w:after="0" w:line="50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3"/>
        <w:pageBreakBefore w:val="0"/>
        <w:widowControl/>
        <w:kinsoku/>
        <w:wordWrap/>
        <w:overflowPunct/>
        <w:topLinePunct w:val="0"/>
        <w:autoSpaceDE/>
        <w:autoSpaceDN/>
        <w:bidi w:val="0"/>
        <w:adjustRightInd w:val="0"/>
        <w:snapToGrid w:val="0"/>
        <w:spacing w:before="0" w:after="0" w:line="50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kern w:val="0"/>
          <w:sz w:val="32"/>
          <w:szCs w:val="32"/>
          <w:lang w:val="en-US" w:eastAsia="zh-CN"/>
        </w:rPr>
        <w:t>通过对乡镇片区国土空间规划、生态修复规划，城市控规维护和新编等的规划编制，统筹了乡镇片区、城市的生态保护，产业布局及各项建设活动，合理高效配置公共服务设施和基础设施，推动乡镇片区集聚发展和土地资源集约节约利用，促进片区社会经济全面、协调和可持续发展。</w:t>
      </w:r>
    </w:p>
    <w:p>
      <w:pPr>
        <w:pStyle w:val="3"/>
        <w:pageBreakBefore w:val="0"/>
        <w:widowControl/>
        <w:kinsoku/>
        <w:wordWrap/>
        <w:overflowPunct/>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kinsoku/>
        <w:wordWrap/>
        <w:overflowPunct/>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6</w:t>
      </w:r>
      <w:r>
        <w:rPr>
          <w:rFonts w:hint="eastAsia" w:ascii="仿宋" w:hAnsi="仿宋" w:eastAsia="仿宋" w:cs="仿宋"/>
          <w:sz w:val="32"/>
          <w:szCs w:val="32"/>
        </w:rPr>
        <w:t>分，绩效目标与预算同步批复、同步公开。</w:t>
      </w:r>
    </w:p>
    <w:p>
      <w:pPr>
        <w:pStyle w:val="3"/>
        <w:pageBreakBefore w:val="0"/>
        <w:widowControl/>
        <w:kinsoku/>
        <w:wordWrap/>
        <w:overflowPunct/>
        <w:topLinePunct w:val="0"/>
        <w:autoSpaceDE/>
        <w:autoSpaceDN/>
        <w:bidi w:val="0"/>
        <w:adjustRightInd w:val="0"/>
        <w:snapToGrid w:val="0"/>
        <w:spacing w:before="0" w:after="0" w:line="50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kinsoku/>
        <w:wordWrap/>
        <w:overflowPunct/>
        <w:topLinePunct w:val="0"/>
        <w:autoSpaceDE/>
        <w:autoSpaceDN/>
        <w:bidi w:val="0"/>
        <w:adjustRightInd w:val="0"/>
        <w:snapToGrid w:val="0"/>
        <w:spacing w:line="5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b w:val="0"/>
          <w:bCs w:val="0"/>
          <w:sz w:val="32"/>
          <w:szCs w:val="32"/>
        </w:rPr>
      </w:pPr>
    </w:p>
    <w:p>
      <w:pPr>
        <w:pStyle w:val="7"/>
        <w:pageBreakBefore w:val="0"/>
        <w:widowControl/>
        <w:kinsoku/>
        <w:wordWrap/>
        <w:overflowPunct/>
        <w:topLinePunct w:val="0"/>
        <w:autoSpaceDE/>
        <w:autoSpaceDN/>
        <w:bidi w:val="0"/>
        <w:adjustRightInd w:val="0"/>
        <w:snapToGrid w:val="0"/>
        <w:spacing w:line="50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w:t>
      </w:r>
      <w:r>
        <w:rPr>
          <w:rFonts w:hint="eastAsia" w:ascii="仿宋" w:hAnsi="仿宋" w:eastAsia="仿宋" w:cs="仿宋"/>
          <w:b w:val="0"/>
          <w:bCs w:val="0"/>
          <w:sz w:val="32"/>
          <w:szCs w:val="32"/>
          <w:lang w:eastAsia="zh-CN"/>
        </w:rPr>
        <w:t>规划编制服务</w:t>
      </w:r>
      <w:r>
        <w:rPr>
          <w:rFonts w:hint="eastAsia" w:ascii="仿宋" w:hAnsi="仿宋" w:eastAsia="仿宋" w:cs="仿宋"/>
          <w:spacing w:val="1"/>
          <w:sz w:val="32"/>
          <w:szCs w:val="32"/>
        </w:rPr>
        <w:t>项目</w:t>
      </w:r>
      <w:r>
        <w:rPr>
          <w:rFonts w:hint="eastAsia" w:ascii="仿宋" w:hAnsi="仿宋" w:eastAsia="仿宋" w:cs="仿宋"/>
          <w:b w:val="0"/>
          <w:bCs w:val="0"/>
          <w:sz w:val="32"/>
          <w:szCs w:val="32"/>
        </w:rPr>
        <w:t>绩效目标自评表</w:t>
      </w:r>
    </w:p>
    <w:p>
      <w:pPr>
        <w:pStyle w:val="7"/>
        <w:pageBreakBefore w:val="0"/>
        <w:widowControl/>
        <w:kinsoku/>
        <w:wordWrap/>
        <w:overflowPunct/>
        <w:topLinePunct w:val="0"/>
        <w:autoSpaceDE/>
        <w:autoSpaceDN/>
        <w:bidi w:val="0"/>
        <w:adjustRightInd w:val="0"/>
        <w:snapToGrid w:val="0"/>
        <w:spacing w:line="500" w:lineRule="exact"/>
        <w:ind w:left="660" w:leftChars="300" w:firstLine="640" w:firstLineChars="2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lang w:eastAsia="zh-CN"/>
        </w:rPr>
        <w:t>规划编制服务</w:t>
      </w:r>
      <w:r>
        <w:rPr>
          <w:rFonts w:hint="eastAsia" w:ascii="仿宋" w:hAnsi="仿宋" w:eastAsia="仿宋" w:cs="仿宋"/>
          <w:spacing w:val="1"/>
          <w:sz w:val="32"/>
          <w:szCs w:val="32"/>
        </w:rPr>
        <w:t>项目</w:t>
      </w:r>
      <w:r>
        <w:rPr>
          <w:rFonts w:hint="eastAsia" w:ascii="仿宋" w:hAnsi="仿宋" w:eastAsia="仿宋" w:cs="仿宋"/>
          <w:b w:val="0"/>
          <w:bCs w:val="0"/>
          <w:sz w:val="32"/>
          <w:szCs w:val="32"/>
        </w:rPr>
        <w:t>支出绩效评价自评得分表</w:t>
      </w:r>
    </w:p>
    <w:p>
      <w:pPr>
        <w:pStyle w:val="2"/>
        <w:pageBreakBefore w:val="0"/>
        <w:widowControl/>
        <w:kinsoku/>
        <w:wordWrap/>
        <w:overflowPunct/>
        <w:topLinePunct w:val="0"/>
        <w:autoSpaceDE/>
        <w:autoSpaceDN/>
        <w:bidi w:val="0"/>
        <w:adjustRightInd w:val="0"/>
        <w:snapToGrid w:val="0"/>
        <w:spacing w:line="50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kinsoku/>
        <w:wordWrap/>
        <w:overflowPunct/>
        <w:topLinePunct w:val="0"/>
        <w:autoSpaceDE/>
        <w:autoSpaceDN/>
        <w:bidi w:val="0"/>
        <w:adjustRightInd w:val="0"/>
        <w:snapToGrid w:val="0"/>
        <w:spacing w:line="50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498"/>
        <w:gridCol w:w="868"/>
        <w:gridCol w:w="1645"/>
        <w:gridCol w:w="1162"/>
        <w:gridCol w:w="1067"/>
        <w:gridCol w:w="8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规划编制服务</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4"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规划编制服务项目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8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181.91</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181.91</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181.91</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181.91</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6"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仿宋" w:hAnsi="仿宋" w:eastAsia="仿宋" w:cs="仿宋"/>
                <w:sz w:val="16"/>
                <w:szCs w:val="16"/>
                <w:lang w:eastAsia="zh-CN"/>
              </w:rPr>
              <w:t>按合同约定</w:t>
            </w:r>
            <w:r>
              <w:rPr>
                <w:rFonts w:hint="eastAsia" w:ascii="仿宋" w:hAnsi="仿宋" w:eastAsia="仿宋"/>
                <w:kern w:val="0"/>
                <w:sz w:val="16"/>
                <w:szCs w:val="16"/>
                <w:lang w:val="en-US" w:eastAsia="zh-CN"/>
              </w:rPr>
              <w:t>完成各乡镇产业园区规划编制、城市控规编制、空间生态修复编制的任务</w:t>
            </w:r>
          </w:p>
        </w:tc>
        <w:tc>
          <w:tcPr>
            <w:tcW w:w="2106"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仿宋" w:hAnsi="仿宋" w:eastAsia="仿宋"/>
                <w:kern w:val="0"/>
                <w:sz w:val="16"/>
                <w:szCs w:val="16"/>
                <w:lang w:eastAsia="zh-CN"/>
              </w:rPr>
              <w:t>按项目合同约定完成利店镇茶产业舟坝镇循环经济片区国土空间规划编制、沐川县国土空间生态修改编制、沐川县城市控规划编制以及</w:t>
            </w:r>
            <w:r>
              <w:rPr>
                <w:rFonts w:hint="eastAsia" w:ascii="仿宋" w:hAnsi="仿宋" w:eastAsia="仿宋"/>
                <w:kern w:val="0"/>
                <w:sz w:val="16"/>
                <w:szCs w:val="16"/>
                <w:lang w:val="en-US" w:eastAsia="zh-CN"/>
              </w:rPr>
              <w:t>2021年8个特色产业规划编制任务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2"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eastAsia" w:ascii="Times New Roman" w:hAnsi="Times New Roman" w:eastAsia="宋体" w:cs="Times New Roman"/>
                <w:color w:val="000000"/>
                <w:kern w:val="2"/>
                <w:sz w:val="16"/>
                <w:szCs w:val="16"/>
                <w:lang w:eastAsia="zh-CN"/>
              </w:rPr>
            </w:pPr>
            <w:r>
              <w:rPr>
                <w:rFonts w:hint="eastAsia" w:ascii="Times New Roman" w:hAnsi="Times New Roman" w:eastAsia="宋体" w:cs="Times New Roman"/>
                <w:color w:val="000000"/>
                <w:kern w:val="2"/>
                <w:sz w:val="16"/>
                <w:szCs w:val="16"/>
              </w:rPr>
              <w:t>完成</w:t>
            </w:r>
            <w:r>
              <w:rPr>
                <w:rFonts w:hint="eastAsia" w:ascii="Times New Roman" w:hAnsi="Times New Roman" w:eastAsia="宋体" w:cs="Times New Roman"/>
                <w:color w:val="000000"/>
                <w:kern w:val="2"/>
                <w:sz w:val="16"/>
                <w:szCs w:val="16"/>
                <w:lang w:val="en-US" w:eastAsia="zh-CN"/>
              </w:rPr>
              <w:t>4个项目的规划编制任务</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eastAsia="zh-CN"/>
              </w:rPr>
              <w:t>符合合同约定要求</w:t>
            </w:r>
            <w:r>
              <w:rPr>
                <w:rFonts w:hint="eastAsia" w:ascii="Times New Roman" w:hAnsi="Times New Roman" w:eastAsia="宋体" w:cs="Times New Roman"/>
                <w:color w:val="000000"/>
                <w:kern w:val="2"/>
                <w:sz w:val="16"/>
                <w:szCs w:val="16"/>
              </w:rPr>
              <w:t>，符合全县区域发展</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按合同约定时间完成项目</w:t>
            </w:r>
            <w:r>
              <w:rPr>
                <w:rFonts w:hint="eastAsia" w:ascii="Times New Roman" w:hAnsi="Times New Roman" w:eastAsia="宋体" w:cs="Times New Roman"/>
                <w:color w:val="000000"/>
                <w:kern w:val="2"/>
                <w:sz w:val="16"/>
                <w:szCs w:val="16"/>
                <w:lang w:eastAsia="zh-CN"/>
              </w:rPr>
              <w:t>进度</w:t>
            </w:r>
            <w:r>
              <w:rPr>
                <w:rFonts w:hint="eastAsia" w:ascii="Times New Roman" w:hAnsi="Times New Roman" w:eastAsia="宋体" w:cs="Times New Roman"/>
                <w:color w:val="000000"/>
                <w:kern w:val="2"/>
                <w:sz w:val="16"/>
                <w:szCs w:val="16"/>
              </w:rPr>
              <w:t>，支付合同价款</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为全县区域发展提供依据</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为高起点高标准建设城市提供指导意见</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5"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bl>
    <w:p>
      <w:pPr>
        <w:rPr>
          <w:rFonts w:hint="eastAsia" w:ascii="仿宋" w:hAnsi="仿宋" w:eastAsia="仿宋" w:cs="仿宋"/>
          <w:sz w:val="32"/>
          <w:szCs w:val="32"/>
        </w:rPr>
        <w:sectPr>
          <w:headerReference r:id="rId11" w:type="default"/>
          <w:footerReference r:id="rId12"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年规划编制服务项目支出绩效评价指标体系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2"/>
        <w:gridCol w:w="391"/>
        <w:gridCol w:w="575"/>
        <w:gridCol w:w="700"/>
        <w:gridCol w:w="1194"/>
        <w:gridCol w:w="1000"/>
        <w:gridCol w:w="2022"/>
        <w:gridCol w:w="527"/>
        <w:gridCol w:w="709"/>
        <w:gridCol w:w="531"/>
        <w:gridCol w:w="459"/>
        <w:gridCol w:w="567"/>
        <w:gridCol w:w="570"/>
        <w:gridCol w:w="3787"/>
        <w:gridCol w:w="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71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186"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7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71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71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18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50</w:t>
            </w:r>
          </w:p>
        </w:tc>
      </w:tr>
    </w:tbl>
    <w:p>
      <w:pPr>
        <w:rPr>
          <w:rFonts w:hint="eastAsia" w:ascii="仿宋" w:hAnsi="仿宋" w:eastAsia="仿宋" w:cs="仿宋"/>
          <w:sz w:val="32"/>
          <w:szCs w:val="32"/>
        </w:rPr>
        <w:sectPr>
          <w:pgSz w:w="16838" w:h="11906" w:orient="landscape"/>
          <w:pgMar w:top="1800" w:right="1440" w:bottom="1800" w:left="1440" w:header="708" w:footer="708" w:gutter="0"/>
          <w:pgNumType w:fmt="decimal"/>
          <w:cols w:space="708" w:num="1"/>
          <w:docGrid w:linePitch="360" w:charSpace="0"/>
        </w:sectPr>
      </w:pPr>
      <w:r>
        <w:rPr>
          <w:rFonts w:hint="eastAsia" w:ascii="仿宋" w:hAnsi="仿宋" w:eastAsia="仿宋" w:cs="仿宋"/>
          <w:sz w:val="32"/>
          <w:szCs w:val="32"/>
        </w:rPr>
        <w:br w:type="page"/>
      </w: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rPr>
      </w:pPr>
      <w:r>
        <w:rPr>
          <w:rFonts w:hint="eastAsia" w:ascii="黑体" w:hAnsi="黑体" w:eastAsia="黑体" w:cs="黑体"/>
          <w:spacing w:val="1"/>
          <w:sz w:val="44"/>
          <w:szCs w:val="44"/>
          <w:lang w:eastAsia="zh-CN"/>
        </w:rPr>
        <w:t>沐川县国土空间总体规划编制</w:t>
      </w:r>
      <w:r>
        <w:rPr>
          <w:rFonts w:hint="eastAsia" w:ascii="黑体" w:hAnsi="黑体" w:eastAsia="黑体" w:cs="黑体"/>
          <w:spacing w:val="1"/>
          <w:sz w:val="44"/>
          <w:szCs w:val="44"/>
        </w:rPr>
        <w:t>项目支出绩效自评报告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rPr>
      </w:pPr>
      <w:r>
        <w:rPr>
          <w:rFonts w:hint="eastAsia" w:ascii="仿宋" w:hAnsi="仿宋" w:eastAsia="仿宋" w:cs="仿宋"/>
          <w:sz w:val="32"/>
          <w:szCs w:val="32"/>
        </w:rPr>
        <w:t>项目具体目标为：</w:t>
      </w:r>
      <w:r>
        <w:rPr>
          <w:rFonts w:hint="eastAsia" w:ascii="仿宋" w:hAnsi="仿宋" w:eastAsia="仿宋"/>
          <w:kern w:val="0"/>
          <w:sz w:val="32"/>
          <w:szCs w:val="32"/>
          <w:lang w:eastAsia="zh-CN"/>
        </w:rPr>
        <w:t>绩效目标</w:t>
      </w:r>
      <w:r>
        <w:rPr>
          <w:rFonts w:hint="eastAsia" w:ascii="仿宋" w:hAnsi="仿宋" w:eastAsia="仿宋"/>
          <w:kern w:val="0"/>
          <w:sz w:val="32"/>
          <w:szCs w:val="32"/>
        </w:rPr>
        <w:t>完成全县国土空间规划编制，</w:t>
      </w:r>
      <w:r>
        <w:rPr>
          <w:rFonts w:hint="eastAsia" w:ascii="仿宋" w:hAnsi="仿宋" w:eastAsia="仿宋"/>
          <w:kern w:val="0"/>
          <w:sz w:val="32"/>
          <w:szCs w:val="32"/>
          <w:lang w:eastAsia="zh-CN"/>
        </w:rPr>
        <w:t>搭建国土空间规划评估监测预警平台并实施运行</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57.9</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lang w:eastAsia="zh-CN"/>
        </w:rPr>
        <w:t>（一）</w:t>
      </w:r>
      <w:r>
        <w:rPr>
          <w:rFonts w:hint="eastAsia" w:ascii="楷体" w:hAnsi="楷体" w:eastAsia="楷体" w:cs="楷体"/>
          <w:b/>
          <w:bCs w:val="0"/>
          <w:sz w:val="32"/>
          <w:szCs w:val="32"/>
        </w:rPr>
        <w:t>预算执行进度情况分析</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sz w:val="32"/>
          <w:szCs w:val="32"/>
          <w:lang w:val="en-US" w:eastAsia="zh-CN"/>
        </w:rPr>
      </w:pPr>
      <w:r>
        <w:rPr>
          <w:rFonts w:hint="eastAsia" w:ascii="仿宋" w:hAnsi="仿宋" w:eastAsia="仿宋" w:cs="仿宋"/>
          <w:sz w:val="32"/>
          <w:szCs w:val="32"/>
        </w:rPr>
        <w:t>项目预算批复资金为</w:t>
      </w:r>
      <w:r>
        <w:rPr>
          <w:rFonts w:hint="eastAsia" w:ascii="仿宋" w:hAnsi="仿宋" w:eastAsia="仿宋" w:cs="仿宋"/>
          <w:sz w:val="32"/>
          <w:szCs w:val="32"/>
          <w:lang w:val="en-US" w:eastAsia="zh-CN"/>
        </w:rPr>
        <w:t>57.9</w:t>
      </w:r>
      <w:r>
        <w:rPr>
          <w:rFonts w:hint="eastAsia" w:ascii="仿宋" w:hAnsi="仿宋" w:eastAsia="仿宋" w:cs="仿宋"/>
          <w:sz w:val="32"/>
          <w:szCs w:val="32"/>
        </w:rPr>
        <w:t>万元，资金实际支付为</w:t>
      </w:r>
      <w:r>
        <w:rPr>
          <w:rFonts w:hint="eastAsia" w:ascii="仿宋" w:hAnsi="仿宋" w:eastAsia="仿宋" w:cs="仿宋"/>
          <w:sz w:val="32"/>
          <w:szCs w:val="32"/>
          <w:lang w:val="en-US" w:eastAsia="zh-CN"/>
        </w:rPr>
        <w:t>57.9</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资金开支范围、标准及支付进度严格按照规定，支付</w:t>
      </w:r>
      <w:r>
        <w:rPr>
          <w:rFonts w:hint="eastAsia" w:ascii="仿宋" w:hAnsi="仿宋" w:eastAsia="仿宋" w:cs="仿宋"/>
          <w:sz w:val="32"/>
          <w:szCs w:val="32"/>
          <w:lang w:val="en-US" w:eastAsia="zh-CN"/>
        </w:rPr>
        <w:t>依据合规合法，资金支付与预算相符。</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b/>
          <w:bCs/>
          <w:sz w:val="32"/>
          <w:szCs w:val="32"/>
          <w:lang w:val="en-US" w:eastAsia="zh-CN"/>
        </w:rPr>
      </w:pPr>
      <w:r>
        <w:rPr>
          <w:rFonts w:hint="eastAsia" w:ascii="仿宋" w:hAnsi="仿宋" w:eastAsia="仿宋" w:cs="仿宋"/>
          <w:sz w:val="32"/>
          <w:szCs w:val="32"/>
          <w:lang w:val="en-US" w:eastAsia="zh-CN"/>
        </w:rPr>
        <w:t>（二）</w:t>
      </w:r>
      <w:r>
        <w:rPr>
          <w:rFonts w:hint="eastAsia" w:ascii="仿宋" w:hAnsi="仿宋" w:eastAsia="仿宋" w:cs="仿宋"/>
          <w:b/>
          <w:bCs/>
          <w:sz w:val="32"/>
          <w:szCs w:val="32"/>
          <w:lang w:val="en-US" w:eastAsia="zh-CN"/>
        </w:rPr>
        <w:t>总体绩效目标完成情况分析</w:t>
      </w:r>
    </w:p>
    <w:p>
      <w:pPr>
        <w:pStyle w:val="2"/>
        <w:numPr>
          <w:ilvl w:val="0"/>
          <w:numId w:val="0"/>
        </w:numPr>
        <w:rPr>
          <w:rFonts w:hint="eastAsia" w:ascii="仿宋" w:hAnsi="仿宋" w:eastAsia="仿宋" w:cs="仿宋"/>
          <w:sz w:val="32"/>
          <w:szCs w:val="32"/>
          <w:lang w:val="en-US" w:eastAsia="zh-CN"/>
        </w:rPr>
      </w:pPr>
      <w:r>
        <w:rPr>
          <w:rFonts w:hint="eastAsia"/>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kern w:val="0"/>
          <w:sz w:val="32"/>
          <w:szCs w:val="32"/>
          <w:lang w:val="en-US" w:eastAsia="zh-CN"/>
        </w:rPr>
        <w:t>2022年完成了</w:t>
      </w:r>
      <w:r>
        <w:rPr>
          <w:rFonts w:hint="eastAsia" w:ascii="仿宋" w:hAnsi="仿宋" w:eastAsia="仿宋"/>
          <w:kern w:val="0"/>
          <w:sz w:val="32"/>
          <w:szCs w:val="32"/>
          <w:lang w:eastAsia="zh-CN"/>
        </w:rPr>
        <w:t>国土空间总体规划评估监测预警平台搭建，且平台系统正常运行。</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（三）绩效指标完成情况分析</w:t>
      </w:r>
    </w:p>
    <w:p>
      <w:pPr>
        <w:widowControl/>
        <w:numPr>
          <w:ilvl w:val="0"/>
          <w:numId w:val="0"/>
        </w:numPr>
        <w:adjustRightInd w:val="0"/>
        <w:snapToGrid w:val="0"/>
        <w:spacing w:after="0" w:line="580" w:lineRule="exact"/>
        <w:ind w:firstLine="640" w:firstLineChars="200"/>
        <w:contextualSpacing/>
        <w:jc w:val="left"/>
        <w:rPr>
          <w:rFonts w:hint="eastAsia" w:ascii="仿宋" w:hAnsi="仿宋" w:eastAsia="仿宋" w:cs="Times New Roman"/>
          <w:color w:val="auto"/>
          <w:kern w:val="0"/>
          <w:sz w:val="32"/>
          <w:szCs w:val="32"/>
          <w:lang w:eastAsia="zh-CN"/>
        </w:rPr>
      </w:pPr>
      <w:r>
        <w:rPr>
          <w:rFonts w:hint="eastAsia" w:ascii="仿宋" w:hAnsi="仿宋" w:eastAsia="仿宋" w:cs="Times New Roman"/>
          <w:color w:val="auto"/>
          <w:kern w:val="0"/>
          <w:sz w:val="32"/>
          <w:szCs w:val="32"/>
          <w:lang w:eastAsia="zh-CN"/>
        </w:rPr>
        <w:t>国土空间总体规划评估监测预警平台运行正常，系统已实现与省厅系统对接，实现省、市、县三级规划审批线上申报。</w:t>
      </w:r>
    </w:p>
    <w:p>
      <w:pPr>
        <w:widowControl/>
        <w:numPr>
          <w:ilvl w:val="0"/>
          <w:numId w:val="0"/>
        </w:numPr>
        <w:adjustRightInd w:val="0"/>
        <w:snapToGrid w:val="0"/>
        <w:spacing w:after="0" w:line="580" w:lineRule="exact"/>
        <w:ind w:firstLine="643" w:firstLineChars="200"/>
        <w:contextualSpacing/>
        <w:jc w:val="left"/>
        <w:rPr>
          <w:rFonts w:hint="eastAsia" w:ascii="楷体" w:hAnsi="楷体" w:eastAsia="楷体" w:cs="楷体"/>
          <w:b/>
          <w:bCs/>
          <w:sz w:val="32"/>
          <w:szCs w:val="32"/>
        </w:rPr>
      </w:pPr>
      <w:r>
        <w:rPr>
          <w:rFonts w:hint="eastAsia" w:ascii="楷体" w:hAnsi="楷体" w:eastAsia="楷体" w:cs="楷体"/>
          <w:b/>
          <w:bCs/>
          <w:color w:val="auto"/>
          <w:kern w:val="0"/>
          <w:sz w:val="32"/>
          <w:szCs w:val="32"/>
          <w:lang w:eastAsia="zh-CN"/>
        </w:rPr>
        <w:t>（四）</w:t>
      </w:r>
      <w:r>
        <w:rPr>
          <w:rFonts w:hint="eastAsia" w:ascii="楷体" w:hAnsi="楷体" w:eastAsia="楷体" w:cs="楷体"/>
          <w:b/>
          <w:bCs/>
          <w:sz w:val="32"/>
          <w:szCs w:val="32"/>
        </w:rPr>
        <w:t>项目效益分析</w:t>
      </w:r>
    </w:p>
    <w:p>
      <w:pPr>
        <w:widowControl/>
        <w:numPr>
          <w:ilvl w:val="0"/>
          <w:numId w:val="0"/>
        </w:numPr>
        <w:adjustRightInd w:val="0"/>
        <w:snapToGrid w:val="0"/>
        <w:spacing w:line="580" w:lineRule="exact"/>
        <w:ind w:firstLine="440" w:firstLineChars="200"/>
        <w:contextualSpacing/>
        <w:jc w:val="left"/>
        <w:rPr>
          <w:rFonts w:hint="eastAsia" w:ascii="仿宋" w:hAnsi="仿宋" w:eastAsia="仿宋" w:cs="Times New Roman"/>
          <w:color w:val="auto"/>
          <w:kern w:val="0"/>
          <w:sz w:val="32"/>
          <w:szCs w:val="32"/>
          <w:lang w:val="en-US" w:eastAsia="zh-CN"/>
        </w:rPr>
      </w:pPr>
      <w:r>
        <w:rPr>
          <w:rFonts w:hint="eastAsia" w:ascii="Tahoma" w:eastAsia="微软雅黑"/>
          <w:lang w:val="en-US" w:eastAsia="zh-CN"/>
        </w:rPr>
        <w:t xml:space="preserve">  </w:t>
      </w:r>
      <w:r>
        <w:rPr>
          <w:rFonts w:hint="eastAsia" w:ascii="仿宋" w:hAnsi="仿宋" w:eastAsia="仿宋" w:cs="Times New Roman"/>
          <w:color w:val="auto"/>
          <w:kern w:val="0"/>
          <w:sz w:val="32"/>
          <w:szCs w:val="32"/>
          <w:lang w:val="en-US" w:eastAsia="zh-CN"/>
        </w:rPr>
        <w:t xml:space="preserve"> 评估监测预警平台搭建，通过数据入库，地图服务发布，地图权限管理，实现平台基础数据与省市信息互通，数据共享，建立了信息资源共享和协同管理机制，</w:t>
      </w:r>
      <w:r>
        <w:rPr>
          <w:rFonts w:hint="eastAsia" w:ascii="仿宋" w:hAnsi="仿宋" w:eastAsia="仿宋"/>
          <w:kern w:val="0"/>
          <w:sz w:val="32"/>
          <w:szCs w:val="32"/>
          <w:lang w:eastAsia="zh-CN"/>
        </w:rPr>
        <w:t>实现国土空间规划信息数据化，</w:t>
      </w:r>
      <w:r>
        <w:rPr>
          <w:rFonts w:hint="eastAsia" w:ascii="仿宋" w:hAnsi="仿宋" w:eastAsia="仿宋"/>
          <w:kern w:val="0"/>
          <w:sz w:val="32"/>
          <w:szCs w:val="32"/>
        </w:rPr>
        <w:t>优化全县国土空间开发保护格局，推动</w:t>
      </w:r>
      <w:r>
        <w:rPr>
          <w:rFonts w:hint="eastAsia" w:ascii="仿宋" w:hAnsi="仿宋" w:eastAsia="仿宋"/>
          <w:kern w:val="0"/>
          <w:sz w:val="32"/>
          <w:szCs w:val="32"/>
          <w:lang w:eastAsia="zh-CN"/>
        </w:rPr>
        <w:t>了</w:t>
      </w:r>
      <w:r>
        <w:rPr>
          <w:rFonts w:hint="eastAsia" w:ascii="仿宋" w:hAnsi="仿宋" w:eastAsia="仿宋"/>
          <w:kern w:val="0"/>
          <w:sz w:val="32"/>
          <w:szCs w:val="32"/>
        </w:rPr>
        <w:t>全县高质量发展。</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w:t>
      </w:r>
      <w:r>
        <w:rPr>
          <w:rFonts w:hint="eastAsia" w:ascii="仿宋" w:hAnsi="仿宋" w:eastAsia="仿宋" w:cs="仿宋"/>
          <w:sz w:val="32"/>
          <w:szCs w:val="32"/>
          <w:lang w:val="en-US" w:eastAsia="zh-CN"/>
        </w:rPr>
        <w:t>94</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附件：</w:t>
      </w:r>
      <w:r>
        <w:rPr>
          <w:rFonts w:hint="eastAsia" w:ascii="仿宋" w:hAnsi="仿宋" w:eastAsia="仿宋" w:cs="仿宋"/>
          <w:b w:val="0"/>
          <w:bCs w:val="0"/>
          <w:sz w:val="32"/>
          <w:szCs w:val="32"/>
        </w:rPr>
        <w:t>1.2022年度</w:t>
      </w:r>
      <w:r>
        <w:rPr>
          <w:rFonts w:hint="eastAsia" w:ascii="仿宋" w:hAnsi="仿宋" w:eastAsia="仿宋" w:cs="仿宋"/>
          <w:b w:val="0"/>
          <w:bCs w:val="0"/>
          <w:kern w:val="0"/>
          <w:sz w:val="32"/>
          <w:szCs w:val="32"/>
          <w:lang w:val="en-US" w:eastAsia="zh-CN"/>
        </w:rPr>
        <w:t>沐川县国土空间总体规划编制</w:t>
      </w:r>
      <w:r>
        <w:rPr>
          <w:rFonts w:hint="eastAsia" w:ascii="仿宋" w:hAnsi="仿宋" w:eastAsia="仿宋" w:cs="仿宋"/>
          <w:b w:val="0"/>
          <w:bCs w:val="0"/>
          <w:sz w:val="32"/>
          <w:szCs w:val="32"/>
        </w:rPr>
        <w:t>项目绩效目标自评表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2.2022年度</w:t>
      </w:r>
      <w:r>
        <w:rPr>
          <w:rFonts w:hint="eastAsia" w:ascii="仿宋" w:hAnsi="仿宋" w:eastAsia="仿宋" w:cs="仿宋"/>
          <w:b w:val="0"/>
          <w:bCs w:val="0"/>
          <w:kern w:val="0"/>
          <w:sz w:val="32"/>
          <w:szCs w:val="32"/>
          <w:lang w:val="en-US" w:eastAsia="zh-CN"/>
        </w:rPr>
        <w:t>沐川县国土空间总体规划编制</w:t>
      </w:r>
      <w:r>
        <w:rPr>
          <w:rFonts w:hint="eastAsia" w:ascii="仿宋" w:hAnsi="仿宋" w:eastAsia="仿宋" w:cs="仿宋"/>
          <w:b w:val="0"/>
          <w:bCs w:val="0"/>
          <w:sz w:val="32"/>
          <w:szCs w:val="32"/>
          <w:lang w:eastAsia="zh-CN"/>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rPr>
      </w:pP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501"/>
        <w:gridCol w:w="864"/>
        <w:gridCol w:w="1648"/>
        <w:gridCol w:w="1161"/>
        <w:gridCol w:w="1067"/>
        <w:gridCol w:w="825"/>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宋体" w:hAnsi="宋体" w:eastAsia="宋体" w:cs="宋体"/>
                <w:color w:val="000000"/>
                <w:kern w:val="0"/>
                <w:sz w:val="32"/>
                <w:szCs w:val="32"/>
              </w:rPr>
              <w:t>沐川县国土空间总体规划编制项目（政策）绩效目标自评表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ind w:firstLine="960" w:firstLineChars="600"/>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沐川县国土空间总体规划编制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57.9</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57.9</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57.9</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57.9</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完成沐川县国土空间总体规划成果</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完成沐川县国土空间规划评估监测预警平台建设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搭建国土空间规划评估监测预警管理平台</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完成国土空间规划评估监测预警平台搭建，</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2022年底前完成平台搭建</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实现国土空间规划信息数据资源集中管理</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建立信息资源共享和协同管理机制</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服务群众满意度提高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95%以上</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sectPr>
          <w:headerReference r:id="rId13" w:type="default"/>
          <w:footerReference r:id="rId14"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kinsoku w:val="0"/>
        <w:overflowPunct w:val="0"/>
        <w:spacing w:before="0" w:beforeAutospacing="0" w:after="0" w:afterAutospacing="0" w:line="360" w:lineRule="auto"/>
        <w:ind w:left="0" w:right="0"/>
        <w:jc w:val="center"/>
        <w:rPr>
          <w:rFonts w:eastAsia="方正小标宋简体"/>
          <w:spacing w:val="1"/>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年度沐川县国土空间总体规划编制项目支出绩效评价指标体系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97"/>
        <w:gridCol w:w="431"/>
        <w:gridCol w:w="634"/>
        <w:gridCol w:w="772"/>
        <w:gridCol w:w="1315"/>
        <w:gridCol w:w="1100"/>
        <w:gridCol w:w="1559"/>
        <w:gridCol w:w="1250"/>
        <w:gridCol w:w="781"/>
        <w:gridCol w:w="584"/>
        <w:gridCol w:w="506"/>
        <w:gridCol w:w="625"/>
        <w:gridCol w:w="628"/>
        <w:gridCol w:w="4172"/>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8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00" w:lineRule="exact"/>
              <w:ind w:left="0" w:right="0"/>
              <w:jc w:val="center"/>
              <w:rPr>
                <w:rFonts w:hint="eastAsia"/>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ascii="Tahoma" w:eastAsia="微软雅黑"/>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ascii="Tahoma" w:eastAsia="微软雅黑"/>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ascii="Tahoma" w:eastAsia="微软雅黑"/>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ascii="Tahoma" w:eastAsia="微软雅黑"/>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ascii="Tahoma" w:eastAsia="微软雅黑"/>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ascii="Tahoma" w:eastAsia="微软雅黑"/>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eastAsiaTheme="minorEastAsia"/>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2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eastAsiaTheme="minorEastAsia"/>
                <w:kern w:val="0"/>
                <w:sz w:val="18"/>
                <w:szCs w:val="18"/>
                <w:lang w:val="en-US" w:eastAsia="zh-CN"/>
              </w:rPr>
            </w:pPr>
            <w:r>
              <w:rPr>
                <w:rFonts w:hint="eastAsia" w:ascii="Tahoma" w:eastAsia="微软雅黑"/>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ascii="Tahoma" w:eastAsia="微软雅黑"/>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Theme="minorEastAsia"/>
                <w:kern w:val="0"/>
                <w:sz w:val="18"/>
                <w:szCs w:val="18"/>
                <w:lang w:val="en-US" w:eastAsia="zh-CN"/>
              </w:rPr>
            </w:pPr>
            <w:r>
              <w:rPr>
                <w:rFonts w:hint="eastAsia" w:ascii="Tahoma" w:eastAsia="微软雅黑"/>
                <w:kern w:val="0"/>
                <w:sz w:val="18"/>
                <w:szCs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农业产业（包括林业产业）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增加值提升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项目实施涉及产值增长情况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三年产值平均增长率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产值增长率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当年涉农产值增量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上一年度涉农产值总量</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重点查看项目实施区域涉农增加值变动情况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年均收入变动率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项目实施后农户收入变动情况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标准值负值为</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（项目实施后人均年收入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重点查看三年来农民人均年收入增长变化情况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从业带动能力</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项目带动周边从事相关行业情况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三年平均新增带动就业户数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通过实地走访、调研、收集带动就业户数相关基础数据进行对比分析</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微软雅黑"/>
                <w:kern w:val="0"/>
                <w:sz w:val="18"/>
                <w:szCs w:val="18"/>
                <w:lang w:val="en-US" w:eastAsia="zh-CN"/>
              </w:rPr>
            </w:pPr>
            <w:r>
              <w:rPr>
                <w:rFonts w:hint="eastAsia" w:ascii="Tahoma" w:eastAsia="微软雅黑"/>
                <w:kern w:val="0"/>
                <w:sz w:val="18"/>
                <w:szCs w:val="18"/>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微软雅黑"/>
                <w:kern w:val="0"/>
                <w:sz w:val="18"/>
                <w:szCs w:val="18"/>
                <w:lang w:val="en-US" w:eastAsia="zh-CN"/>
              </w:rPr>
            </w:pPr>
            <w:r>
              <w:rPr>
                <w:rFonts w:hint="eastAsia" w:ascii="Tahoma" w:eastAsia="微软雅黑"/>
                <w:kern w:val="0"/>
                <w:sz w:val="18"/>
                <w:szCs w:val="18"/>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default" w:eastAsia="微软雅黑"/>
                <w:kern w:val="0"/>
                <w:sz w:val="18"/>
                <w:szCs w:val="18"/>
                <w:lang w:val="en-US" w:eastAsia="zh-CN"/>
              </w:rPr>
            </w:pPr>
            <w:r>
              <w:rPr>
                <w:rFonts w:hint="eastAsia" w:ascii="Tahoma" w:eastAsia="微软雅黑"/>
                <w:kern w:val="0"/>
                <w:sz w:val="18"/>
                <w:szCs w:val="18"/>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教学（文化）设备利用率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反映教育（文化）设备使用情况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设备使用率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设备使用时间</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设备计划用时（分钟、小时、日、月）</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设备使用率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r>
              <w:rPr>
                <w:rFonts w:hint="eastAsia" w:ascii="Times New Roman" w:hAnsi="Times New Roman" w:eastAsia="仿宋_GB2312" w:cs="仿宋_GB2312"/>
                <w:kern w:val="0"/>
                <w:sz w:val="18"/>
                <w:szCs w:val="18"/>
                <w:lang w:val="en-US" w:eastAsia="zh-CN" w:bidi="ar"/>
              </w:rPr>
              <w:t>主要调查设备工作状态及工作效率的情况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rPr>
                <w:rFonts w:hint="eastAsia" w:ascii="仿宋_GB2312" w:hAnsi="Arial Unicode MS" w:eastAsia="仿宋_GB2312" w:cs="Arial Unicode MS"/>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center"/>
              <w:rPr>
                <w:rFonts w:hint="eastAsia"/>
                <w:kern w:val="0"/>
                <w:sz w:val="18"/>
                <w:szCs w:val="18"/>
                <w:lang w:val="en-US"/>
              </w:rPr>
            </w:pPr>
          </w:p>
        </w:tc>
      </w:tr>
    </w:tbl>
    <w:p>
      <w:pPr>
        <w:keepNext w:val="0"/>
        <w:keepLines w:val="0"/>
        <w:widowControl w:val="0"/>
        <w:suppressLineNumbers w:val="0"/>
        <w:spacing w:before="0" w:beforeAutospacing="0" w:after="0" w:afterAutospacing="0"/>
        <w:ind w:left="0" w:right="0"/>
        <w:jc w:val="both"/>
        <w:rPr>
          <w:b/>
          <w:bCs/>
          <w:sz w:val="24"/>
          <w:szCs w:val="24"/>
          <w:lang w:val="en-US"/>
        </w:rPr>
      </w:pPr>
      <w:r>
        <w:rPr>
          <w:rFonts w:hint="eastAsia" w:ascii="Times New Roman" w:hAnsi="Times New Roman" w:eastAsia="楷体_GB2312" w:cs="楷体_GB2312"/>
          <w:b/>
          <w:bCs/>
          <w:kern w:val="2"/>
          <w:sz w:val="24"/>
          <w:szCs w:val="24"/>
          <w:lang w:val="en-US" w:eastAsia="zh-CN" w:bidi="ar"/>
        </w:rPr>
        <w:t>相关说明：</w:t>
      </w:r>
    </w:p>
    <w:p>
      <w:pPr>
        <w:keepNext w:val="0"/>
        <w:keepLines w:val="0"/>
        <w:widowControl w:val="0"/>
        <w:suppressLineNumbers w:val="0"/>
        <w:spacing w:before="0" w:beforeAutospacing="0" w:after="0" w:afterAutospacing="0"/>
        <w:ind w:left="0" w:right="0"/>
        <w:jc w:val="both"/>
        <w:rPr>
          <w:b/>
          <w:bCs/>
          <w:sz w:val="24"/>
          <w:szCs w:val="24"/>
          <w:lang w:val="en-US"/>
        </w:rPr>
      </w:pPr>
      <w:r>
        <w:rPr>
          <w:rFonts w:hint="default" w:ascii="Times New Roman" w:hAnsi="Times New Roman" w:eastAsia="楷体_GB2312" w:cs="Times New Roman"/>
          <w:b/>
          <w:bCs/>
          <w:kern w:val="2"/>
          <w:sz w:val="24"/>
          <w:szCs w:val="24"/>
          <w:lang w:val="en-US" w:eastAsia="zh-CN" w:bidi="ar"/>
        </w:rPr>
        <w:t>1.</w:t>
      </w:r>
      <w:r>
        <w:rPr>
          <w:rFonts w:hint="eastAsia" w:ascii="Times New Roman" w:hAnsi="Times New Roman" w:eastAsia="楷体_GB2312" w:cs="楷体_GB2312"/>
          <w:b/>
          <w:bCs/>
          <w:kern w:val="2"/>
          <w:sz w:val="24"/>
          <w:szCs w:val="24"/>
          <w:lang w:val="en-US" w:eastAsia="zh-CN" w:bidi="ar"/>
        </w:rPr>
        <w:t>评分方法归为六类：</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1</w:t>
      </w:r>
      <w:r>
        <w:rPr>
          <w:rFonts w:hint="eastAsia" w:ascii="Times New Roman" w:hAnsi="Times New Roman" w:eastAsia="楷体_GB2312" w:cs="楷体_GB2312"/>
          <w:b/>
          <w:bCs/>
          <w:kern w:val="2"/>
          <w:sz w:val="24"/>
          <w:szCs w:val="24"/>
          <w:lang w:val="en-US" w:eastAsia="zh-CN" w:bidi="ar"/>
        </w:rPr>
        <w:t>）是否评分法：</w:t>
      </w:r>
      <w:r>
        <w:rPr>
          <w:rFonts w:hint="eastAsia" w:ascii="Times New Roman" w:hAnsi="Times New Roman" w:eastAsia="仿宋_GB2312" w:cs="仿宋_GB2312"/>
          <w:kern w:val="2"/>
          <w:sz w:val="24"/>
          <w:szCs w:val="24"/>
          <w:lang w:val="en-US" w:eastAsia="zh-CN" w:bidi="ar"/>
        </w:rPr>
        <w:t>适用于合规性等正反判断指标，正向满分，反向</w:t>
      </w:r>
      <w:r>
        <w:rPr>
          <w:rFonts w:hint="default" w:ascii="Times New Roman" w:hAnsi="Times New Roman" w:eastAsia="仿宋_GB2312" w:cs="Times New Roman"/>
          <w:kern w:val="2"/>
          <w:sz w:val="24"/>
          <w:szCs w:val="24"/>
          <w:lang w:val="en-US" w:eastAsia="zh-CN" w:bidi="ar"/>
        </w:rPr>
        <w:t>0</w:t>
      </w:r>
      <w:r>
        <w:rPr>
          <w:rFonts w:hint="eastAsia" w:ascii="Times New Roman" w:hAnsi="Times New Roman" w:eastAsia="仿宋_GB2312" w:cs="仿宋_GB2312"/>
          <w:kern w:val="2"/>
          <w:sz w:val="24"/>
          <w:szCs w:val="24"/>
          <w:lang w:val="en-US" w:eastAsia="zh-CN" w:bidi="ar"/>
        </w:rPr>
        <w:t>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2</w:t>
      </w:r>
      <w:r>
        <w:rPr>
          <w:rFonts w:hint="eastAsia" w:ascii="Times New Roman" w:hAnsi="Times New Roman" w:eastAsia="楷体_GB2312" w:cs="楷体_GB2312"/>
          <w:b/>
          <w:bCs/>
          <w:kern w:val="2"/>
          <w:sz w:val="24"/>
          <w:szCs w:val="24"/>
          <w:lang w:val="en-US" w:eastAsia="zh-CN" w:bidi="ar"/>
        </w:rPr>
        <w:t>）分级评分法：</w:t>
      </w:r>
      <w:r>
        <w:rPr>
          <w:rFonts w:hint="eastAsia" w:ascii="Times New Roman" w:hAnsi="Times New Roman" w:eastAsia="仿宋_GB2312" w:cs="仿宋_GB2312"/>
          <w:kern w:val="2"/>
          <w:sz w:val="24"/>
          <w:szCs w:val="24"/>
          <w:lang w:val="en-US" w:eastAsia="zh-CN" w:bidi="ar"/>
        </w:rPr>
        <w:t>指标评分设置</w:t>
      </w:r>
      <w:r>
        <w:rPr>
          <w:rFonts w:hint="default" w:ascii="Times New Roman" w:hAnsi="Times New Roman" w:eastAsia="仿宋_GB2312" w:cs="Times New Roman"/>
          <w:kern w:val="2"/>
          <w:sz w:val="24"/>
          <w:szCs w:val="24"/>
          <w:lang w:val="en-US" w:eastAsia="zh-CN" w:bidi="ar"/>
        </w:rPr>
        <w:t>n</w:t>
      </w:r>
      <w:r>
        <w:rPr>
          <w:rFonts w:hint="eastAsia" w:ascii="Times New Roman" w:hAnsi="Times New Roman" w:eastAsia="仿宋_GB2312" w:cs="仿宋_GB2312"/>
          <w:kern w:val="2"/>
          <w:sz w:val="24"/>
          <w:szCs w:val="24"/>
          <w:lang w:val="en-US" w:eastAsia="zh-CN" w:bidi="ar"/>
        </w:rPr>
        <w:t>级权重，指标得分按指标值所处区间的权重计算。</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3</w:t>
      </w:r>
      <w:r>
        <w:rPr>
          <w:rFonts w:hint="eastAsia" w:ascii="Times New Roman" w:hAnsi="Times New Roman" w:eastAsia="楷体_GB2312" w:cs="楷体_GB2312"/>
          <w:b/>
          <w:bCs/>
          <w:kern w:val="2"/>
          <w:sz w:val="24"/>
          <w:szCs w:val="24"/>
          <w:lang w:val="en-US" w:eastAsia="zh-CN" w:bidi="ar"/>
        </w:rPr>
        <w:t>）比率分值法：</w:t>
      </w:r>
      <w:r>
        <w:rPr>
          <w:rFonts w:hint="eastAsia" w:ascii="Times New Roman" w:hAnsi="Times New Roman" w:eastAsia="仿宋_GB2312" w:cs="仿宋_GB2312"/>
          <w:kern w:val="2"/>
          <w:sz w:val="24"/>
          <w:szCs w:val="24"/>
          <w:lang w:val="en-US" w:eastAsia="zh-CN" w:bidi="ar"/>
        </w:rPr>
        <w:t>对存在连续性比率的指标，按比率乘以指标分值计算得分。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4</w:t>
      </w:r>
      <w:r>
        <w:rPr>
          <w:rFonts w:hint="eastAsia" w:ascii="Times New Roman" w:hAnsi="Times New Roman" w:eastAsia="楷体_GB2312" w:cs="楷体_GB2312"/>
          <w:b/>
          <w:bCs/>
          <w:kern w:val="2"/>
          <w:sz w:val="24"/>
          <w:szCs w:val="24"/>
          <w:lang w:val="en-US" w:eastAsia="zh-CN" w:bidi="ar"/>
        </w:rPr>
        <w:t>）缺（错）项扣分法：</w:t>
      </w:r>
      <w:r>
        <w:rPr>
          <w:rFonts w:hint="eastAsia" w:ascii="Times New Roman" w:hAnsi="Times New Roman" w:eastAsia="仿宋_GB2312" w:cs="仿宋_GB2312"/>
          <w:kern w:val="2"/>
          <w:sz w:val="24"/>
          <w:szCs w:val="24"/>
          <w:lang w:val="en-US" w:eastAsia="zh-CN" w:bidi="ar"/>
        </w:rPr>
        <w:t>按照要求所具备的事项计算，全部具备得满分，缺少一项扣</w:t>
      </w:r>
      <w:r>
        <w:rPr>
          <w:rFonts w:hint="default" w:ascii="Times New Roman" w:hAnsi="Times New Roman" w:eastAsia="仿宋_GB2312" w:cs="Times New Roman"/>
          <w:kern w:val="2"/>
          <w:sz w:val="24"/>
          <w:szCs w:val="24"/>
          <w:lang w:val="en-US" w:eastAsia="zh-CN" w:bidi="ar"/>
        </w:rPr>
        <w:t>X</w:t>
      </w:r>
      <w:r>
        <w:rPr>
          <w:rFonts w:hint="eastAsia" w:ascii="Times New Roman" w:hAnsi="Times New Roman" w:eastAsia="仿宋_GB2312" w:cs="仿宋_GB2312"/>
          <w:kern w:val="2"/>
          <w:sz w:val="24"/>
          <w:szCs w:val="24"/>
          <w:lang w:val="en-US" w:eastAsia="zh-CN" w:bidi="ar"/>
        </w:rPr>
        <w:t>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5</w:t>
      </w:r>
      <w:r>
        <w:rPr>
          <w:rFonts w:hint="eastAsia" w:ascii="Times New Roman" w:hAnsi="Times New Roman" w:eastAsia="楷体_GB2312" w:cs="楷体_GB2312"/>
          <w:b/>
          <w:bCs/>
          <w:kern w:val="2"/>
          <w:sz w:val="24"/>
          <w:szCs w:val="24"/>
          <w:lang w:val="en-US" w:eastAsia="zh-CN" w:bidi="ar"/>
        </w:rPr>
        <w:t>）满意值赋分法：</w:t>
      </w:r>
      <w:r>
        <w:rPr>
          <w:rFonts w:hint="eastAsia" w:ascii="Times New Roman" w:hAnsi="Times New Roman" w:eastAsia="仿宋_GB2312" w:cs="仿宋_GB2312"/>
          <w:kern w:val="2"/>
          <w:sz w:val="24"/>
          <w:szCs w:val="24"/>
          <w:lang w:val="en-US" w:eastAsia="zh-CN" w:bidi="ar"/>
        </w:rPr>
        <w:t>设置一个满意值，指标值达到满意值得满分，未达到不得分或扣分。</w:t>
      </w:r>
    </w:p>
    <w:p>
      <w:pPr>
        <w:keepNext w:val="0"/>
        <w:keepLines w:val="0"/>
        <w:widowControl w:val="0"/>
        <w:suppressLineNumbers w:val="0"/>
        <w:spacing w:before="0" w:beforeAutospacing="0" w:after="0" w:afterAutospacing="0"/>
        <w:ind w:left="0" w:right="0"/>
        <w:jc w:val="both"/>
        <w:rPr>
          <w:sz w:val="24"/>
          <w:szCs w:val="24"/>
          <w:lang w:val="en-US"/>
        </w:rPr>
      </w:pPr>
      <w:r>
        <w:rPr>
          <w:rFonts w:hint="eastAsia" w:ascii="Times New Roman" w:hAnsi="Times New Roman" w:eastAsia="楷体_GB2312" w:cs="楷体_GB2312"/>
          <w:b/>
          <w:bCs/>
          <w:kern w:val="2"/>
          <w:sz w:val="24"/>
          <w:szCs w:val="24"/>
          <w:lang w:val="en-US" w:eastAsia="zh-CN" w:bidi="ar"/>
        </w:rPr>
        <w:t>（</w:t>
      </w:r>
      <w:r>
        <w:rPr>
          <w:rFonts w:hint="default" w:ascii="Times New Roman" w:hAnsi="Times New Roman" w:eastAsia="楷体_GB2312" w:cs="Times New Roman"/>
          <w:b/>
          <w:bCs/>
          <w:kern w:val="2"/>
          <w:sz w:val="24"/>
          <w:szCs w:val="24"/>
          <w:lang w:val="en-US" w:eastAsia="zh-CN" w:bidi="ar"/>
        </w:rPr>
        <w:t>6</w:t>
      </w:r>
      <w:r>
        <w:rPr>
          <w:rFonts w:hint="eastAsia" w:ascii="Times New Roman" w:hAnsi="Times New Roman" w:eastAsia="楷体_GB2312" w:cs="楷体_GB2312"/>
          <w:b/>
          <w:bCs/>
          <w:kern w:val="2"/>
          <w:sz w:val="24"/>
          <w:szCs w:val="24"/>
          <w:lang w:val="en-US" w:eastAsia="zh-CN" w:bidi="ar"/>
        </w:rPr>
        <w:t>）按数累加法：</w:t>
      </w:r>
      <w:r>
        <w:rPr>
          <w:rFonts w:hint="eastAsia" w:ascii="Times New Roman" w:hAnsi="Times New Roman" w:eastAsia="仿宋_GB2312" w:cs="仿宋_GB2312"/>
          <w:kern w:val="2"/>
          <w:sz w:val="24"/>
          <w:szCs w:val="24"/>
          <w:lang w:val="en-US" w:eastAsia="zh-CN" w:bidi="ar"/>
        </w:rPr>
        <w:t>若有必要用于加分项指标。</w:t>
      </w:r>
    </w:p>
    <w:p>
      <w:pPr>
        <w:keepNext w:val="0"/>
        <w:keepLines w:val="0"/>
        <w:widowControl w:val="0"/>
        <w:suppressLineNumbers w:val="0"/>
        <w:spacing w:before="0" w:beforeAutospacing="0" w:after="0" w:afterAutospacing="0"/>
        <w:ind w:left="0" w:right="0"/>
        <w:jc w:val="both"/>
        <w:rPr>
          <w:rFonts w:eastAsia="楷体_GB2312"/>
          <w:b/>
          <w:bCs/>
          <w:sz w:val="24"/>
          <w:szCs w:val="24"/>
          <w:lang w:val="en-US"/>
        </w:rPr>
      </w:pPr>
      <w:r>
        <w:rPr>
          <w:rFonts w:hint="default" w:ascii="Times New Roman" w:hAnsi="Times New Roman" w:eastAsia="楷体_GB2312" w:cs="Times New Roman"/>
          <w:b/>
          <w:bCs/>
          <w:kern w:val="2"/>
          <w:sz w:val="24"/>
          <w:szCs w:val="24"/>
          <w:lang w:val="en-US" w:eastAsia="zh-CN" w:bidi="ar"/>
        </w:rPr>
        <w:t>2.</w:t>
      </w:r>
      <w:r>
        <w:rPr>
          <w:rFonts w:hint="eastAsia" w:ascii="Times New Roman" w:hAnsi="Times New Roman" w:eastAsia="楷体_GB2312" w:cs="楷体_GB2312"/>
          <w:b/>
          <w:bCs/>
          <w:kern w:val="2"/>
          <w:sz w:val="24"/>
          <w:szCs w:val="24"/>
          <w:lang w:val="en-US" w:eastAsia="zh-CN" w:bidi="ar"/>
        </w:rPr>
        <w:t>特性指标二三级指标权重可自行分配。</w:t>
      </w:r>
    </w:p>
    <w:p>
      <w:pPr>
        <w:rPr>
          <w:rFonts w:hint="default" w:ascii="Times New Roman" w:hAnsi="Times New Roman" w:eastAsia="楷体_GB2312" w:cs="Times New Roman"/>
          <w:b/>
          <w:bCs/>
          <w:kern w:val="2"/>
          <w:sz w:val="24"/>
          <w:szCs w:val="24"/>
          <w:lang w:val="en-US" w:eastAsia="zh-CN" w:bidi="ar"/>
        </w:rPr>
        <w:sectPr>
          <w:pgSz w:w="16838" w:h="11906" w:orient="landscape"/>
          <w:pgMar w:top="720" w:right="720" w:bottom="720" w:left="720" w:header="454" w:footer="454" w:gutter="0"/>
          <w:pgNumType w:fmt="decimal"/>
          <w:cols w:space="425" w:num="1"/>
          <w:docGrid w:type="lines" w:linePitch="436" w:charSpace="0"/>
        </w:sectPr>
      </w:pP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kern w:val="0"/>
          <w:sz w:val="44"/>
          <w:szCs w:val="44"/>
          <w:lang w:val="en-US" w:eastAsia="zh-CN"/>
        </w:rPr>
        <w:t>乡村振兴发展拉练工作经费</w:t>
      </w:r>
      <w:r>
        <w:rPr>
          <w:rFonts w:hint="eastAsia" w:ascii="黑体" w:hAnsi="黑体" w:eastAsia="黑体" w:cs="黑体"/>
          <w:spacing w:val="1"/>
          <w:sz w:val="44"/>
          <w:szCs w:val="44"/>
        </w:rPr>
        <w:t>项目支出绩效自评报告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rPr>
      </w:pPr>
      <w:r>
        <w:rPr>
          <w:rFonts w:hint="eastAsia" w:ascii="仿宋" w:hAnsi="仿宋" w:eastAsia="仿宋" w:cs="仿宋"/>
          <w:sz w:val="32"/>
          <w:szCs w:val="32"/>
        </w:rPr>
        <w:t>项目具体目标为：</w:t>
      </w:r>
      <w:r>
        <w:rPr>
          <w:rFonts w:hint="eastAsia" w:ascii="仿宋" w:hAnsi="仿宋" w:eastAsia="仿宋"/>
          <w:kern w:val="0"/>
          <w:sz w:val="32"/>
          <w:szCs w:val="32"/>
          <w:lang w:eastAsia="zh-CN"/>
        </w:rPr>
        <w:t>绩效目标</w:t>
      </w:r>
      <w:r>
        <w:rPr>
          <w:rFonts w:hint="eastAsia" w:ascii="仿宋" w:hAnsi="仿宋" w:eastAsia="仿宋" w:cs="仿宋"/>
          <w:kern w:val="0"/>
          <w:sz w:val="32"/>
          <w:szCs w:val="32"/>
          <w:lang w:val="en-US" w:eastAsia="zh-CN"/>
        </w:rPr>
        <w:t>利用自然资源与规划发展，为乡村振兴发展拉练工作促力</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1.9</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lang w:eastAsia="zh-CN"/>
        </w:rPr>
        <w:t>（一）</w:t>
      </w:r>
      <w:r>
        <w:rPr>
          <w:rFonts w:hint="eastAsia" w:ascii="楷体" w:hAnsi="楷体" w:eastAsia="楷体" w:cs="楷体"/>
          <w:b/>
          <w:bCs w:val="0"/>
          <w:sz w:val="32"/>
          <w:szCs w:val="32"/>
        </w:rPr>
        <w:t>预算执行进度情况分析</w:t>
      </w:r>
    </w:p>
    <w:p>
      <w:pPr>
        <w:rPr>
          <w:rFonts w:hint="default" w:eastAsia="楷体"/>
          <w:lang w:val="en-US" w:eastAsia="zh-CN"/>
        </w:rPr>
      </w:pPr>
      <w:r>
        <w:rPr>
          <w:rFonts w:hint="eastAsia" w:ascii="楷体" w:hAnsi="楷体" w:eastAsia="楷体" w:cs="楷体"/>
          <w:b/>
          <w:bCs w:val="0"/>
          <w:sz w:val="32"/>
          <w:szCs w:val="32"/>
          <w:lang w:val="en-US" w:eastAsia="zh-CN"/>
        </w:rPr>
        <w:t xml:space="preserve">   </w:t>
      </w:r>
      <w:r>
        <w:rPr>
          <w:rFonts w:hint="eastAsia" w:ascii="仿宋" w:hAnsi="仿宋" w:eastAsia="仿宋"/>
          <w:kern w:val="0"/>
          <w:lang w:val="en-US" w:eastAsia="zh-CN"/>
        </w:rPr>
        <w:t>全年预算金额1.9万，全年预算执行数1.9万，预算执行率100%。</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sz w:val="32"/>
          <w:szCs w:val="32"/>
          <w:lang w:val="en-US" w:eastAsia="zh-CN"/>
        </w:rPr>
      </w:pPr>
      <w:r>
        <w:rPr>
          <w:rFonts w:hint="eastAsia" w:ascii="仿宋" w:hAnsi="仿宋" w:eastAsia="仿宋" w:cs="仿宋"/>
          <w:sz w:val="32"/>
          <w:szCs w:val="32"/>
        </w:rPr>
        <w:t>项目预算批复资金为</w:t>
      </w:r>
      <w:r>
        <w:rPr>
          <w:rFonts w:hint="eastAsia" w:ascii="仿宋" w:hAnsi="仿宋" w:eastAsia="仿宋" w:cs="仿宋"/>
          <w:sz w:val="32"/>
          <w:szCs w:val="32"/>
          <w:lang w:val="en-US" w:eastAsia="zh-CN"/>
        </w:rPr>
        <w:t>1.9</w:t>
      </w:r>
      <w:r>
        <w:rPr>
          <w:rFonts w:hint="eastAsia" w:ascii="仿宋" w:hAnsi="仿宋" w:eastAsia="仿宋" w:cs="仿宋"/>
          <w:sz w:val="32"/>
          <w:szCs w:val="32"/>
        </w:rPr>
        <w:t>万元，资金实际支付为</w:t>
      </w:r>
      <w:r>
        <w:rPr>
          <w:rFonts w:hint="eastAsia" w:ascii="仿宋" w:hAnsi="仿宋" w:eastAsia="仿宋" w:cs="仿宋"/>
          <w:sz w:val="32"/>
          <w:szCs w:val="32"/>
          <w:lang w:val="en-US" w:eastAsia="zh-CN"/>
        </w:rPr>
        <w:t>1.9</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主要用于职工下乡调研、指导工作的差旅等支出。</w:t>
      </w:r>
      <w:r>
        <w:rPr>
          <w:rFonts w:hint="eastAsia" w:ascii="仿宋" w:hAnsi="仿宋" w:eastAsia="仿宋" w:cs="仿宋"/>
          <w:sz w:val="32"/>
          <w:szCs w:val="32"/>
        </w:rPr>
        <w:t>资金开支范围、标准及支付进度严格按照规定，支付</w:t>
      </w:r>
      <w:r>
        <w:rPr>
          <w:rFonts w:hint="eastAsia" w:ascii="仿宋" w:hAnsi="仿宋" w:eastAsia="仿宋" w:cs="仿宋"/>
          <w:sz w:val="32"/>
          <w:szCs w:val="32"/>
          <w:lang w:val="en-US" w:eastAsia="zh-CN"/>
        </w:rPr>
        <w:t>依据合规合法，资金支付与预算相符。</w:t>
      </w:r>
    </w:p>
    <w:p>
      <w:pPr>
        <w:pageBreakBefore w:val="0"/>
        <w:widowControl/>
        <w:numPr>
          <w:ilvl w:val="0"/>
          <w:numId w:val="2"/>
        </w:numPr>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总体绩效目标完成情况分析</w:t>
      </w:r>
    </w:p>
    <w:p>
      <w:pPr>
        <w:pStyle w:val="2"/>
        <w:numPr>
          <w:ilvl w:val="0"/>
          <w:numId w:val="0"/>
        </w:numPr>
        <w:rPr>
          <w:rFonts w:hint="eastAsia" w:ascii="仿宋" w:hAnsi="仿宋" w:eastAsia="仿宋" w:cs="仿宋"/>
          <w:sz w:val="32"/>
          <w:szCs w:val="32"/>
          <w:lang w:val="en-US" w:eastAsia="zh-CN"/>
        </w:rPr>
      </w:pPr>
      <w:r>
        <w:rPr>
          <w:rFonts w:hint="eastAsia"/>
          <w:lang w:val="en-US" w:eastAsia="zh-CN"/>
        </w:rPr>
        <w:t xml:space="preserve">          </w:t>
      </w:r>
      <w:r>
        <w:rPr>
          <w:rFonts w:hint="eastAsia" w:ascii="仿宋" w:hAnsi="仿宋" w:eastAsia="仿宋" w:cs="仿宋"/>
          <w:sz w:val="32"/>
          <w:szCs w:val="32"/>
          <w:lang w:val="en-US" w:eastAsia="zh-CN"/>
        </w:rPr>
        <w:t xml:space="preserve"> 指导乡镇产业园区乡村振兴规划</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（三）绩效指标完成情况分析</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b w:val="0"/>
          <w:bCs/>
          <w:kern w:val="0"/>
          <w:sz w:val="32"/>
          <w:szCs w:val="32"/>
          <w:lang w:val="en-US" w:eastAsia="zh-CN"/>
        </w:rPr>
      </w:pPr>
      <w:r>
        <w:rPr>
          <w:rFonts w:hint="eastAsia" w:ascii="仿宋" w:hAnsi="仿宋" w:eastAsia="仿宋"/>
          <w:b w:val="0"/>
          <w:bCs/>
          <w:kern w:val="0"/>
          <w:sz w:val="32"/>
          <w:szCs w:val="32"/>
          <w:lang w:val="en-US" w:eastAsia="zh-CN"/>
        </w:rPr>
        <w:t>为13个乡镇乡村振兴发展科学合理规划，参与督导调研及工作会5次，全面完成了自然资源领域内的乡村振兴发展拉练目标任务</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lang w:eastAsia="zh-CN"/>
        </w:rPr>
        <w:t>（四）</w:t>
      </w:r>
      <w:r>
        <w:rPr>
          <w:rFonts w:hint="eastAsia" w:ascii="楷体" w:hAnsi="楷体" w:eastAsia="楷体" w:cs="楷体"/>
          <w:b w:val="0"/>
          <w:bCs/>
          <w:sz w:val="32"/>
          <w:szCs w:val="32"/>
        </w:rPr>
        <w:t>项目效益分析</w:t>
      </w:r>
    </w:p>
    <w:p>
      <w:pPr>
        <w:widowControl/>
        <w:numPr>
          <w:ilvl w:val="0"/>
          <w:numId w:val="0"/>
        </w:numPr>
        <w:adjustRightInd w:val="0"/>
        <w:snapToGrid w:val="0"/>
        <w:spacing w:line="580" w:lineRule="exact"/>
        <w:ind w:firstLine="640"/>
        <w:contextualSpacing/>
        <w:jc w:val="left"/>
        <w:rPr>
          <w:rFonts w:hint="eastAsia" w:ascii="仿宋" w:hAnsi="仿宋" w:eastAsia="仿宋"/>
          <w:kern w:val="0"/>
          <w:sz w:val="32"/>
          <w:szCs w:val="32"/>
          <w:lang w:val="en-US" w:eastAsia="zh-CN"/>
        </w:rPr>
      </w:pPr>
      <w:r>
        <w:rPr>
          <w:rFonts w:hint="eastAsia" w:ascii="仿宋" w:hAnsi="仿宋" w:eastAsia="仿宋"/>
          <w:kern w:val="0"/>
          <w:sz w:val="32"/>
          <w:szCs w:val="32"/>
          <w:lang w:val="en-US" w:eastAsia="zh-CN"/>
        </w:rPr>
        <w:t>有力促进了乡村振兴发展区域内农民增加，持续巩固脱贫攻坚成果与乡村振兴有效衔接，提高群众满意度。</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5</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3" w:firstLineChars="200"/>
        <w:jc w:val="both"/>
        <w:textAlignment w:val="auto"/>
        <w:rPr>
          <w:rFonts w:hint="eastAsia" w:ascii="仿宋" w:hAnsi="仿宋" w:eastAsia="仿宋" w:cs="仿宋"/>
          <w:b w:val="0"/>
          <w:bCs w:val="0"/>
          <w:sz w:val="32"/>
          <w:szCs w:val="32"/>
        </w:rPr>
      </w:pPr>
      <w:r>
        <w:rPr>
          <w:rFonts w:hint="eastAsia" w:ascii="仿宋" w:hAnsi="仿宋" w:eastAsia="仿宋" w:cs="仿宋"/>
          <w:b/>
          <w:bCs/>
          <w:sz w:val="32"/>
          <w:szCs w:val="32"/>
        </w:rPr>
        <w:t>附件：</w:t>
      </w:r>
      <w:r>
        <w:rPr>
          <w:rFonts w:hint="eastAsia" w:ascii="仿宋" w:hAnsi="仿宋" w:eastAsia="仿宋" w:cs="仿宋"/>
          <w:b w:val="0"/>
          <w:bCs w:val="0"/>
          <w:sz w:val="32"/>
          <w:szCs w:val="32"/>
        </w:rPr>
        <w:t>1.2022年度</w:t>
      </w:r>
      <w:r>
        <w:rPr>
          <w:rFonts w:hint="eastAsia" w:ascii="仿宋" w:hAnsi="仿宋" w:eastAsia="仿宋" w:cs="仿宋"/>
          <w:b w:val="0"/>
          <w:bCs w:val="0"/>
          <w:kern w:val="0"/>
          <w:sz w:val="32"/>
          <w:szCs w:val="32"/>
          <w:lang w:val="en-US" w:eastAsia="zh-CN"/>
        </w:rPr>
        <w:t>乡村振兴发展拉练工作经费</w:t>
      </w:r>
      <w:r>
        <w:rPr>
          <w:rFonts w:hint="eastAsia" w:ascii="仿宋" w:hAnsi="仿宋" w:eastAsia="仿宋" w:cs="仿宋"/>
          <w:b w:val="0"/>
          <w:bCs w:val="0"/>
          <w:sz w:val="32"/>
          <w:szCs w:val="32"/>
        </w:rPr>
        <w:t>项目绩效目标自评表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2.2022年度</w:t>
      </w:r>
      <w:r>
        <w:rPr>
          <w:rFonts w:hint="eastAsia" w:ascii="仿宋" w:hAnsi="仿宋" w:eastAsia="仿宋" w:cs="仿宋"/>
          <w:b w:val="0"/>
          <w:bCs w:val="0"/>
          <w:kern w:val="0"/>
          <w:sz w:val="32"/>
          <w:szCs w:val="32"/>
          <w:lang w:val="en-US" w:eastAsia="zh-CN"/>
        </w:rPr>
        <w:t>乡村振兴发展拉练工作经费</w:t>
      </w:r>
      <w:r>
        <w:rPr>
          <w:rFonts w:hint="eastAsia" w:ascii="仿宋" w:hAnsi="仿宋" w:eastAsia="仿宋" w:cs="仿宋"/>
          <w:b w:val="0"/>
          <w:bCs w:val="0"/>
          <w:sz w:val="32"/>
          <w:szCs w:val="32"/>
          <w:lang w:eastAsia="zh-CN"/>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rPr>
      </w:pP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501"/>
        <w:gridCol w:w="864"/>
        <w:gridCol w:w="1648"/>
        <w:gridCol w:w="1161"/>
        <w:gridCol w:w="1067"/>
        <w:gridCol w:w="825"/>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乡村振兴发展拉练工作经费</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乡村振兴发展拉练工作经费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1.9</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1.9</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1.9</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1.9</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利用自然资源资源与规划发展，为乡村振兴发展拉练工作促力</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全面完成乡村振兴发展拉练区内的规划及利用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为13个乡镇乡村振兴发展科学合理规划，参与督导调研及工作会</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5次以上</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完成乡村振兴发展拉练目标任务</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促进乡村振兴发展区域内农民增收</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影响程度较高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持续巩固脱贫</w:t>
            </w:r>
            <w:r>
              <w:rPr>
                <w:rFonts w:hint="eastAsia" w:ascii="Times New Roman" w:hAnsi="Times New Roman" w:eastAsia="宋体" w:cs="Times New Roman"/>
                <w:color w:val="000000"/>
                <w:kern w:val="2"/>
                <w:sz w:val="16"/>
                <w:szCs w:val="16"/>
                <w:lang w:eastAsia="zh-CN"/>
              </w:rPr>
              <w:t>攻</w:t>
            </w:r>
            <w:r>
              <w:rPr>
                <w:rFonts w:hint="eastAsia" w:ascii="Times New Roman" w:hAnsi="Times New Roman" w:eastAsia="宋体" w:cs="Times New Roman"/>
                <w:color w:val="000000"/>
                <w:kern w:val="2"/>
                <w:sz w:val="16"/>
                <w:szCs w:val="16"/>
              </w:rPr>
              <w:t>坚成果与乡村振兴有效衔接</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影响程度较高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bookmarkStart w:id="0" w:name="_GoBack"/>
            <w:bookmarkEnd w:id="0"/>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widowControl w:val="0"/>
        <w:adjustRightInd/>
        <w:snapToGrid/>
        <w:spacing w:after="0" w:line="240" w:lineRule="auto"/>
        <w:jc w:val="both"/>
        <w:rPr>
          <w:rFonts w:ascii="Times New Roman" w:hAnsi="Times New Roman" w:cs="Times New Roman" w:eastAsiaTheme="minorEastAsia"/>
          <w:kern w:val="2"/>
          <w:sz w:val="32"/>
          <w:szCs w:val="32"/>
        </w:rPr>
      </w:pPr>
    </w:p>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sectPr>
          <w:headerReference r:id="rId15" w:type="default"/>
          <w:footerReference r:id="rId16"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黑体" w:cs="Times New Roman"/>
          <w:kern w:val="2"/>
          <w:sz w:val="21"/>
          <w:szCs w:val="24"/>
          <w:lang w:val="en-US"/>
        </w:rPr>
      </w:pPr>
      <w:r>
        <w:rPr>
          <w:rFonts w:hint="eastAsia" w:ascii="Times New Roman" w:hAnsi="Times New Roman" w:eastAsia="黑体" w:cs="黑体"/>
          <w:kern w:val="2"/>
          <w:sz w:val="32"/>
          <w:szCs w:val="32"/>
          <w:lang w:val="en-US" w:eastAsia="zh-CN" w:bidi="ar"/>
        </w:rPr>
        <w:t>附件</w:t>
      </w:r>
      <w:r>
        <w:rPr>
          <w:rFonts w:hint="default" w:ascii="Times New Roman" w:hAnsi="Times New Roman" w:eastAsia="黑体" w:cs="Times New Roman"/>
          <w:kern w:val="2"/>
          <w:sz w:val="32"/>
          <w:szCs w:val="32"/>
          <w:lang w:val="en-US" w:eastAsia="zh-CN" w:bidi="ar"/>
        </w:rPr>
        <w:t>3</w:t>
      </w: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w:t>
      </w:r>
      <w:r>
        <w:rPr>
          <w:rFonts w:hint="eastAsia" w:ascii="Times New Roman" w:hAnsi="Times New Roman" w:cs="Times New Roman" w:eastAsiaTheme="minorEastAsia"/>
          <w:color w:val="000000"/>
          <w:kern w:val="0"/>
          <w:sz w:val="32"/>
          <w:szCs w:val="32"/>
        </w:rPr>
        <w:t>乡村振兴发展拉练工作经费</w:t>
      </w:r>
      <w:r>
        <w:rPr>
          <w:rFonts w:hint="eastAsia" w:ascii="Times New Roman" w:hAnsi="方正小标宋简体" w:eastAsia="方正小标宋简体" w:cs="方正小标宋简体"/>
          <w:spacing w:val="1"/>
          <w:kern w:val="2"/>
          <w:sz w:val="36"/>
          <w:szCs w:val="36"/>
          <w:lang w:val="en-US" w:eastAsia="zh-CN" w:bidi="ar"/>
        </w:rPr>
        <w:t>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6"/>
        <w:gridCol w:w="397"/>
        <w:gridCol w:w="575"/>
        <w:gridCol w:w="694"/>
        <w:gridCol w:w="1185"/>
        <w:gridCol w:w="1009"/>
        <w:gridCol w:w="1415"/>
        <w:gridCol w:w="1134"/>
        <w:gridCol w:w="709"/>
        <w:gridCol w:w="522"/>
        <w:gridCol w:w="454"/>
        <w:gridCol w:w="567"/>
        <w:gridCol w:w="584"/>
        <w:gridCol w:w="3782"/>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2"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48"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48"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48"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8"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农业产业（包括林业产业）</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增加值提升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项目实施涉及产值增长情况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三年产值平均增长率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当年涉农产值增量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上一年度涉农产值总量</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重点查看项目实施区域涉农增加值变动情况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年均收入变动率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项目实施后农户收入变动情况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标准值负值为</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（项目实施后人均年收入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重点查看三年来农民人均年收入增长变化情况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从业带动能力</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项目带动周边从事相关行业情况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三年平均新增带动就业户数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通过实地走访、调研、收集带动就业户数相关基础数据进行对比分析</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bl>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宋体" w:cs="Times New Roman"/>
          <w:b/>
          <w:bCs/>
          <w:kern w:val="2"/>
          <w:sz w:val="24"/>
          <w:szCs w:val="24"/>
          <w:lang w:val="en-US"/>
        </w:rPr>
      </w:pPr>
      <w:r>
        <w:rPr>
          <w:rFonts w:hint="eastAsia" w:ascii="Times New Roman" w:hAnsi="Times New Roman" w:eastAsia="楷体_GB2312" w:cs="楷体_GB2312"/>
          <w:b/>
          <w:bCs/>
          <w:kern w:val="2"/>
          <w:sz w:val="24"/>
          <w:szCs w:val="24"/>
          <w:lang w:val="en-US" w:eastAsia="zh-CN" w:bidi="ar"/>
        </w:rPr>
        <w:t>相关说明：</w:t>
      </w:r>
    </w:p>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pPr>
    </w:p>
    <w:p>
      <w:pPr>
        <w:pageBreakBefore w:val="0"/>
        <w:widowControl/>
        <w:wordWrap/>
        <w:topLinePunct w:val="0"/>
        <w:autoSpaceDE/>
        <w:autoSpaceDN/>
        <w:bidi w:val="0"/>
        <w:adjustRightInd w:val="0"/>
        <w:snapToGrid w:val="0"/>
        <w:spacing w:line="560" w:lineRule="exact"/>
        <w:ind w:firstLine="643" w:firstLineChars="200"/>
        <w:jc w:val="left"/>
        <w:textAlignment w:val="auto"/>
        <w:rPr>
          <w:rFonts w:hint="eastAsia" w:ascii="仿宋" w:hAnsi="仿宋" w:eastAsia="仿宋" w:cs="仿宋"/>
          <w:b/>
          <w:kern w:val="44"/>
          <w:sz w:val="32"/>
          <w:szCs w:val="32"/>
        </w:rPr>
      </w:pPr>
    </w:p>
    <w:p>
      <w:pPr>
        <w:pStyle w:val="2"/>
        <w:rPr>
          <w:rFonts w:hint="eastAsia"/>
        </w:rPr>
        <w:sectPr>
          <w:pgSz w:w="16838" w:h="11906" w:orient="landscape"/>
          <w:pgMar w:top="1800" w:right="1440" w:bottom="1800" w:left="1440" w:header="708" w:footer="708" w:gutter="0"/>
          <w:pgNumType w:fmt="decimal"/>
          <w:cols w:space="708" w:num="1"/>
          <w:docGrid w:linePitch="360" w:charSpace="0"/>
        </w:sectPr>
      </w:pP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kern w:val="0"/>
          <w:sz w:val="44"/>
          <w:szCs w:val="44"/>
          <w:lang w:val="en-US" w:eastAsia="zh-CN"/>
        </w:rPr>
        <w:t>新增耕地和双挂钩指标款项目</w:t>
      </w:r>
      <w:r>
        <w:rPr>
          <w:rFonts w:hint="eastAsia" w:ascii="黑体" w:hAnsi="黑体" w:eastAsia="黑体" w:cs="黑体"/>
          <w:spacing w:val="1"/>
          <w:sz w:val="44"/>
          <w:szCs w:val="44"/>
        </w:rPr>
        <w:t>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cs="仿宋"/>
          <w:sz w:val="32"/>
          <w:szCs w:val="32"/>
        </w:rPr>
        <w:t>项目具体目标：</w:t>
      </w:r>
      <w:r>
        <w:rPr>
          <w:rFonts w:hint="eastAsia" w:ascii="仿宋" w:hAnsi="仿宋" w:eastAsia="仿宋"/>
          <w:kern w:val="0"/>
          <w:sz w:val="32"/>
          <w:szCs w:val="32"/>
          <w:lang w:val="en-US" w:eastAsia="zh-CN"/>
        </w:rPr>
        <w:t>启动18个已批准还未实施的双挂钩项目，力争全面开工建设。</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3"/>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2022年，项目下达资金批复预算</w:t>
      </w:r>
      <w:r>
        <w:rPr>
          <w:rFonts w:hint="eastAsia" w:ascii="仿宋" w:hAnsi="仿宋" w:eastAsia="仿宋"/>
          <w:b w:val="0"/>
          <w:bCs/>
          <w:kern w:val="0"/>
          <w:sz w:val="32"/>
          <w:szCs w:val="32"/>
          <w:lang w:val="en-US" w:eastAsia="zh-CN"/>
        </w:rPr>
        <w:t>13987.7</w:t>
      </w:r>
      <w:r>
        <w:rPr>
          <w:rFonts w:hint="eastAsia" w:ascii="仿宋" w:hAnsi="仿宋" w:eastAsia="仿宋" w:cs="仿宋"/>
          <w:b w:val="0"/>
          <w:bCs/>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spacing w:before="0" w:after="0"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（一）预算执行进度情况分析</w:t>
      </w:r>
    </w:p>
    <w:p>
      <w:pPr>
        <w:pStyle w:val="4"/>
        <w:spacing w:before="0" w:after="0" w:line="360" w:lineRule="auto"/>
        <w:ind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项目预算批复资金为</w:t>
      </w:r>
      <w:r>
        <w:rPr>
          <w:rFonts w:hint="eastAsia" w:ascii="仿宋" w:hAnsi="仿宋" w:eastAsia="仿宋"/>
          <w:b w:val="0"/>
          <w:bCs/>
          <w:kern w:val="0"/>
          <w:sz w:val="32"/>
          <w:szCs w:val="32"/>
          <w:lang w:val="en-US" w:eastAsia="zh-CN"/>
        </w:rPr>
        <w:t>13987.7</w:t>
      </w:r>
      <w:r>
        <w:rPr>
          <w:rFonts w:hint="eastAsia" w:ascii="仿宋" w:hAnsi="仿宋" w:eastAsia="仿宋" w:cs="仿宋"/>
          <w:b w:val="0"/>
          <w:bCs/>
          <w:sz w:val="32"/>
          <w:szCs w:val="32"/>
        </w:rPr>
        <w:t>万元，资金实际支付为</w:t>
      </w:r>
      <w:r>
        <w:rPr>
          <w:rFonts w:hint="eastAsia" w:ascii="仿宋" w:hAnsi="仿宋" w:eastAsia="仿宋"/>
          <w:b w:val="0"/>
          <w:bCs/>
          <w:kern w:val="0"/>
          <w:sz w:val="32"/>
          <w:szCs w:val="32"/>
          <w:lang w:val="en-US" w:eastAsia="zh-CN"/>
        </w:rPr>
        <w:t>13987.7</w:t>
      </w:r>
      <w:r>
        <w:rPr>
          <w:rFonts w:hint="eastAsia" w:ascii="仿宋" w:hAnsi="仿宋" w:eastAsia="仿宋" w:cs="仿宋"/>
          <w:b w:val="0"/>
          <w:bCs/>
          <w:sz w:val="32"/>
          <w:szCs w:val="32"/>
        </w:rPr>
        <w:t>万元，</w:t>
      </w:r>
      <w:r>
        <w:rPr>
          <w:rFonts w:hint="eastAsia" w:ascii="仿宋" w:hAnsi="仿宋" w:eastAsia="仿宋"/>
          <w:b w:val="0"/>
          <w:bCs/>
          <w:kern w:val="0"/>
          <w:sz w:val="32"/>
          <w:szCs w:val="32"/>
          <w:lang w:val="en-US" w:eastAsia="zh-CN"/>
        </w:rPr>
        <w:t>预算执行率100%。</w:t>
      </w:r>
      <w:r>
        <w:rPr>
          <w:rFonts w:hint="eastAsia" w:ascii="仿宋" w:hAnsi="仿宋" w:eastAsia="仿宋" w:cs="仿宋"/>
          <w:b w:val="0"/>
          <w:bCs/>
          <w:sz w:val="32"/>
          <w:szCs w:val="32"/>
        </w:rPr>
        <w:t>资金开支范围、标准及支付进度严格按照规定，支付</w:t>
      </w:r>
      <w:r>
        <w:rPr>
          <w:rFonts w:hint="eastAsia" w:ascii="仿宋" w:hAnsi="仿宋" w:eastAsia="仿宋" w:cs="仿宋"/>
          <w:b w:val="0"/>
          <w:bCs/>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kern w:val="0"/>
          <w:sz w:val="32"/>
          <w:szCs w:val="32"/>
          <w:lang w:val="en-US" w:eastAsia="zh-CN"/>
        </w:rPr>
        <w:t>全面启动18个已批准还未实施的双挂钩项目，项目全部开工建设，利店、黄丹镇项目取得指标确认函。</w:t>
      </w:r>
    </w:p>
    <w:p>
      <w:pPr>
        <w:pageBreakBefore w:val="0"/>
        <w:widowControl/>
        <w:numPr>
          <w:ilvl w:val="0"/>
          <w:numId w:val="1"/>
        </w:numPr>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绩效指标完成情况分析</w:t>
      </w:r>
    </w:p>
    <w:p>
      <w:pPr>
        <w:widowControl/>
        <w:numPr>
          <w:ilvl w:val="0"/>
          <w:numId w:val="0"/>
        </w:numPr>
        <w:adjustRightInd w:val="0"/>
        <w:snapToGrid w:val="0"/>
        <w:spacing w:line="580" w:lineRule="exact"/>
        <w:ind w:firstLine="640" w:firstLineChars="200"/>
        <w:contextualSpacing/>
        <w:jc w:val="left"/>
        <w:rPr>
          <w:rFonts w:hint="default" w:ascii="仿宋" w:hAnsi="仿宋" w:eastAsia="仿宋"/>
          <w:kern w:val="0"/>
          <w:sz w:val="32"/>
          <w:szCs w:val="32"/>
          <w:lang w:val="en-US"/>
        </w:rPr>
      </w:pPr>
      <w:r>
        <w:rPr>
          <w:rFonts w:hint="eastAsia" w:ascii="仿宋" w:hAnsi="仿宋" w:eastAsia="仿宋"/>
          <w:kern w:val="0"/>
          <w:sz w:val="32"/>
          <w:szCs w:val="32"/>
          <w:lang w:val="en-US" w:eastAsia="zh-CN"/>
        </w:rPr>
        <w:t>2022年全面启动18个已批准还未实施的双挂钩项目，利店镇（凤村乡）、黄丹镇（海云乡）项目已取得指标确认函；舟坝镇、黄丹镇、永福镇、炭库乡、武圣乡项目已竣工并通过省市核查。富新镇、沐溪镇共7个项目有序推进。</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3"/>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b w:val="0"/>
          <w:bCs/>
          <w:kern w:val="0"/>
          <w:sz w:val="32"/>
          <w:szCs w:val="32"/>
          <w:lang w:val="en-US" w:eastAsia="zh-CN"/>
        </w:rPr>
      </w:pPr>
      <w:r>
        <w:rPr>
          <w:rFonts w:hint="eastAsia" w:ascii="仿宋" w:hAnsi="仿宋" w:eastAsia="仿宋"/>
          <w:b w:val="0"/>
          <w:bCs/>
          <w:kern w:val="0"/>
          <w:sz w:val="32"/>
          <w:szCs w:val="32"/>
          <w:lang w:val="en-US" w:eastAsia="zh-CN"/>
        </w:rPr>
        <w:t>全年流转结余指标约800余亩，流转价款约达亿元，有效保障全县财政收入。新增耕地和双挂钩项目的实施有效的调整城市建设用地结构和人居环境，促进城乡统筹发展，提高了涉及农户满意度率。</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3</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附件：1.2022年度</w:t>
      </w:r>
      <w:r>
        <w:rPr>
          <w:rFonts w:hint="eastAsia" w:ascii="仿宋" w:hAnsi="仿宋" w:eastAsia="仿宋" w:cs="仿宋"/>
          <w:kern w:val="0"/>
          <w:sz w:val="32"/>
          <w:szCs w:val="32"/>
          <w:lang w:eastAsia="zh-CN"/>
        </w:rPr>
        <w:t>新增耕地和双挂钩指标款</w:t>
      </w:r>
      <w:r>
        <w:rPr>
          <w:rFonts w:hint="eastAsia" w:ascii="仿宋" w:hAnsi="仿宋" w:eastAsia="仿宋" w:cs="仿宋"/>
          <w:b w:val="0"/>
          <w:bCs w:val="0"/>
          <w:sz w:val="32"/>
          <w:szCs w:val="32"/>
        </w:rPr>
        <w:t>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lang w:eastAsia="zh-CN"/>
        </w:rPr>
        <w:t>新增耕地和双挂钩指标款项目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widowControl w:val="0"/>
        <w:adjustRightInd/>
        <w:snapToGrid/>
        <w:spacing w:after="0" w:line="520" w:lineRule="exact"/>
        <w:jc w:val="both"/>
        <w:rPr>
          <w:rFonts w:ascii="黑体" w:hAnsi="黑体" w:eastAsia="黑体" w:cs="Times New Roman"/>
          <w:kern w:val="2"/>
          <w:sz w:val="32"/>
          <w:szCs w:val="32"/>
        </w:rPr>
      </w:pP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501"/>
        <w:gridCol w:w="864"/>
        <w:gridCol w:w="1648"/>
        <w:gridCol w:w="1161"/>
        <w:gridCol w:w="1067"/>
        <w:gridCol w:w="825"/>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新增耕地和双挂钩指标款</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新增耕地和双挂钩项目指标款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7"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13987.7</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13987.7</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13987.7</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13987.7</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0"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9"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全面启动18个已批准还未实施的项目，力争全面完工，取得指标确认函，</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2个乡镇完成指标确认函，4个乡镇项目通过项目，流转项目指标800余亩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全面启动18个未实施项目</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18个</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项目通过省、市县验收，取得指标确认函，</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2022年12月底前</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1年</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流转指标，增加县级基金收入</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调整城市建设用地结构和人居环境，促进城乡统筹发展，</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7"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8"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项目涉及农户满意度提高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95%以上</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sectPr>
          <w:headerReference r:id="rId17" w:type="default"/>
          <w:footerReference r:id="rId18"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w:t>
      </w:r>
      <w:r>
        <w:rPr>
          <w:rFonts w:hint="eastAsia" w:ascii="Times New Roman" w:hAnsi="Times New Roman" w:cs="Times New Roman" w:eastAsiaTheme="minorEastAsia"/>
          <w:color w:val="000000"/>
          <w:kern w:val="0"/>
          <w:sz w:val="32"/>
          <w:szCs w:val="32"/>
        </w:rPr>
        <w:t>新增耕地和双挂钩指标款</w:t>
      </w:r>
      <w:r>
        <w:rPr>
          <w:rFonts w:hint="eastAsia" w:ascii="Times New Roman" w:hAnsi="方正小标宋简体" w:eastAsia="方正小标宋简体" w:cs="方正小标宋简体"/>
          <w:spacing w:val="1"/>
          <w:kern w:val="2"/>
          <w:sz w:val="36"/>
          <w:szCs w:val="36"/>
          <w:lang w:val="en-US" w:eastAsia="zh-CN" w:bidi="ar"/>
        </w:rPr>
        <w:t>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6"/>
        <w:gridCol w:w="397"/>
        <w:gridCol w:w="575"/>
        <w:gridCol w:w="700"/>
        <w:gridCol w:w="1193"/>
        <w:gridCol w:w="997"/>
        <w:gridCol w:w="1414"/>
        <w:gridCol w:w="1134"/>
        <w:gridCol w:w="708"/>
        <w:gridCol w:w="529"/>
        <w:gridCol w:w="459"/>
        <w:gridCol w:w="566"/>
        <w:gridCol w:w="570"/>
        <w:gridCol w:w="3787"/>
        <w:gridCol w:w="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农业产业（包括林业产业）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增加值提升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项目实施涉及产值增长情况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三年产值平均增长率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当年涉农产值增量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上一年度涉农产值总量</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重点查看项目实施区域涉农增加值变动情况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5"/>
                <w:szCs w:val="15"/>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年均收入变动率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项目实施后农户收入变动情况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标准值负值为</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（项目实施后人均年收入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重点查看三年来农民人均年收入增长变化情况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从业带动能力</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项目带动周边从事相关行业情况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三年平均新增带动就业户数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通过实地走访、调研、收集带动就业户数相关基础数据进行对比分析</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消费增长</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项目支持区域内社会消费品零售总额增长情况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指标得分根据三年社会消费品零售增长变化计算得分，社会消费品零售增长</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标准值的得满分，＜标准值</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的不得分，其余按比值计算得分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重点收集三年来区域内社会消费品零售增长数据，主要通过官方统计数据采集，同时结合实地调查对比，综合计算指标得分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产值占比</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区域内服务业增速动态变动情况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小于</w:t>
            </w:r>
            <w:r>
              <w:rPr>
                <w:rFonts w:hint="default" w:ascii="Times New Roman" w:hAnsi="Times New Roman" w:eastAsia="仿宋_GB2312" w:cs="Times New Roman"/>
                <w:kern w:val="0"/>
                <w:sz w:val="18"/>
                <w:szCs w:val="18"/>
                <w:lang w:val="en-US" w:eastAsia="zh-CN" w:bidi="ar"/>
              </w:rPr>
              <w:t>80%</w:t>
            </w:r>
            <w:r>
              <w:rPr>
                <w:rFonts w:hint="eastAsia" w:ascii="Times New Roman" w:hAnsi="Times New Roman" w:eastAsia="仿宋_GB2312" w:cs="仿宋_GB2312"/>
                <w:kern w:val="0"/>
                <w:sz w:val="18"/>
                <w:szCs w:val="18"/>
                <w:lang w:val="en-US" w:eastAsia="zh-CN" w:bidi="ar"/>
              </w:rPr>
              <w:t>时不得分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比重变动率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上一年度服务业产值占</w:t>
            </w:r>
            <w:r>
              <w:rPr>
                <w:rFonts w:hint="default" w:ascii="Times New Roman" w:hAnsi="Times New Roman" w:eastAsia="仿宋_GB2312" w:cs="Times New Roman"/>
                <w:kern w:val="0"/>
                <w:sz w:val="18"/>
                <w:szCs w:val="18"/>
                <w:lang w:val="en-US" w:eastAsia="zh-CN" w:bidi="ar"/>
              </w:rPr>
              <w:t>GDP</w:t>
            </w:r>
            <w:r>
              <w:rPr>
                <w:rFonts w:hint="eastAsia" w:ascii="Times New Roman" w:hAnsi="Times New Roman" w:eastAsia="仿宋_GB2312" w:cs="仿宋_GB2312"/>
                <w:kern w:val="0"/>
                <w:sz w:val="18"/>
                <w:szCs w:val="18"/>
                <w:lang w:val="en-US" w:eastAsia="zh-CN" w:bidi="ar"/>
              </w:rPr>
              <w:t>比重，以三年平均数计算</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服务效能</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区域内相关事务处理能力提升情况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重点查看区域内相关事务处理能力提升状况，通过资料记录查询，现场持续跟踪，走访调研了解等手段综合判断</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bl>
    <w:p>
      <w:pPr>
        <w:rPr>
          <w:rFonts w:hint="eastAsia"/>
        </w:rPr>
        <w:sectPr>
          <w:pgSz w:w="16838" w:h="11906" w:orient="landscape"/>
          <w:pgMar w:top="1800" w:right="1440" w:bottom="1800" w:left="1440" w:header="708" w:footer="708" w:gutter="0"/>
          <w:pgNumType w:fmt="decimal"/>
          <w:cols w:space="708" w:num="1"/>
          <w:docGrid w:linePitch="360" w:charSpace="0"/>
        </w:sectPr>
      </w:pPr>
    </w:p>
    <w:p>
      <w:pPr>
        <w:pageBreakBefore w:val="0"/>
        <w:widowControl/>
        <w:kinsoku w:val="0"/>
        <w:wordWrap/>
        <w:overflowPunct w:val="0"/>
        <w:topLinePunct w:val="0"/>
        <w:autoSpaceDE/>
        <w:autoSpaceDN/>
        <w:bidi w:val="0"/>
        <w:adjustRightInd w:val="0"/>
        <w:snapToGrid w:val="0"/>
        <w:spacing w:line="560" w:lineRule="exact"/>
        <w:ind w:firstLine="884" w:firstLineChars="200"/>
        <w:jc w:val="center"/>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firstLine="880" w:firstLineChars="200"/>
        <w:jc w:val="center"/>
        <w:textAlignment w:val="auto"/>
        <w:rPr>
          <w:rFonts w:hint="eastAsia" w:ascii="黑体" w:hAnsi="黑体" w:eastAsia="黑体" w:cs="黑体"/>
          <w:spacing w:val="1"/>
          <w:sz w:val="44"/>
          <w:szCs w:val="44"/>
        </w:rPr>
      </w:pPr>
      <w:r>
        <w:rPr>
          <w:rFonts w:hint="eastAsia" w:ascii="黑体" w:hAnsi="黑体" w:eastAsia="黑体" w:cs="黑体"/>
          <w:b w:val="0"/>
          <w:bCs w:val="0"/>
          <w:kern w:val="0"/>
          <w:sz w:val="44"/>
          <w:szCs w:val="44"/>
          <w:lang w:val="en-US" w:eastAsia="zh-CN"/>
        </w:rPr>
        <w:t>征地拆迁费</w:t>
      </w:r>
      <w:r>
        <w:rPr>
          <w:rFonts w:hint="eastAsia" w:ascii="黑体" w:hAnsi="黑体" w:eastAsia="黑体" w:cs="黑体"/>
          <w:spacing w:val="1"/>
          <w:sz w:val="44"/>
          <w:szCs w:val="44"/>
        </w:rPr>
        <w:t>项目支出绩效自评报告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cs="仿宋"/>
          <w:sz w:val="32"/>
          <w:szCs w:val="32"/>
        </w:rPr>
        <w:t>项目具体目标：</w:t>
      </w:r>
      <w:r>
        <w:rPr>
          <w:rFonts w:hint="eastAsia" w:ascii="仿宋" w:hAnsi="仿宋" w:eastAsia="仿宋"/>
          <w:kern w:val="0"/>
          <w:sz w:val="32"/>
          <w:szCs w:val="32"/>
          <w:lang w:val="en-US" w:eastAsia="zh-CN"/>
        </w:rPr>
        <w:t>按年度计划完成2022年度征地任务，全力保障土地、安置及青苗等各类补偿款足额支付到位。</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1388.2</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spacing w:before="0" w:after="0" w:line="360" w:lineRule="auto"/>
        <w:ind w:firstLine="640" w:firstLineChars="200"/>
        <w:rPr>
          <w:rFonts w:hint="eastAsia" w:ascii="仿宋" w:hAnsi="仿宋" w:eastAsia="仿宋" w:cs="仿宋"/>
          <w:b w:val="0"/>
          <w:bCs/>
          <w:sz w:val="32"/>
          <w:szCs w:val="32"/>
        </w:rPr>
      </w:pPr>
    </w:p>
    <w:p>
      <w:pPr>
        <w:pStyle w:val="4"/>
        <w:spacing w:before="0" w:after="0" w:line="360" w:lineRule="auto"/>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（一）预算执行进度情况分析</w:t>
      </w:r>
    </w:p>
    <w:p>
      <w:pPr>
        <w:pStyle w:val="4"/>
        <w:spacing w:before="0" w:after="0" w:line="360" w:lineRule="auto"/>
        <w:ind w:firstLine="640" w:firstLineChars="200"/>
        <w:rPr>
          <w:rFonts w:hint="eastAsia" w:ascii="仿宋" w:hAnsi="仿宋" w:eastAsia="仿宋" w:cs="仿宋"/>
          <w:b w:val="0"/>
          <w:bCs/>
          <w:sz w:val="32"/>
          <w:szCs w:val="32"/>
          <w:lang w:val="en-US" w:eastAsia="zh-CN"/>
        </w:rPr>
      </w:pPr>
      <w:r>
        <w:rPr>
          <w:rFonts w:hint="eastAsia" w:ascii="仿宋" w:hAnsi="仿宋" w:eastAsia="仿宋" w:cs="仿宋"/>
          <w:b w:val="0"/>
          <w:bCs/>
          <w:sz w:val="32"/>
          <w:szCs w:val="32"/>
        </w:rPr>
        <w:t>项目</w:t>
      </w:r>
      <w:r>
        <w:rPr>
          <w:rFonts w:hint="eastAsia" w:ascii="仿宋" w:hAnsi="仿宋" w:eastAsia="仿宋" w:cs="仿宋"/>
          <w:b w:val="0"/>
          <w:bCs/>
          <w:sz w:val="32"/>
          <w:szCs w:val="32"/>
          <w:lang w:eastAsia="zh-CN"/>
        </w:rPr>
        <w:t>全年预算资</w:t>
      </w:r>
      <w:r>
        <w:rPr>
          <w:rFonts w:hint="eastAsia" w:ascii="仿宋" w:hAnsi="仿宋" w:eastAsia="仿宋" w:cs="仿宋"/>
          <w:b w:val="0"/>
          <w:bCs/>
          <w:sz w:val="32"/>
          <w:szCs w:val="32"/>
        </w:rPr>
        <w:t>金为</w:t>
      </w:r>
      <w:r>
        <w:rPr>
          <w:rFonts w:hint="eastAsia" w:ascii="仿宋" w:hAnsi="仿宋" w:eastAsia="仿宋" w:cs="仿宋"/>
          <w:b w:val="0"/>
          <w:bCs/>
          <w:sz w:val="32"/>
          <w:szCs w:val="32"/>
          <w:lang w:val="en-US" w:eastAsia="zh-CN"/>
        </w:rPr>
        <w:t>1388.2</w:t>
      </w:r>
      <w:r>
        <w:rPr>
          <w:rFonts w:hint="eastAsia" w:ascii="仿宋" w:hAnsi="仿宋" w:eastAsia="仿宋" w:cs="仿宋"/>
          <w:b w:val="0"/>
          <w:bCs/>
          <w:sz w:val="32"/>
          <w:szCs w:val="32"/>
        </w:rPr>
        <w:t>万元，资金实际支付为</w:t>
      </w:r>
      <w:r>
        <w:rPr>
          <w:rFonts w:hint="eastAsia" w:ascii="仿宋" w:hAnsi="仿宋" w:eastAsia="仿宋" w:cs="仿宋"/>
          <w:b w:val="0"/>
          <w:bCs/>
          <w:sz w:val="32"/>
          <w:szCs w:val="32"/>
          <w:lang w:val="en-US" w:eastAsia="zh-CN"/>
        </w:rPr>
        <w:t>1388.2</w:t>
      </w:r>
      <w:r>
        <w:rPr>
          <w:rFonts w:hint="eastAsia" w:ascii="仿宋" w:hAnsi="仿宋" w:eastAsia="仿宋" w:cs="仿宋"/>
          <w:b w:val="0"/>
          <w:bCs/>
          <w:sz w:val="32"/>
          <w:szCs w:val="32"/>
        </w:rPr>
        <w:t>万元，</w:t>
      </w:r>
      <w:r>
        <w:rPr>
          <w:rFonts w:hint="eastAsia" w:ascii="仿宋" w:hAnsi="仿宋" w:eastAsia="仿宋"/>
          <w:b w:val="0"/>
          <w:bCs/>
          <w:kern w:val="0"/>
          <w:sz w:val="32"/>
          <w:szCs w:val="32"/>
          <w:lang w:val="en-US" w:eastAsia="zh-CN"/>
        </w:rPr>
        <w:t>预算执行率100%。</w:t>
      </w:r>
      <w:r>
        <w:rPr>
          <w:rFonts w:hint="eastAsia" w:ascii="仿宋" w:hAnsi="仿宋" w:eastAsia="仿宋" w:cs="仿宋"/>
          <w:b w:val="0"/>
          <w:bCs/>
          <w:sz w:val="32"/>
          <w:szCs w:val="32"/>
        </w:rPr>
        <w:t>资金开支范围、标准及支付进度严格按照规定，支付</w:t>
      </w:r>
      <w:r>
        <w:rPr>
          <w:rFonts w:hint="eastAsia" w:ascii="仿宋" w:hAnsi="仿宋" w:eastAsia="仿宋" w:cs="仿宋"/>
          <w:b w:val="0"/>
          <w:bCs/>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kern w:val="0"/>
          <w:sz w:val="32"/>
          <w:szCs w:val="32"/>
          <w:lang w:val="en-US" w:eastAsia="zh-CN"/>
        </w:rPr>
      </w:pPr>
      <w:r>
        <w:rPr>
          <w:rFonts w:hint="eastAsia" w:ascii="仿宋" w:hAnsi="仿宋" w:eastAsia="仿宋"/>
          <w:kern w:val="0"/>
          <w:sz w:val="32"/>
          <w:szCs w:val="32"/>
          <w:lang w:val="en-US" w:eastAsia="zh-CN"/>
        </w:rPr>
        <w:t>基本完成了年度征地计划任务。</w:t>
      </w:r>
    </w:p>
    <w:p>
      <w:pPr>
        <w:pageBreakBefore w:val="0"/>
        <w:widowControl/>
        <w:numPr>
          <w:ilvl w:val="0"/>
          <w:numId w:val="1"/>
        </w:numPr>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绩效指标完成情况分析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lang w:val="en-US" w:eastAsia="zh-CN"/>
        </w:rPr>
      </w:pPr>
      <w:r>
        <w:rPr>
          <w:rFonts w:hint="eastAsia" w:ascii="仿宋" w:hAnsi="仿宋" w:eastAsia="仿宋"/>
          <w:kern w:val="0"/>
          <w:sz w:val="32"/>
          <w:szCs w:val="32"/>
          <w:lang w:val="en-US" w:eastAsia="zh-CN"/>
        </w:rPr>
        <w:t>按年度征地计划完成征租地，保障各类项目用地，对符合征地补偿条件的补偿款支付到位。</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3"/>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b w:val="0"/>
          <w:bCs/>
          <w:kern w:val="0"/>
          <w:sz w:val="32"/>
          <w:szCs w:val="32"/>
          <w:lang w:val="en-US" w:eastAsia="zh-CN"/>
        </w:rPr>
      </w:pPr>
      <w:r>
        <w:rPr>
          <w:rFonts w:hint="eastAsia" w:ascii="仿宋" w:hAnsi="仿宋" w:eastAsia="仿宋"/>
          <w:b w:val="0"/>
          <w:bCs/>
          <w:kern w:val="0"/>
          <w:sz w:val="32"/>
          <w:szCs w:val="32"/>
          <w:lang w:val="en-US" w:eastAsia="zh-CN"/>
        </w:rPr>
        <w:t>征地拆迁推动了相关项目建设进度，提升城乡建设发展，改善了征迁对象居住环境和家庭收入，征迁群众满意率提高。</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4</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附件：1.2022年度</w:t>
      </w:r>
      <w:r>
        <w:rPr>
          <w:rFonts w:hint="eastAsia" w:ascii="仿宋" w:hAnsi="仿宋" w:eastAsia="仿宋" w:cs="仿宋"/>
          <w:kern w:val="0"/>
          <w:sz w:val="32"/>
          <w:szCs w:val="32"/>
          <w:lang w:eastAsia="zh-CN"/>
        </w:rPr>
        <w:t>征地拆迁</w:t>
      </w:r>
      <w:r>
        <w:rPr>
          <w:rFonts w:hint="eastAsia" w:ascii="仿宋" w:hAnsi="仿宋" w:eastAsia="仿宋" w:cs="仿宋"/>
          <w:spacing w:val="1"/>
          <w:sz w:val="32"/>
          <w:szCs w:val="32"/>
        </w:rPr>
        <w:t>项目</w:t>
      </w:r>
      <w:r>
        <w:rPr>
          <w:rFonts w:hint="eastAsia" w:ascii="仿宋" w:hAnsi="仿宋" w:eastAsia="仿宋" w:cs="仿宋"/>
          <w:b w:val="0"/>
          <w:bCs w:val="0"/>
          <w:sz w:val="32"/>
          <w:szCs w:val="32"/>
        </w:rPr>
        <w:t>绩效目标自评表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lang w:eastAsia="zh-CN"/>
        </w:rPr>
        <w:t>征地拆迁</w:t>
      </w:r>
      <w:r>
        <w:rPr>
          <w:rFonts w:hint="eastAsia" w:ascii="仿宋" w:hAnsi="仿宋" w:eastAsia="仿宋" w:cs="仿宋"/>
          <w:spacing w:val="1"/>
          <w:sz w:val="32"/>
          <w:szCs w:val="32"/>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pStyle w:val="2"/>
        <w:rPr>
          <w:rFonts w:hint="eastAsia"/>
        </w:rPr>
      </w:pPr>
    </w:p>
    <w:p>
      <w:pPr>
        <w:pStyle w:val="2"/>
        <w:rPr>
          <w:rFonts w:hint="eastAsia" w:ascii="仿宋" w:hAnsi="仿宋" w:eastAsia="仿宋" w:cs="仿宋"/>
          <w:b/>
          <w:kern w:val="44"/>
          <w:sz w:val="32"/>
          <w:szCs w:val="32"/>
        </w:rPr>
      </w:pPr>
    </w:p>
    <w:p>
      <w:pPr>
        <w:rPr>
          <w:rFonts w:hint="eastAsia" w:ascii="仿宋" w:hAnsi="仿宋" w:eastAsia="仿宋" w:cs="仿宋"/>
          <w:b/>
          <w:kern w:val="44"/>
          <w:sz w:val="32"/>
          <w:szCs w:val="32"/>
        </w:rPr>
      </w:pPr>
    </w:p>
    <w:p>
      <w:pPr>
        <w:pStyle w:val="2"/>
        <w:rPr>
          <w:rFonts w:hint="eastAsia" w:ascii="仿宋" w:hAnsi="仿宋" w:eastAsia="仿宋" w:cs="仿宋"/>
          <w:b/>
          <w:kern w:val="44"/>
          <w:sz w:val="32"/>
          <w:szCs w:val="32"/>
        </w:rPr>
      </w:pPr>
    </w:p>
    <w:p>
      <w:pPr>
        <w:rPr>
          <w:rFonts w:hint="eastAsia" w:ascii="仿宋" w:hAnsi="仿宋" w:eastAsia="仿宋" w:cs="仿宋"/>
          <w:b/>
          <w:kern w:val="44"/>
          <w:sz w:val="32"/>
          <w:szCs w:val="32"/>
        </w:rPr>
      </w:pPr>
    </w:p>
    <w:p>
      <w:pPr>
        <w:pStyle w:val="2"/>
        <w:rPr>
          <w:rFonts w:hint="eastAsia" w:ascii="仿宋" w:hAnsi="仿宋" w:eastAsia="仿宋" w:cs="仿宋"/>
          <w:b/>
          <w:kern w:val="44"/>
          <w:sz w:val="32"/>
          <w:szCs w:val="32"/>
        </w:rPr>
      </w:pP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
        <w:gridCol w:w="498"/>
        <w:gridCol w:w="868"/>
        <w:gridCol w:w="1645"/>
        <w:gridCol w:w="1162"/>
        <w:gridCol w:w="1067"/>
        <w:gridCol w:w="825"/>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000" w:type="pct"/>
            <w:gridSpan w:val="8"/>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征地拆迁</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8"/>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754"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征地拆迁费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8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45" w:type="pct"/>
            <w:gridSpan w:val="3"/>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1388.2</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1388.2</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1388.2</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1388.2</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lang w:val="en-US" w:eastAsia="zh-CN"/>
              </w:rPr>
              <w:t>100</w:t>
            </w:r>
            <w:r>
              <w:rPr>
                <w:rFonts w:hint="eastAsia" w:ascii="Times New Roman" w:hAnsi="Times New Roman" w:eastAsia="宋体" w:cs="Times New Roman"/>
                <w:color w:val="000000"/>
                <w:kern w:val="2"/>
                <w:sz w:val="16"/>
                <w:szCs w:val="1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gridSpan w:val="3"/>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96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6"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8"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按计划完成征地，保障土地安置及青苗补偿到位</w:t>
            </w:r>
          </w:p>
        </w:tc>
        <w:tc>
          <w:tcPr>
            <w:tcW w:w="2106"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全年完成征租地1841亩，搬迁坟墓92座，拆迁房屋304户，符合征地补偿条件的补偿款已支付到位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2"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完成计划内征租地面积</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征租地1841亩，房屋304户，坟墓92座</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征迁项目各类补偿款及时兑现</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在2022年度底前按项目实施计划完成土地、房屋拆迁，完成各项补偿款的支付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个别项目遗留问题多且复杂，未按时完成征迁任务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改善征迁对象居住环境和家庭收入</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推动征迁项目顺利实施，促进相关项目建设进度，提升城乡建设发展</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eastAsia"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加快对城区建设发展可持续性影响</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2"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8"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提高征迁群众的满意度</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95%以上</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99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5" w:type="pct"/>
            <w:gridSpan w:val="7"/>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8"/>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8"/>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rPr>
          <w:rFonts w:hint="eastAsia" w:ascii="仿宋" w:hAnsi="仿宋" w:eastAsia="仿宋" w:cs="仿宋"/>
          <w:b/>
          <w:kern w:val="44"/>
          <w:sz w:val="32"/>
          <w:szCs w:val="32"/>
        </w:rPr>
        <w:sectPr>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黑体" w:cs="Times New Roman"/>
          <w:kern w:val="2"/>
          <w:sz w:val="21"/>
          <w:szCs w:val="24"/>
          <w:lang w:val="en-US"/>
        </w:rPr>
      </w:pP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年度征地拆迁项目支出绩效评价指标体系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6"/>
        <w:gridCol w:w="397"/>
        <w:gridCol w:w="566"/>
        <w:gridCol w:w="694"/>
        <w:gridCol w:w="1185"/>
        <w:gridCol w:w="1018"/>
        <w:gridCol w:w="1415"/>
        <w:gridCol w:w="1134"/>
        <w:gridCol w:w="709"/>
        <w:gridCol w:w="522"/>
        <w:gridCol w:w="454"/>
        <w:gridCol w:w="567"/>
        <w:gridCol w:w="584"/>
        <w:gridCol w:w="3782"/>
        <w:gridCol w:w="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45"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45"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45"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45"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配套性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项目建成后相关工程、点位是否相关协调，配套设施是否整体协调，是否全面衔接发挥整体效益</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差</w:t>
            </w: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w:t>
            </w: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好</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重点查看区域内建设规划在空间分布、功能配套整合、土地利用等方面是否存在明显有违常理，不科学合理的情况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50%</w:t>
            </w:r>
          </w:p>
        </w:tc>
        <w:tc>
          <w:tcPr>
            <w:tcW w:w="1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2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工业产业（包括技术改造）</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利税增长率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项目实施单位利税增长情况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指标分值（利税增长率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评价年度前三年利税平均增长率（不含评价当年，不足三年按实际存续年限计算）</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项目投产后回报情况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指标得分（投资回报率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投资回报率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项目年新增利税额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项目投入资金总额</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企业运用资产为社会创造价值的能力</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社会贡献额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工资总额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主营业务税金及附加</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利润总额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五险一金</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（期初资产总额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期末资产总额）</w:t>
            </w:r>
            <w:r>
              <w:rPr>
                <w:rFonts w:hint="default" w:ascii="Times New Roman" w:hAnsi="Times New Roman" w:eastAsia="仿宋_GB2312" w:cs="Times New Roman"/>
                <w:kern w:val="0"/>
                <w:sz w:val="18"/>
                <w:szCs w:val="18"/>
                <w:lang w:val="en-US" w:eastAsia="zh-CN" w:bidi="ar"/>
              </w:rPr>
              <w:t>/2</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企业就业人数增量变化</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计算，负值按</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就业贡献率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企业三年平均新增就业人数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行业新增就业总人数</w:t>
            </w:r>
            <w:r>
              <w:rPr>
                <w:rFonts w:hint="default" w:ascii="Times New Roman" w:hAnsi="Times New Roman" w:eastAsia="仿宋_GB2312" w:cs="Times New Roman"/>
                <w:kern w:val="0"/>
                <w:sz w:val="18"/>
                <w:szCs w:val="18"/>
                <w:lang w:val="en-US" w:eastAsia="zh-CN" w:bidi="ar"/>
              </w:rPr>
              <w:t>×100%</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农业产业（包括林业产业）</w:t>
            </w:r>
          </w:p>
        </w:tc>
        <w:tc>
          <w:tcPr>
            <w:tcW w:w="41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经济效益</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增加值提升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项目实施涉及产值增长情况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三年产值平均增长率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产值增长率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当年涉农产值增量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上一年度涉农产值总量</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重点查看项目实施区域涉农增加值变动情况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年均收入变动率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项目实施后农户收入变动情况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指标分值（三年人均年收入增长率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标准值负值为</w:t>
            </w:r>
            <w:r>
              <w:rPr>
                <w:rFonts w:hint="default" w:ascii="Times New Roman" w:hAnsi="Times New Roman" w:eastAsia="仿宋_GB2312" w:cs="Times New Roman"/>
                <w:kern w:val="0"/>
                <w:sz w:val="18"/>
                <w:szCs w:val="18"/>
                <w:lang w:val="en-US" w:eastAsia="zh-CN" w:bidi="ar"/>
              </w:rPr>
              <w:t>0</w:t>
            </w:r>
            <w:r>
              <w:rPr>
                <w:rFonts w:hint="eastAsia" w:ascii="Times New Roman" w:hAnsi="Times New Roman" w:eastAsia="仿宋_GB2312" w:cs="仿宋_GB2312"/>
                <w:kern w:val="0"/>
                <w:sz w:val="18"/>
                <w:szCs w:val="18"/>
                <w:lang w:val="en-US" w:eastAsia="zh-CN" w:bidi="ar"/>
              </w:rPr>
              <w:t>，＞</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按</w:t>
            </w: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计算）</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人均年收入增长率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（项目实施后人均年收入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项目实施前人均年收入</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重点查看三年来农民人均年收入增长变化情况</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从业带动能力</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项目带动周边从事相关行业情况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三年平均新增带动就业户数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通过实地走访、调研、收集带动就业户数相关基础数据进行对比分析</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1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bl>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宋体" w:cs="Times New Roman"/>
          <w:b/>
          <w:bCs/>
          <w:kern w:val="2"/>
          <w:sz w:val="24"/>
          <w:szCs w:val="24"/>
          <w:lang w:val="en-US"/>
        </w:rPr>
      </w:pPr>
      <w:r>
        <w:rPr>
          <w:rFonts w:hint="eastAsia" w:ascii="Times New Roman" w:hAnsi="Times New Roman" w:eastAsia="楷体_GB2312" w:cs="楷体_GB2312"/>
          <w:b/>
          <w:bCs/>
          <w:kern w:val="2"/>
          <w:sz w:val="24"/>
          <w:szCs w:val="24"/>
          <w:lang w:val="en-US" w:eastAsia="zh-CN" w:bidi="ar"/>
        </w:rPr>
        <w:t>相关说明：</w:t>
      </w:r>
    </w:p>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sectPr>
          <w:pgSz w:w="16838" w:h="11906" w:orient="landscape"/>
          <w:pgMar w:top="1800" w:right="1440" w:bottom="1800" w:left="1440" w:header="708" w:footer="708" w:gutter="0"/>
          <w:pgNumType w:fmt="decimal"/>
          <w:cols w:space="708" w:num="1"/>
          <w:docGrid w:linePitch="360" w:charSpace="0"/>
        </w:sectPr>
      </w:pPr>
    </w:p>
    <w:p>
      <w:pPr>
        <w:pageBreakBefore w:val="0"/>
        <w:widowControl/>
        <w:kinsoku w:val="0"/>
        <w:wordWrap/>
        <w:overflowPunct w:val="0"/>
        <w:topLinePunct w:val="0"/>
        <w:autoSpaceDE/>
        <w:autoSpaceDN/>
        <w:bidi w:val="0"/>
        <w:adjustRightInd w:val="0"/>
        <w:snapToGrid w:val="0"/>
        <w:spacing w:line="560" w:lineRule="exact"/>
        <w:ind w:firstLine="2652" w:firstLineChars="600"/>
        <w:jc w:val="both"/>
        <w:textAlignment w:val="auto"/>
        <w:rPr>
          <w:rFonts w:hint="eastAsia" w:ascii="黑体" w:hAnsi="黑体" w:eastAsia="黑体" w:cs="黑体"/>
          <w:spacing w:val="1"/>
          <w:sz w:val="44"/>
          <w:szCs w:val="44"/>
          <w:lang w:eastAsia="zh-CN"/>
        </w:rPr>
      </w:pPr>
      <w:r>
        <w:rPr>
          <w:rFonts w:hint="eastAsia" w:ascii="黑体" w:hAnsi="黑体" w:eastAsia="黑体" w:cs="黑体"/>
          <w:spacing w:val="1"/>
          <w:sz w:val="44"/>
          <w:szCs w:val="44"/>
        </w:rPr>
        <w:t>沐川县</w:t>
      </w:r>
      <w:r>
        <w:rPr>
          <w:rFonts w:hint="eastAsia" w:ascii="黑体" w:hAnsi="黑体" w:eastAsia="黑体" w:cs="黑体"/>
          <w:spacing w:val="1"/>
          <w:sz w:val="44"/>
          <w:szCs w:val="44"/>
          <w:lang w:eastAsia="zh-CN"/>
        </w:rPr>
        <w:t>自然资源局</w:t>
      </w:r>
    </w:p>
    <w:p>
      <w:pPr>
        <w:pageBreakBefore w:val="0"/>
        <w:widowControl/>
        <w:kinsoku w:val="0"/>
        <w:wordWrap/>
        <w:overflowPunct w:val="0"/>
        <w:topLinePunct w:val="0"/>
        <w:autoSpaceDE/>
        <w:autoSpaceDN/>
        <w:bidi w:val="0"/>
        <w:adjustRightInd w:val="0"/>
        <w:snapToGrid w:val="0"/>
        <w:spacing w:line="560" w:lineRule="exact"/>
        <w:ind w:left="2640" w:hanging="2640" w:hangingChars="600"/>
        <w:jc w:val="both"/>
        <w:textAlignment w:val="auto"/>
        <w:rPr>
          <w:rFonts w:hint="eastAsia" w:ascii="黑体" w:hAnsi="黑体" w:eastAsia="黑体" w:cs="黑体"/>
          <w:spacing w:val="1"/>
          <w:sz w:val="44"/>
          <w:szCs w:val="44"/>
        </w:rPr>
      </w:pPr>
      <w:r>
        <w:rPr>
          <w:rFonts w:hint="eastAsia" w:ascii="黑体" w:hAnsi="黑体" w:eastAsia="黑体" w:cs="黑体"/>
          <w:kern w:val="0"/>
          <w:sz w:val="44"/>
          <w:szCs w:val="44"/>
        </w:rPr>
        <w:t>农村房地一体和集体建设用地使用权确登记</w:t>
      </w:r>
      <w:r>
        <w:rPr>
          <w:rFonts w:hint="eastAsia" w:ascii="黑体" w:hAnsi="黑体" w:eastAsia="黑体" w:cs="黑体"/>
          <w:spacing w:val="1"/>
          <w:sz w:val="44"/>
          <w:szCs w:val="44"/>
        </w:rPr>
        <w:t>项目支出绩效自评报告</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一、项目基本情况</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cs="仿宋"/>
          <w:b w:val="0"/>
          <w:bCs/>
          <w:sz w:val="32"/>
          <w:szCs w:val="32"/>
        </w:rPr>
      </w:pPr>
      <w:r>
        <w:rPr>
          <w:rFonts w:hint="eastAsia" w:ascii="楷体" w:hAnsi="楷体" w:eastAsia="楷体" w:cs="楷体"/>
          <w:b w:val="0"/>
          <w:bCs/>
          <w:sz w:val="32"/>
          <w:szCs w:val="32"/>
        </w:rPr>
        <w:t>（一）绩效目标情况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 w:hAnsi="仿宋" w:eastAsia="仿宋" w:cs="仿宋"/>
          <w:kern w:val="0"/>
          <w:sz w:val="32"/>
          <w:szCs w:val="32"/>
          <w:lang w:eastAsia="zh-CN"/>
        </w:rPr>
      </w:pPr>
      <w:r>
        <w:rPr>
          <w:rFonts w:hint="eastAsia" w:ascii="仿宋" w:hAnsi="仿宋" w:eastAsia="仿宋" w:cs="仿宋"/>
          <w:sz w:val="32"/>
          <w:szCs w:val="32"/>
        </w:rPr>
        <w:t>项目具体目标：</w:t>
      </w:r>
      <w:r>
        <w:rPr>
          <w:rFonts w:hint="eastAsia" w:ascii="仿宋" w:hAnsi="仿宋" w:eastAsia="仿宋"/>
          <w:kern w:val="0"/>
          <w:sz w:val="32"/>
          <w:szCs w:val="32"/>
        </w:rPr>
        <w:t>完成全县境内农村集体土地上约5.6万个不动产登记单位的调查，并分类实施房地一体确权登记</w:t>
      </w:r>
      <w:r>
        <w:rPr>
          <w:rFonts w:hint="eastAsia" w:ascii="仿宋" w:hAnsi="仿宋" w:eastAsia="仿宋"/>
          <w:kern w:val="0"/>
          <w:sz w:val="32"/>
          <w:szCs w:val="32"/>
          <w:lang w:eastAsia="zh-CN"/>
        </w:rPr>
        <w:t>。</w:t>
      </w:r>
    </w:p>
    <w:p>
      <w:pPr>
        <w:pStyle w:val="4"/>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（二）资金安排情况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2022年，项目下达资金批复预算</w:t>
      </w:r>
      <w:r>
        <w:rPr>
          <w:rFonts w:hint="eastAsia" w:ascii="仿宋" w:hAnsi="仿宋" w:eastAsia="仿宋" w:cs="仿宋"/>
          <w:sz w:val="32"/>
          <w:szCs w:val="32"/>
          <w:lang w:val="en-US" w:eastAsia="zh-CN"/>
        </w:rPr>
        <w:t>100</w:t>
      </w:r>
      <w:r>
        <w:rPr>
          <w:rFonts w:hint="eastAsia" w:ascii="仿宋" w:hAnsi="仿宋" w:eastAsia="仿宋" w:cs="仿宋"/>
          <w:sz w:val="32"/>
          <w:szCs w:val="32"/>
        </w:rPr>
        <w:t>万元，此项目资金全部来源于县本级财政资金。</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二、绩效目标完成情况分析</w:t>
      </w:r>
    </w:p>
    <w:p>
      <w:pPr>
        <w:pStyle w:val="4"/>
        <w:pageBreakBefore w:val="0"/>
        <w:widowControl/>
        <w:kinsoku/>
        <w:wordWrap/>
        <w:overflowPunct/>
        <w:topLinePunct w:val="0"/>
        <w:autoSpaceDE/>
        <w:autoSpaceDN/>
        <w:bidi w:val="0"/>
        <w:adjustRightInd w:val="0"/>
        <w:snapToGrid w:val="0"/>
        <w:spacing w:before="0" w:after="0" w:line="560" w:lineRule="exact"/>
        <w:ind w:firstLine="643"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lang w:eastAsia="zh-CN"/>
        </w:rPr>
        <w:t>（一）</w:t>
      </w:r>
      <w:r>
        <w:rPr>
          <w:rFonts w:hint="eastAsia" w:ascii="楷体" w:hAnsi="楷体" w:eastAsia="楷体" w:cs="楷体"/>
          <w:b/>
          <w:bCs w:val="0"/>
          <w:sz w:val="32"/>
          <w:szCs w:val="32"/>
        </w:rPr>
        <w:t>预算执行进度情况分析</w:t>
      </w:r>
    </w:p>
    <w:p>
      <w:pPr>
        <w:widowControl/>
        <w:numPr>
          <w:ilvl w:val="0"/>
          <w:numId w:val="0"/>
        </w:numPr>
        <w:adjustRightInd w:val="0"/>
        <w:snapToGrid w:val="0"/>
        <w:spacing w:line="580" w:lineRule="exact"/>
        <w:ind w:firstLine="640" w:firstLineChars="200"/>
        <w:contextualSpacing/>
        <w:jc w:val="left"/>
        <w:rPr>
          <w:rFonts w:hint="eastAsia" w:ascii="仿宋" w:hAnsi="仿宋" w:eastAsia="仿宋" w:cs="仿宋"/>
          <w:sz w:val="32"/>
          <w:szCs w:val="32"/>
          <w:lang w:val="en-US" w:eastAsia="zh-CN"/>
        </w:rPr>
      </w:pPr>
      <w:r>
        <w:rPr>
          <w:rFonts w:hint="eastAsia" w:ascii="仿宋" w:hAnsi="仿宋" w:eastAsia="仿宋" w:cs="仿宋"/>
          <w:sz w:val="32"/>
          <w:szCs w:val="32"/>
        </w:rPr>
        <w:t>项目预算批复资金为</w:t>
      </w:r>
      <w:r>
        <w:rPr>
          <w:rFonts w:hint="eastAsia" w:ascii="仿宋" w:hAnsi="仿宋" w:eastAsia="仿宋" w:cs="仿宋"/>
          <w:sz w:val="32"/>
          <w:szCs w:val="32"/>
          <w:lang w:val="en-US" w:eastAsia="zh-CN"/>
        </w:rPr>
        <w:t>100</w:t>
      </w:r>
      <w:r>
        <w:rPr>
          <w:rFonts w:hint="eastAsia" w:ascii="仿宋" w:hAnsi="仿宋" w:eastAsia="仿宋" w:cs="仿宋"/>
          <w:sz w:val="32"/>
          <w:szCs w:val="32"/>
        </w:rPr>
        <w:t>万元，资金实际支付为</w:t>
      </w:r>
      <w:r>
        <w:rPr>
          <w:rFonts w:hint="eastAsia" w:ascii="仿宋" w:hAnsi="仿宋" w:eastAsia="仿宋" w:cs="仿宋"/>
          <w:sz w:val="32"/>
          <w:szCs w:val="32"/>
          <w:lang w:val="en-US" w:eastAsia="zh-CN"/>
        </w:rPr>
        <w:t>100</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资金开支范围、标准及支付进度严格按照规定，支付</w:t>
      </w:r>
      <w:r>
        <w:rPr>
          <w:rFonts w:hint="eastAsia" w:ascii="仿宋" w:hAnsi="仿宋" w:eastAsia="仿宋" w:cs="仿宋"/>
          <w:sz w:val="32"/>
          <w:szCs w:val="32"/>
          <w:lang w:val="en-US" w:eastAsia="zh-CN"/>
        </w:rPr>
        <w:t>依据合规合法，资金支付与预算相符。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（二）总体绩效目标完成情况分析</w:t>
      </w:r>
    </w:p>
    <w:p>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kern w:val="0"/>
          <w:sz w:val="32"/>
          <w:szCs w:val="32"/>
          <w:lang w:eastAsia="zh-CN"/>
        </w:rPr>
      </w:pPr>
      <w:r>
        <w:rPr>
          <w:rFonts w:hint="eastAsia" w:ascii="仿宋" w:hAnsi="仿宋" w:eastAsia="仿宋"/>
          <w:kern w:val="0"/>
          <w:sz w:val="32"/>
          <w:szCs w:val="32"/>
        </w:rPr>
        <w:t>完成全县境内农村集体土地上约5.6万个不动产登记单位的调查，并分类实施房地一体确权登记</w:t>
      </w:r>
      <w:r>
        <w:rPr>
          <w:rFonts w:hint="eastAsia" w:ascii="仿宋" w:hAnsi="仿宋" w:eastAsia="仿宋"/>
          <w:kern w:val="0"/>
          <w:sz w:val="32"/>
          <w:szCs w:val="32"/>
          <w:lang w:eastAsia="zh-CN"/>
        </w:rPr>
        <w:t>，并颁发证书。</w:t>
      </w:r>
    </w:p>
    <w:p>
      <w:pPr>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（三）绩效指标完成情况分析</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kern w:val="0"/>
          <w:sz w:val="32"/>
          <w:szCs w:val="32"/>
          <w:lang w:val="en-US" w:eastAsia="zh-CN"/>
        </w:rPr>
      </w:pPr>
      <w:r>
        <w:rPr>
          <w:rFonts w:hint="eastAsia" w:ascii="仿宋" w:hAnsi="仿宋" w:eastAsia="仿宋"/>
          <w:b w:val="0"/>
          <w:bCs/>
          <w:kern w:val="0"/>
          <w:sz w:val="32"/>
          <w:szCs w:val="32"/>
        </w:rPr>
        <w:t>完成全县境内农村集体土地上约5.6万个不动产登记单位的调查，</w:t>
      </w:r>
      <w:r>
        <w:rPr>
          <w:rFonts w:hint="eastAsia" w:ascii="仿宋" w:hAnsi="仿宋" w:eastAsia="仿宋"/>
          <w:b w:val="0"/>
          <w:bCs/>
          <w:kern w:val="0"/>
          <w:sz w:val="32"/>
          <w:szCs w:val="32"/>
          <w:lang w:eastAsia="zh-CN"/>
        </w:rPr>
        <w:t>地籍调查</w:t>
      </w:r>
      <w:r>
        <w:rPr>
          <w:rFonts w:hint="eastAsia" w:ascii="仿宋" w:hAnsi="仿宋" w:eastAsia="仿宋"/>
          <w:b w:val="0"/>
          <w:bCs/>
          <w:kern w:val="0"/>
          <w:sz w:val="32"/>
          <w:szCs w:val="32"/>
          <w:lang w:val="en-US" w:eastAsia="zh-CN"/>
        </w:rPr>
        <w:t xml:space="preserve">4.6万宗，打印不动产权证书2.4万本，地籍调查数据通过省厅交汇，不动产登记数据库运行正常。  </w:t>
      </w:r>
      <w:r>
        <w:rPr>
          <w:rFonts w:hint="eastAsia" w:ascii="仿宋" w:hAnsi="仿宋" w:eastAsia="仿宋"/>
          <w:kern w:val="0"/>
          <w:sz w:val="32"/>
          <w:szCs w:val="32"/>
          <w:lang w:val="en-US" w:eastAsia="zh-CN"/>
        </w:rPr>
        <w:t xml:space="preserve">      </w:t>
      </w:r>
    </w:p>
    <w:p>
      <w:pPr>
        <w:pStyle w:val="4"/>
        <w:pageBreakBefore w:val="0"/>
        <w:widowControl/>
        <w:numPr>
          <w:ilvl w:val="0"/>
          <w:numId w:val="0"/>
        </w:numPr>
        <w:wordWrap/>
        <w:topLinePunct w:val="0"/>
        <w:autoSpaceDE/>
        <w:autoSpaceDN/>
        <w:bidi w:val="0"/>
        <w:adjustRightInd w:val="0"/>
        <w:snapToGrid w:val="0"/>
        <w:spacing w:before="0" w:after="0" w:line="560" w:lineRule="exact"/>
        <w:ind w:firstLine="643" w:firstLineChars="200"/>
        <w:textAlignment w:val="auto"/>
        <w:rPr>
          <w:rFonts w:hint="eastAsia"/>
        </w:rPr>
      </w:pPr>
      <w:r>
        <w:rPr>
          <w:rFonts w:hint="eastAsia" w:ascii="楷体" w:hAnsi="楷体" w:eastAsia="楷体" w:cs="楷体"/>
          <w:b/>
          <w:bCs w:val="0"/>
          <w:sz w:val="32"/>
          <w:szCs w:val="32"/>
          <w:lang w:eastAsia="zh-CN"/>
        </w:rPr>
        <w:t>（四）</w:t>
      </w:r>
      <w:r>
        <w:rPr>
          <w:rFonts w:hint="eastAsia" w:ascii="楷体" w:hAnsi="楷体" w:eastAsia="楷体" w:cs="楷体"/>
          <w:b/>
          <w:bCs w:val="0"/>
          <w:sz w:val="32"/>
          <w:szCs w:val="32"/>
        </w:rPr>
        <w:t>项目效益分析</w:t>
      </w:r>
    </w:p>
    <w:p>
      <w:pPr>
        <w:pStyle w:val="3"/>
        <w:pageBreakBefore w:val="0"/>
        <w:widowControl/>
        <w:wordWrap/>
        <w:topLinePunct w:val="0"/>
        <w:autoSpaceDE/>
        <w:autoSpaceDN/>
        <w:bidi w:val="0"/>
        <w:adjustRightInd w:val="0"/>
        <w:snapToGrid w:val="0"/>
        <w:spacing w:before="0" w:after="0" w:line="560" w:lineRule="exact"/>
        <w:ind w:firstLine="640" w:firstLineChars="200"/>
        <w:textAlignment w:val="auto"/>
        <w:rPr>
          <w:rFonts w:hint="eastAsia" w:ascii="仿宋" w:hAnsi="仿宋" w:eastAsia="仿宋"/>
          <w:kern w:val="0"/>
          <w:lang w:val="en-US" w:eastAsia="zh-CN"/>
        </w:rPr>
      </w:pPr>
      <w:r>
        <w:rPr>
          <w:rFonts w:hint="eastAsia" w:ascii="仿宋" w:hAnsi="仿宋" w:eastAsia="仿宋"/>
          <w:b w:val="0"/>
          <w:bCs/>
          <w:kern w:val="0"/>
          <w:sz w:val="32"/>
          <w:szCs w:val="32"/>
          <w:lang w:val="en-US" w:eastAsia="zh-CN"/>
        </w:rPr>
        <w:t>通过不动产登记数据库的建立，完善融合了宅基地、集体建设用地和房屋所有权存量数据和增量数据，实现了不动产登记信息数据化。维护了群众合法权益，有效减少了权属纠纷，提高群众满意度。</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三、偏离绩效目标的原因和下一步改进措施</w:t>
      </w:r>
    </w:p>
    <w:p>
      <w:pPr>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四、绩效自评结果拟应用和公开情况</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2022年度项目自评得分为9</w:t>
      </w:r>
      <w:r>
        <w:rPr>
          <w:rFonts w:hint="eastAsia" w:ascii="仿宋" w:hAnsi="仿宋" w:eastAsia="仿宋" w:cs="仿宋"/>
          <w:sz w:val="32"/>
          <w:szCs w:val="32"/>
          <w:lang w:val="en-US" w:eastAsia="zh-CN"/>
        </w:rPr>
        <w:t>5</w:t>
      </w:r>
      <w:r>
        <w:rPr>
          <w:rFonts w:hint="eastAsia" w:ascii="仿宋" w:hAnsi="仿宋" w:eastAsia="仿宋" w:cs="仿宋"/>
          <w:sz w:val="32"/>
          <w:szCs w:val="32"/>
        </w:rPr>
        <w:t>分，绩效目标与预算同步批复、同步公开。</w:t>
      </w:r>
    </w:p>
    <w:p>
      <w:pPr>
        <w:pStyle w:val="3"/>
        <w:pageBreakBefore w:val="0"/>
        <w:widowControl/>
        <w:wordWrap/>
        <w:topLinePunct w:val="0"/>
        <w:autoSpaceDE/>
        <w:autoSpaceDN/>
        <w:bidi w:val="0"/>
        <w:adjustRightInd w:val="0"/>
        <w:snapToGrid w:val="0"/>
        <w:spacing w:before="0" w:after="0" w:line="560" w:lineRule="exact"/>
        <w:ind w:firstLine="643" w:firstLineChars="200"/>
        <w:textAlignment w:val="auto"/>
        <w:rPr>
          <w:rFonts w:hint="eastAsia" w:ascii="黑体" w:hAnsi="黑体" w:eastAsia="黑体" w:cs="黑体"/>
          <w:sz w:val="32"/>
          <w:szCs w:val="32"/>
        </w:rPr>
      </w:pPr>
      <w:r>
        <w:rPr>
          <w:rFonts w:hint="eastAsia" w:ascii="黑体" w:hAnsi="黑体" w:eastAsia="黑体" w:cs="黑体"/>
          <w:sz w:val="32"/>
          <w:szCs w:val="32"/>
        </w:rPr>
        <w:t>五、其他需要说明的问题</w:t>
      </w:r>
    </w:p>
    <w:p>
      <w:pPr>
        <w:pStyle w:val="7"/>
        <w:pageBreakBefore w:val="0"/>
        <w:widowControl/>
        <w:wordWrap/>
        <w:topLinePunct w:val="0"/>
        <w:autoSpaceDE/>
        <w:autoSpaceDN/>
        <w:bidi w:val="0"/>
        <w:adjustRightInd w:val="0"/>
        <w:snapToGrid w:val="0"/>
        <w:spacing w:line="56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rPr>
        <w:t>无</w:t>
      </w:r>
    </w:p>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附件：1.2022年度</w:t>
      </w:r>
      <w:r>
        <w:rPr>
          <w:rFonts w:hint="eastAsia" w:ascii="仿宋" w:hAnsi="仿宋" w:eastAsia="仿宋" w:cs="仿宋"/>
          <w:kern w:val="0"/>
          <w:sz w:val="32"/>
          <w:szCs w:val="32"/>
        </w:rPr>
        <w:t>农村房地一体和集体建设用地使用权确权登记</w:t>
      </w:r>
      <w:r>
        <w:rPr>
          <w:rFonts w:hint="eastAsia" w:ascii="仿宋" w:hAnsi="仿宋" w:eastAsia="仿宋" w:cs="仿宋"/>
          <w:spacing w:val="1"/>
          <w:sz w:val="32"/>
          <w:szCs w:val="32"/>
        </w:rPr>
        <w:t>项目</w:t>
      </w:r>
      <w:r>
        <w:rPr>
          <w:rFonts w:hint="eastAsia" w:ascii="仿宋" w:hAnsi="仿宋" w:eastAsia="仿宋" w:cs="仿宋"/>
          <w:b w:val="0"/>
          <w:bCs w:val="0"/>
          <w:sz w:val="32"/>
          <w:szCs w:val="32"/>
        </w:rPr>
        <w:t>绩效目标自评表</w:t>
      </w:r>
    </w:p>
    <w:p>
      <w:pPr>
        <w:pStyle w:val="7"/>
        <w:pageBreakBefore w:val="0"/>
        <w:widowControl/>
        <w:wordWrap/>
        <w:topLinePunct w:val="0"/>
        <w:autoSpaceDE/>
        <w:autoSpaceDN/>
        <w:bidi w:val="0"/>
        <w:adjustRightInd w:val="0"/>
        <w:snapToGrid w:val="0"/>
        <w:spacing w:line="560" w:lineRule="exact"/>
        <w:ind w:left="660" w:leftChars="300" w:firstLine="960" w:firstLineChars="300"/>
        <w:jc w:val="both"/>
        <w:textAlignment w:val="auto"/>
        <w:rPr>
          <w:rFonts w:hint="eastAsia" w:ascii="仿宋" w:hAnsi="仿宋" w:eastAsia="仿宋" w:cs="仿宋"/>
          <w:sz w:val="32"/>
          <w:szCs w:val="32"/>
        </w:rPr>
      </w:pPr>
      <w:r>
        <w:rPr>
          <w:rFonts w:hint="eastAsia" w:ascii="仿宋" w:hAnsi="仿宋" w:eastAsia="仿宋" w:cs="仿宋"/>
          <w:b w:val="0"/>
          <w:bCs w:val="0"/>
          <w:sz w:val="32"/>
          <w:szCs w:val="32"/>
        </w:rPr>
        <w:t>2.2022年度</w:t>
      </w:r>
      <w:r>
        <w:rPr>
          <w:rFonts w:hint="eastAsia" w:ascii="仿宋" w:hAnsi="仿宋" w:eastAsia="仿宋" w:cs="仿宋"/>
          <w:kern w:val="0"/>
          <w:sz w:val="32"/>
          <w:szCs w:val="32"/>
        </w:rPr>
        <w:t>农村房地一体和集体建设用地使用权确权登记</w:t>
      </w:r>
      <w:r>
        <w:rPr>
          <w:rFonts w:hint="eastAsia" w:ascii="仿宋" w:hAnsi="仿宋" w:eastAsia="仿宋" w:cs="仿宋"/>
          <w:spacing w:val="1"/>
          <w:sz w:val="32"/>
          <w:szCs w:val="32"/>
        </w:rPr>
        <w:t>项目</w:t>
      </w:r>
      <w:r>
        <w:rPr>
          <w:rFonts w:hint="eastAsia" w:ascii="仿宋" w:hAnsi="仿宋" w:eastAsia="仿宋" w:cs="仿宋"/>
          <w:b w:val="0"/>
          <w:bCs w:val="0"/>
          <w:sz w:val="32"/>
          <w:szCs w:val="32"/>
        </w:rPr>
        <w:t>支出绩效评价自评得分表</w:t>
      </w:r>
    </w:p>
    <w:p>
      <w:pPr>
        <w:pStyle w:val="2"/>
        <w:pageBreakBefore w:val="0"/>
        <w:widowControl/>
        <w:wordWrap/>
        <w:topLinePunct w:val="0"/>
        <w:autoSpaceDE/>
        <w:autoSpaceDN/>
        <w:bidi w:val="0"/>
        <w:adjustRightInd w:val="0"/>
        <w:snapToGrid w:val="0"/>
        <w:spacing w:line="560" w:lineRule="exact"/>
        <w:ind w:right="320" w:firstLine="640" w:firstLineChars="200"/>
        <w:jc w:val="right"/>
        <w:textAlignment w:val="auto"/>
        <w:rPr>
          <w:rFonts w:hint="eastAsia" w:ascii="仿宋" w:hAnsi="仿宋" w:eastAsia="仿宋" w:cs="仿宋"/>
          <w:sz w:val="32"/>
          <w:szCs w:val="32"/>
          <w:lang w:eastAsia="zh-CN"/>
        </w:rPr>
      </w:pPr>
      <w:r>
        <w:rPr>
          <w:rFonts w:hint="eastAsia" w:ascii="仿宋" w:hAnsi="仿宋" w:eastAsia="仿宋" w:cs="仿宋"/>
          <w:sz w:val="32"/>
          <w:szCs w:val="32"/>
        </w:rPr>
        <w:t>沐川县</w:t>
      </w:r>
      <w:r>
        <w:rPr>
          <w:rFonts w:hint="eastAsia" w:ascii="仿宋" w:hAnsi="仿宋" w:eastAsia="仿宋" w:cs="仿宋"/>
          <w:sz w:val="32"/>
          <w:szCs w:val="32"/>
          <w:lang w:eastAsia="zh-CN"/>
        </w:rPr>
        <w:t>自然资源局</w:t>
      </w:r>
    </w:p>
    <w:p>
      <w:pPr>
        <w:pStyle w:val="7"/>
        <w:pageBreakBefore w:val="0"/>
        <w:widowControl/>
        <w:wordWrap/>
        <w:topLinePunct w:val="0"/>
        <w:autoSpaceDE/>
        <w:autoSpaceDN/>
        <w:bidi w:val="0"/>
        <w:adjustRightInd w:val="0"/>
        <w:snapToGrid w:val="0"/>
        <w:spacing w:line="560" w:lineRule="exact"/>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2023年7月12日</w:t>
      </w:r>
    </w:p>
    <w:p>
      <w:pPr>
        <w:widowControl w:val="0"/>
        <w:adjustRightInd/>
        <w:snapToGrid/>
        <w:spacing w:after="0" w:line="520" w:lineRule="exact"/>
        <w:jc w:val="both"/>
        <w:rPr>
          <w:rFonts w:ascii="Times New Roman" w:hAnsi="Times New Roman" w:eastAsia="黑体" w:cs="Times New Roman"/>
          <w:kern w:val="2"/>
          <w:sz w:val="32"/>
          <w:szCs w:val="32"/>
        </w:rPr>
      </w:pPr>
      <w:r>
        <w:rPr>
          <w:rFonts w:ascii="黑体" w:hAnsi="黑体" w:eastAsia="黑体" w:cs="Times New Roman"/>
          <w:kern w:val="2"/>
          <w:sz w:val="32"/>
          <w:szCs w:val="32"/>
        </w:rPr>
        <w:t>附件</w:t>
      </w:r>
      <w:r>
        <w:rPr>
          <w:rFonts w:ascii="Times New Roman" w:hAnsi="Times New Roman" w:eastAsia="黑体" w:cs="Times New Roman"/>
          <w:kern w:val="2"/>
          <w:sz w:val="32"/>
          <w:szCs w:val="32"/>
        </w:rPr>
        <w:t>1</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499"/>
        <w:gridCol w:w="862"/>
        <w:gridCol w:w="395"/>
        <w:gridCol w:w="1253"/>
        <w:gridCol w:w="1162"/>
        <w:gridCol w:w="1067"/>
        <w:gridCol w:w="826"/>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9"/>
            <w:tcBorders>
              <w:top w:val="nil"/>
              <w:left w:val="nil"/>
              <w:bottom w:val="nil"/>
              <w:right w:val="nil"/>
            </w:tcBorders>
            <w:vAlign w:val="center"/>
          </w:tcPr>
          <w:p>
            <w:pPr>
              <w:widowControl/>
              <w:adjustRightInd/>
              <w:snapToGrid/>
              <w:spacing w:after="0" w:line="440" w:lineRule="exact"/>
              <w:jc w:val="center"/>
              <w:textAlignment w:val="center"/>
              <w:rPr>
                <w:rFonts w:ascii="Times New Roman" w:hAnsi="Times New Roman" w:eastAsia="方正小标宋简体" w:cs="Times New Roman"/>
                <w:color w:val="000000"/>
                <w:kern w:val="2"/>
                <w:sz w:val="32"/>
                <w:szCs w:val="32"/>
              </w:rPr>
            </w:pPr>
            <w:r>
              <w:rPr>
                <w:rFonts w:hint="eastAsia" w:ascii="Times New Roman" w:hAnsi="Times New Roman" w:cs="Times New Roman" w:eastAsiaTheme="minorEastAsia"/>
                <w:color w:val="000000"/>
                <w:kern w:val="0"/>
                <w:sz w:val="32"/>
                <w:szCs w:val="32"/>
              </w:rPr>
              <w:t>农村房地一体和集体建设用地使用权确权登记</w:t>
            </w:r>
            <w:r>
              <w:rPr>
                <w:rFonts w:hint="eastAsia" w:ascii="宋体" w:hAnsi="宋体" w:eastAsia="宋体" w:cs="宋体"/>
                <w:color w:val="000000"/>
                <w:kern w:val="0"/>
                <w:sz w:val="32"/>
                <w:szCs w:val="32"/>
              </w:rPr>
              <w:t>项目（政策）绩效目标自评表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5000" w:type="pct"/>
            <w:gridSpan w:val="9"/>
            <w:tcBorders>
              <w:top w:val="nil"/>
              <w:left w:val="nil"/>
              <w:bottom w:val="single" w:color="auto" w:sz="4" w:space="0"/>
              <w:right w:val="nil"/>
            </w:tcBorders>
          </w:tcPr>
          <w:p>
            <w:pPr>
              <w:widowControl/>
              <w:adjustRightInd/>
              <w:snapToGrid/>
              <w:spacing w:after="0" w:line="320" w:lineRule="exact"/>
              <w:jc w:val="center"/>
              <w:textAlignment w:val="top"/>
              <w:rPr>
                <w:rFonts w:ascii="Times New Roman" w:hAnsi="Times New Roman" w:eastAsia="宋体" w:cs="Times New Roman"/>
                <w:color w:val="000000"/>
                <w:kern w:val="2"/>
                <w:sz w:val="22"/>
                <w:szCs w:val="22"/>
              </w:rPr>
            </w:pPr>
            <w:r>
              <w:rPr>
                <w:rFonts w:ascii="宋体" w:hAnsi="宋体" w:eastAsia="宋体" w:cs="Times New Roman"/>
                <w:color w:val="000000"/>
                <w:kern w:val="0"/>
                <w:sz w:val="22"/>
                <w:szCs w:val="22"/>
              </w:rPr>
              <w:t>（</w:t>
            </w:r>
            <w:r>
              <w:rPr>
                <w:rFonts w:ascii="Times New Roman" w:hAnsi="Times New Roman" w:eastAsia="宋体" w:cs="Times New Roman"/>
                <w:color w:val="000000"/>
                <w:kern w:val="0"/>
                <w:sz w:val="22"/>
                <w:szCs w:val="22"/>
              </w:rPr>
              <w:t>2022</w:t>
            </w:r>
            <w:r>
              <w:rPr>
                <w:rFonts w:ascii="宋体" w:hAnsi="宋体" w:eastAsia="宋体" w:cs="Times New Roman"/>
                <w:color w:val="000000"/>
                <w:kern w:val="0"/>
                <w:sz w:val="22"/>
                <w:szCs w:val="22"/>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项目（政策）名称</w:t>
            </w:r>
          </w:p>
        </w:tc>
        <w:tc>
          <w:tcPr>
            <w:tcW w:w="3523"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农村房地一体和集体建设用地使用权确权登记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项目主管部门</w:t>
            </w:r>
          </w:p>
        </w:tc>
        <w:tc>
          <w:tcPr>
            <w:tcW w:w="1417"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0"/>
                <w:sz w:val="16"/>
                <w:szCs w:val="16"/>
              </w:rPr>
            </w:pPr>
            <w:r>
              <w:rPr>
                <w:rFonts w:ascii="宋体" w:hAnsi="宋体" w:eastAsia="宋体" w:cs="Times New Roman"/>
                <w:color w:val="000000"/>
                <w:kern w:val="0"/>
                <w:sz w:val="16"/>
                <w:szCs w:val="16"/>
              </w:rPr>
              <w:t>资金使用单位</w:t>
            </w:r>
          </w:p>
        </w:tc>
        <w:tc>
          <w:tcPr>
            <w:tcW w:w="1479"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自然资源局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项目资金</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（万元）</w:t>
            </w: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全年预算数</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全年执行数</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预算执行率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年度资金总额：</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100</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100</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其中：中央、省补助</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市级财政资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 xml:space="preserve">       </w:t>
            </w:r>
            <w:r>
              <w:rPr>
                <w:rFonts w:ascii="宋体" w:hAnsi="宋体" w:eastAsia="宋体" w:cs="Times New Roman"/>
                <w:color w:val="000000"/>
                <w:kern w:val="0"/>
                <w:sz w:val="16"/>
                <w:szCs w:val="16"/>
              </w:rPr>
              <w:t>县级财政资</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100</w:t>
            </w: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hint="default" w:ascii="Times New Roman" w:hAnsi="Times New Roman" w:eastAsia="宋体" w:cs="Times New Roman"/>
                <w:color w:val="000000"/>
                <w:kern w:val="2"/>
                <w:sz w:val="16"/>
                <w:szCs w:val="16"/>
                <w:lang w:val="en-US" w:eastAsia="zh-CN"/>
              </w:rPr>
            </w:pPr>
            <w:r>
              <w:rPr>
                <w:rFonts w:hint="eastAsia" w:ascii="Times New Roman" w:hAnsi="Times New Roman" w:eastAsia="宋体" w:cs="Times New Roman"/>
                <w:color w:val="000000"/>
                <w:kern w:val="2"/>
                <w:sz w:val="16"/>
                <w:szCs w:val="16"/>
                <w:lang w:val="en-US" w:eastAsia="zh-CN"/>
              </w:rPr>
              <w:t>100</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76" w:type="pct"/>
            <w:gridSpan w:val="4"/>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73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Style w:val="11"/>
                <w:rFonts w:hint="default"/>
                <w:kern w:val="2"/>
              </w:rPr>
              <w:t xml:space="preserve"> 其他资金</w:t>
            </w:r>
          </w:p>
        </w:tc>
        <w:tc>
          <w:tcPr>
            <w:tcW w:w="681"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1110" w:type="pct"/>
            <w:gridSpan w:val="2"/>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总体目标完成情况</w:t>
            </w:r>
          </w:p>
        </w:tc>
        <w:tc>
          <w:tcPr>
            <w:tcW w:w="2448"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总体目标</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448" w:type="pct"/>
            <w:gridSpan w:val="5"/>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完成全县农村房地一体和集体建设用地使用权确权登记</w:t>
            </w:r>
          </w:p>
        </w:tc>
        <w:tc>
          <w:tcPr>
            <w:tcW w:w="2105"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完成房地一体登记权籍数据建库和登记发证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绩效指标</w:t>
            </w:r>
          </w:p>
        </w:tc>
        <w:tc>
          <w:tcPr>
            <w:tcW w:w="293"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一级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二级指标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三级指标</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指标值</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全年实际完成值</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未完成原因和改进措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3"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产</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出</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数量指标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完成地籍数据4.6万宗，打印不动产权证书2.4万本</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质量指标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地籍数据通过省厅交汇，数据库正常运行，版发证书</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100%</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时效指标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成本指标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3"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效</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标</w:t>
            </w:r>
          </w:p>
        </w:tc>
        <w:tc>
          <w:tcPr>
            <w:tcW w:w="50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经济效益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vMerge w:val="restart"/>
            <w:tcBorders>
              <w:top w:val="nil"/>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社会效益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融合宅基地，集体建设用地和房屋所有权存量数据和增量数据，建立权籍数据库，实现信息数据化</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生态效益</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可持续影响指标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维护群众合法权益，化解权属纠纷</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影响程度提高</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Times New Roman" w:hAnsi="Times New Roman" w:eastAsia="宋体" w:cs="Times New Roman"/>
                <w:color w:val="000000"/>
                <w:kern w:val="0"/>
                <w:sz w:val="16"/>
                <w:szCs w:val="16"/>
              </w:rPr>
              <w:t>……</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adjustRightInd/>
              <w:snapToGrid/>
              <w:spacing w:after="0" w:line="240" w:lineRule="auto"/>
              <w:jc w:val="left"/>
              <w:rPr>
                <w:rFonts w:ascii="Times New Roman" w:hAnsi="Times New Roman" w:eastAsia="宋体" w:cs="Times New Roman"/>
                <w:color w:val="000000"/>
                <w:kern w:val="2"/>
                <w:sz w:val="16"/>
                <w:szCs w:val="16"/>
              </w:rPr>
            </w:pPr>
          </w:p>
        </w:tc>
        <w:tc>
          <w:tcPr>
            <w:tcW w:w="293"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18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满意度指标</w:t>
            </w:r>
          </w:p>
        </w:tc>
        <w:tc>
          <w:tcPr>
            <w:tcW w:w="50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服务对象</w:t>
            </w:r>
            <w:r>
              <w:rPr>
                <w:rFonts w:ascii="Times New Roman" w:hAnsi="Times New Roman" w:eastAsia="宋体" w:cs="Times New Roman"/>
                <w:color w:val="000000"/>
                <w:kern w:val="0"/>
                <w:sz w:val="16"/>
                <w:szCs w:val="16"/>
              </w:rPr>
              <w:br w:type="textWrapping"/>
            </w:r>
            <w:r>
              <w:rPr>
                <w:rFonts w:ascii="宋体" w:hAnsi="宋体" w:eastAsia="宋体" w:cs="Times New Roman"/>
                <w:color w:val="000000"/>
                <w:kern w:val="0"/>
                <w:sz w:val="16"/>
                <w:szCs w:val="16"/>
              </w:rPr>
              <w:t>满意度指标</w:t>
            </w:r>
          </w:p>
        </w:tc>
        <w:tc>
          <w:tcPr>
            <w:tcW w:w="1647" w:type="pct"/>
            <w:gridSpan w:val="3"/>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群众满意度提高</w:t>
            </w:r>
          </w:p>
        </w:tc>
        <w:tc>
          <w:tcPr>
            <w:tcW w:w="626"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95%</w:t>
            </w:r>
          </w:p>
        </w:tc>
        <w:tc>
          <w:tcPr>
            <w:tcW w:w="484"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both"/>
              <w:rPr>
                <w:rFonts w:ascii="Times New Roman" w:hAnsi="Times New Roman" w:eastAsia="宋体" w:cs="Times New Roman"/>
                <w:color w:val="000000"/>
                <w:kern w:val="2"/>
                <w:sz w:val="16"/>
                <w:szCs w:val="16"/>
              </w:rPr>
            </w:pPr>
            <w:r>
              <w:rPr>
                <w:rFonts w:hint="eastAsia" w:ascii="Times New Roman" w:hAnsi="Times New Roman" w:eastAsia="宋体" w:cs="Times New Roman"/>
                <w:color w:val="000000"/>
                <w:kern w:val="2"/>
                <w:sz w:val="16"/>
                <w:szCs w:val="16"/>
              </w:rPr>
              <w:t>完成</w:t>
            </w:r>
          </w:p>
        </w:tc>
        <w:tc>
          <w:tcPr>
            <w:tcW w:w="99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rPr>
                <w:rFonts w:ascii="Times New Roman" w:hAnsi="Times New Roman" w:eastAsia="宋体" w:cs="Times New Roman"/>
                <w:color w:val="000000"/>
                <w:kern w:val="2"/>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445" w:type="pct"/>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center"/>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说明</w:t>
            </w:r>
          </w:p>
        </w:tc>
        <w:tc>
          <w:tcPr>
            <w:tcW w:w="4554" w:type="pct"/>
            <w:gridSpan w:val="8"/>
            <w:tcBorders>
              <w:top w:val="single" w:color="auto" w:sz="4" w:space="0"/>
              <w:left w:val="single" w:color="auto" w:sz="4" w:space="0"/>
              <w:bottom w:val="single" w:color="auto" w:sz="4" w:space="0"/>
              <w:right w:val="single" w:color="auto" w:sz="4" w:space="0"/>
            </w:tcBorders>
            <w:vAlign w:val="center"/>
          </w:tcPr>
          <w:p>
            <w:pPr>
              <w:widowControl/>
              <w:adjustRightInd/>
              <w:snapToGrid/>
              <w:spacing w:after="0" w:line="200" w:lineRule="exact"/>
              <w:jc w:val="left"/>
              <w:textAlignment w:val="center"/>
              <w:rPr>
                <w:rFonts w:ascii="Times New Roman" w:hAnsi="Times New Roman" w:eastAsia="宋体" w:cs="Times New Roman"/>
                <w:color w:val="000000"/>
                <w:kern w:val="2"/>
                <w:sz w:val="16"/>
                <w:szCs w:val="16"/>
              </w:rPr>
            </w:pPr>
            <w:r>
              <w:rPr>
                <w:rFonts w:ascii="宋体" w:hAnsi="宋体" w:eastAsia="宋体" w:cs="Times New Roman"/>
                <w:color w:val="000000"/>
                <w:kern w:val="0"/>
                <w:sz w:val="16"/>
                <w:szCs w:val="16"/>
              </w:rPr>
              <w:t>请在此处简要说明各级巡视（巡察）、各级审计和财政监督中发现的问题及其所涉及的金额，如没有请填无。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9"/>
            <w:tcBorders>
              <w:top w:val="single" w:color="auto" w:sz="4" w:space="0"/>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hint="eastAsia" w:ascii="宋体" w:hAnsi="宋体" w:eastAsia="宋体" w:cs="宋体"/>
                <w:color w:val="000000"/>
                <w:kern w:val="0"/>
                <w:sz w:val="16"/>
                <w:szCs w:val="16"/>
              </w:rPr>
              <w:t>注：</w:t>
            </w:r>
            <w:r>
              <w:rPr>
                <w:rFonts w:ascii="Times New Roman" w:hAnsi="Times New Roman" w:eastAsia="楷体_GB2312" w:cs="Times New Roman"/>
                <w:color w:val="000000"/>
                <w:kern w:val="0"/>
                <w:sz w:val="16"/>
                <w:szCs w:val="16"/>
              </w:rPr>
              <w:t>1.</w:t>
            </w:r>
            <w:r>
              <w:rPr>
                <w:rFonts w:hint="eastAsia" w:ascii="宋体" w:hAnsi="宋体" w:eastAsia="宋体" w:cs="宋体"/>
                <w:color w:val="000000"/>
                <w:kern w:val="0"/>
                <w:sz w:val="16"/>
                <w:szCs w:val="16"/>
              </w:rPr>
              <w:t>其他资金包括与中央、省级财政补助资金、市（县）级财政资金共同投入到同一项目的自有资金、社会资金，以及以前年度的结转结余资金等。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000" w:type="pct"/>
            <w:gridSpan w:val="9"/>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2.</w:t>
            </w:r>
            <w:r>
              <w:rPr>
                <w:rFonts w:hint="eastAsia" w:ascii="宋体" w:hAnsi="宋体" w:eastAsia="宋体" w:cs="宋体"/>
                <w:color w:val="000000"/>
                <w:kern w:val="0"/>
                <w:sz w:val="16"/>
                <w:szCs w:val="16"/>
              </w:rPr>
              <w:t>定量指标，主管部门对资金使用单位填写的实际完成值汇总时，绝对值直接累加计算，相对值按照资金额度加权平均计算。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9"/>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3.</w:t>
            </w:r>
            <w:r>
              <w:rPr>
                <w:rFonts w:hint="eastAsia" w:ascii="宋体" w:hAnsi="宋体" w:eastAsia="宋体" w:cs="宋体"/>
                <w:color w:val="000000"/>
                <w:kern w:val="0"/>
                <w:sz w:val="16"/>
                <w:szCs w:val="16"/>
              </w:rPr>
              <w:t>定性指标。资金使用单位分别按照</w:t>
            </w:r>
            <w:r>
              <w:rPr>
                <w:rFonts w:ascii="Times New Roman" w:hAnsi="Times New Roman" w:eastAsia="楷体_GB2312" w:cs="Times New Roman"/>
                <w:color w:val="000000"/>
                <w:kern w:val="0"/>
                <w:sz w:val="16"/>
                <w:szCs w:val="16"/>
              </w:rPr>
              <w:t>100%-80%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80%-60%</w:t>
            </w:r>
            <w:r>
              <w:rPr>
                <w:rFonts w:hint="eastAsia" w:ascii="宋体" w:hAnsi="宋体" w:eastAsia="宋体" w:cs="宋体"/>
                <w:color w:val="000000"/>
                <w:kern w:val="0"/>
                <w:sz w:val="16"/>
                <w:szCs w:val="16"/>
              </w:rPr>
              <w:t>（含）、</w:t>
            </w:r>
            <w:r>
              <w:rPr>
                <w:rFonts w:ascii="Times New Roman" w:hAnsi="Times New Roman" w:eastAsia="楷体_GB2312" w:cs="Times New Roman"/>
                <w:color w:val="000000"/>
                <w:kern w:val="0"/>
                <w:sz w:val="16"/>
                <w:szCs w:val="16"/>
              </w:rPr>
              <w:t>60-0%</w:t>
            </w:r>
            <w:r>
              <w:rPr>
                <w:rFonts w:hint="eastAsia" w:ascii="宋体" w:hAnsi="宋体" w:eastAsia="宋体" w:cs="宋体"/>
                <w:color w:val="000000"/>
                <w:kern w:val="0"/>
                <w:sz w:val="16"/>
                <w:szCs w:val="16"/>
              </w:rPr>
              <w:t>合理填写实际完成值，在汇总时，按照资金额度加权平均计算。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000" w:type="pct"/>
            <w:gridSpan w:val="9"/>
            <w:tcBorders>
              <w:top w:val="nil"/>
              <w:left w:val="nil"/>
              <w:bottom w:val="nil"/>
              <w:right w:val="nil"/>
            </w:tcBorders>
            <w:vAlign w:val="center"/>
          </w:tcPr>
          <w:p>
            <w:pPr>
              <w:widowControl/>
              <w:adjustRightInd/>
              <w:snapToGrid/>
              <w:spacing w:after="0" w:line="180" w:lineRule="exact"/>
              <w:jc w:val="left"/>
              <w:textAlignment w:val="center"/>
              <w:rPr>
                <w:rFonts w:ascii="Times New Roman" w:hAnsi="Times New Roman" w:eastAsia="楷体_GB2312" w:cs="Times New Roman"/>
                <w:color w:val="000000"/>
                <w:kern w:val="2"/>
                <w:sz w:val="16"/>
                <w:szCs w:val="16"/>
              </w:rPr>
            </w:pPr>
            <w:r>
              <w:rPr>
                <w:rFonts w:ascii="Times New Roman" w:hAnsi="Times New Roman" w:eastAsia="楷体_GB2312" w:cs="Times New Roman"/>
                <w:color w:val="000000"/>
                <w:kern w:val="0"/>
                <w:sz w:val="16"/>
                <w:szCs w:val="16"/>
              </w:rPr>
              <w:t xml:space="preserve">    4.</w:t>
            </w:r>
            <w:r>
              <w:rPr>
                <w:rFonts w:hint="eastAsia" w:ascii="宋体" w:hAnsi="宋体" w:eastAsia="宋体" w:cs="宋体"/>
                <w:color w:val="000000"/>
                <w:kern w:val="0"/>
                <w:sz w:val="16"/>
                <w:szCs w:val="16"/>
              </w:rPr>
              <w:t>全年执行数是指按照国库集中支付制度要求，支付到商品和劳务供应者或者用款单位形成的实际支出。</w:t>
            </w:r>
          </w:p>
        </w:tc>
      </w:tr>
    </w:tbl>
    <w:p>
      <w:pPr>
        <w:pStyle w:val="7"/>
        <w:pageBreakBefore w:val="0"/>
        <w:widowControl/>
        <w:wordWrap/>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sz w:val="32"/>
          <w:szCs w:val="32"/>
        </w:rPr>
        <w:sectPr>
          <w:headerReference r:id="rId19" w:type="default"/>
          <w:footerReference r:id="rId20" w:type="default"/>
          <w:pgSz w:w="11906" w:h="16838"/>
          <w:pgMar w:top="1440" w:right="1800" w:bottom="1440" w:left="1800" w:header="708" w:footer="708" w:gutter="0"/>
          <w:pgNumType w:fmt="decimal"/>
          <w:cols w:space="708" w:num="1"/>
          <w:docGrid w:linePitch="360" w:charSpace="0"/>
        </w:sectPr>
      </w:pPr>
    </w:p>
    <w:p>
      <w:pPr>
        <w:keepNext w:val="0"/>
        <w:keepLines w:val="0"/>
        <w:widowControl w:val="0"/>
        <w:suppressLineNumbers w:val="0"/>
        <w:adjustRightInd/>
        <w:snapToGrid/>
        <w:spacing w:before="0" w:beforeAutospacing="0" w:after="0" w:afterAutospacing="0" w:line="240" w:lineRule="auto"/>
        <w:ind w:left="0" w:right="0"/>
        <w:jc w:val="both"/>
        <w:rPr>
          <w:rFonts w:ascii="Calibri" w:hAnsi="Calibri" w:eastAsia="黑体" w:cs="Times New Roman"/>
          <w:kern w:val="2"/>
          <w:sz w:val="21"/>
          <w:szCs w:val="24"/>
          <w:lang w:val="en-US"/>
        </w:rPr>
      </w:pPr>
      <w:r>
        <w:rPr>
          <w:rFonts w:hint="eastAsia" w:ascii="Times New Roman" w:hAnsi="Times New Roman" w:eastAsia="黑体" w:cs="黑体"/>
          <w:kern w:val="2"/>
          <w:sz w:val="32"/>
          <w:szCs w:val="32"/>
          <w:lang w:val="en-US" w:eastAsia="zh-CN" w:bidi="ar"/>
        </w:rPr>
        <w:t>附件</w:t>
      </w:r>
      <w:r>
        <w:rPr>
          <w:rFonts w:hint="default" w:ascii="Times New Roman" w:hAnsi="Times New Roman" w:eastAsia="黑体" w:cs="Times New Roman"/>
          <w:kern w:val="2"/>
          <w:sz w:val="32"/>
          <w:szCs w:val="32"/>
          <w:lang w:val="en-US" w:eastAsia="zh-CN" w:bidi="ar"/>
        </w:rPr>
        <w:t>3</w:t>
      </w:r>
    </w:p>
    <w:p>
      <w:pPr>
        <w:keepNext w:val="0"/>
        <w:keepLines w:val="0"/>
        <w:widowControl w:val="0"/>
        <w:suppressLineNumbers w:val="0"/>
        <w:kinsoku w:val="0"/>
        <w:overflowPunct w:val="0"/>
        <w:adjustRightInd/>
        <w:snapToGrid/>
        <w:spacing w:before="0" w:beforeAutospacing="0" w:after="0" w:afterAutospacing="0" w:line="360" w:lineRule="auto"/>
        <w:ind w:left="0" w:right="0"/>
        <w:jc w:val="center"/>
        <w:rPr>
          <w:rFonts w:ascii="Calibri" w:hAnsi="Calibri" w:eastAsia="方正小标宋简体" w:cs="Times New Roman"/>
          <w:spacing w:val="1"/>
          <w:kern w:val="2"/>
          <w:sz w:val="36"/>
          <w:szCs w:val="36"/>
          <w:lang w:val="en-US"/>
        </w:rPr>
      </w:pPr>
      <w:r>
        <w:rPr>
          <w:rFonts w:hint="default" w:ascii="Times New Roman" w:hAnsi="Times New Roman" w:eastAsia="方正小标宋简体" w:cs="Times New Roman"/>
          <w:spacing w:val="1"/>
          <w:kern w:val="2"/>
          <w:sz w:val="36"/>
          <w:szCs w:val="36"/>
          <w:lang w:val="en-US" w:eastAsia="zh-CN" w:bidi="ar"/>
        </w:rPr>
        <w:t>2022</w:t>
      </w:r>
      <w:r>
        <w:rPr>
          <w:rFonts w:hint="eastAsia" w:ascii="Times New Roman" w:hAnsi="方正小标宋简体" w:eastAsia="方正小标宋简体" w:cs="方正小标宋简体"/>
          <w:spacing w:val="1"/>
          <w:kern w:val="2"/>
          <w:sz w:val="36"/>
          <w:szCs w:val="36"/>
          <w:lang w:val="en-US" w:eastAsia="zh-CN" w:bidi="ar"/>
        </w:rPr>
        <w:t>年度农村房地一体和集体建设用地确权登记项目支出绩效评价指标体系</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46"/>
        <w:gridCol w:w="397"/>
        <w:gridCol w:w="575"/>
        <w:gridCol w:w="700"/>
        <w:gridCol w:w="1193"/>
        <w:gridCol w:w="997"/>
        <w:gridCol w:w="1414"/>
        <w:gridCol w:w="1134"/>
        <w:gridCol w:w="708"/>
        <w:gridCol w:w="529"/>
        <w:gridCol w:w="459"/>
        <w:gridCol w:w="566"/>
        <w:gridCol w:w="570"/>
        <w:gridCol w:w="3787"/>
        <w:gridCol w:w="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分值权重</w:t>
            </w:r>
          </w:p>
        </w:tc>
        <w:tc>
          <w:tcPr>
            <w:tcW w:w="136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分层分类指标</w:t>
            </w:r>
          </w:p>
        </w:tc>
        <w:tc>
          <w:tcPr>
            <w:tcW w:w="49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指标解释</w:t>
            </w:r>
          </w:p>
        </w:tc>
        <w:tc>
          <w:tcPr>
            <w:tcW w:w="14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评分方法</w:t>
            </w:r>
          </w:p>
        </w:tc>
        <w:tc>
          <w:tcPr>
            <w:tcW w:w="13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评价要点及说明</w:t>
            </w:r>
          </w:p>
        </w:tc>
        <w:tc>
          <w:tcPr>
            <w:tcW w:w="2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8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分层指标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适用范围</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一级指标</w:t>
            </w:r>
          </w:p>
        </w:tc>
        <w:tc>
          <w:tcPr>
            <w:tcW w:w="35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二级指标</w:t>
            </w: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方法归类</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eastAsia" w:ascii="Times New Roman" w:hAnsi="Times New Roman" w:eastAsia="仿宋_GB2312" w:cs="仿宋_GB2312"/>
                <w:b/>
                <w:bCs/>
                <w:kern w:val="0"/>
                <w:sz w:val="18"/>
                <w:szCs w:val="18"/>
                <w:lang w:val="en-US" w:eastAsia="zh-CN" w:bidi="ar"/>
              </w:rPr>
              <w:t>计算公式</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9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0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0.3</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0.6</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0.8</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400" w:lineRule="exact"/>
              <w:ind w:left="0" w:right="0"/>
              <w:jc w:val="center"/>
              <w:rPr>
                <w:rFonts w:hint="eastAsia" w:ascii="Calibri" w:hAnsi="Calibri" w:eastAsia="宋体" w:cs="Times New Roman"/>
                <w:b/>
                <w:bCs/>
                <w:kern w:val="0"/>
                <w:sz w:val="18"/>
                <w:szCs w:val="18"/>
                <w:lang w:val="en-US"/>
              </w:rPr>
            </w:pPr>
            <w:r>
              <w:rPr>
                <w:rFonts w:hint="default" w:ascii="Times New Roman" w:hAnsi="Times New Roman" w:eastAsia="仿宋_GB2312" w:cs="Times New Roman"/>
                <w:b/>
                <w:bCs/>
                <w:kern w:val="0"/>
                <w:sz w:val="18"/>
                <w:szCs w:val="18"/>
                <w:lang w:val="en-US" w:eastAsia="zh-CN" w:bidi="ar"/>
              </w:rPr>
              <w:t>1</w:t>
            </w:r>
          </w:p>
        </w:tc>
        <w:tc>
          <w:tcPr>
            <w:tcW w:w="1335"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1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通用指标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所有项目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项目决策</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程序严密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项目设立是否经过严格评估论证，管理制度是否健全完善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不完善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较完善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主要查看新增项目是否经过事前评估或可行性论证，延续性项目资金管理办法是否健全完善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规划合理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项目规划是否符合县委、县政府重大决策部署，是否与项目年度目标一致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不合理</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较合理</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设立依据是否充分，符合县委、县政府重大决策部署和宏观政策规划，项目年度绩效目标与中长期规划是否一致。样本评价中，规划是否与现实需求匹配，是否存在因规划不够合理导致项目效益欠佳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分配合理</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项目资金分配结果是否与规划计划一致；是否按规定及时分配专项预算资金</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是否评分法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否</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是</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项目法分配的项目，以所有项目点实施完成情况与规划计划情况进行对比。按因素法分配的项目和据实据效分配的项目，将资金分配方向与规划计划支持方向进行对比；分配依据充分的得分，明显不充分扣分。两种情况分值权重各占一半</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使用合规</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项目资金使用是否符合相关的财务管理制度规定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项目资金是否符合国家财经法规和财务管理制度及有关专项资金管理办法规定；资金拨付是否有完整的审批程序和手续；是否符合项目预算批复或合同规定用途；是否存在截留、挤占、挪用、虚列支出等情况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执行有效</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项目实施是否符合相关管理制度规定</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缺（错）项扣分法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发现一处扣</w:t>
            </w:r>
            <w:r>
              <w:rPr>
                <w:rFonts w:hint="default" w:ascii="Times New Roman" w:hAnsi="Times New Roman" w:eastAsia="仿宋_GB2312" w:cs="Times New Roman"/>
                <w:kern w:val="0"/>
                <w:sz w:val="18"/>
                <w:szCs w:val="18"/>
                <w:lang w:val="en-US" w:eastAsia="zh-CN" w:bidi="ar"/>
              </w:rPr>
              <w:t>0.5</w:t>
            </w:r>
            <w:r>
              <w:rPr>
                <w:rFonts w:hint="eastAsia" w:ascii="Times New Roman" w:hAnsi="Times New Roman" w:eastAsia="仿宋_GB2312" w:cs="仿宋_GB2312"/>
                <w:kern w:val="0"/>
                <w:sz w:val="18"/>
                <w:szCs w:val="18"/>
                <w:lang w:val="en-US" w:eastAsia="zh-CN" w:bidi="ar"/>
              </w:rPr>
              <w:t>分，直至扣完</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项目实施是否遵守相关法律法规；项目调整手续是否完备；项目合同、验收报告、技术鉴定等资料是否齐全并及时归档；项目实施的人员条件、场地设备、信息支撑等是否落实到位</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完成结果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预算完成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项目资金拨付到具体支持对象企业、项目（人）的情况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项目资金到人到户额度</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项目资金额度</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主要查看项目资金拨付到人到户、到项目、到企业与资金总量的对比</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4%</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目标完成</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项目实施后是否完成预期目标</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实际完成任务量</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绩效目标设定任务量</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主要查看项目实施后产出数量指标完成情况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违规记录</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项目管理是否合规</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不合规</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3</w:t>
            </w:r>
            <w:r>
              <w:rPr>
                <w:rFonts w:hint="eastAsia" w:ascii="Times New Roman" w:hAnsi="Times New Roman" w:eastAsia="仿宋_GB2312" w:cs="仿宋_GB2312"/>
                <w:kern w:val="0"/>
                <w:sz w:val="18"/>
                <w:szCs w:val="18"/>
                <w:lang w:val="en-US" w:eastAsia="zh-CN" w:bidi="ar"/>
              </w:rPr>
              <w:t>处及以上不合规</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w:t>
            </w:r>
            <w:r>
              <w:rPr>
                <w:rFonts w:hint="eastAsia" w:ascii="Times New Roman" w:hAnsi="Times New Roman" w:eastAsia="仿宋_GB2312" w:cs="仿宋_GB2312"/>
                <w:kern w:val="0"/>
                <w:sz w:val="18"/>
                <w:szCs w:val="18"/>
                <w:lang w:val="en-US" w:eastAsia="zh-CN" w:bidi="ar"/>
              </w:rPr>
              <w:t>处不合规</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2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1</w:t>
            </w:r>
            <w:r>
              <w:rPr>
                <w:rFonts w:hint="eastAsia" w:ascii="Times New Roman" w:hAnsi="Times New Roman" w:eastAsia="仿宋_GB2312" w:cs="仿宋_GB2312"/>
                <w:kern w:val="0"/>
                <w:sz w:val="18"/>
                <w:szCs w:val="18"/>
                <w:lang w:val="en-US" w:eastAsia="zh-CN" w:bidi="ar"/>
              </w:rPr>
              <w:t>处不合规</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合规</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根据巡视巡察、审计监督、财政检查结果反映专项管理是否合规</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20%</w:t>
            </w: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共性指标</w:t>
            </w: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产业发展项目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符合性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项目实施效果是否与县委、县政府重大产业政策、规划布局、资金投向等匹配吻合</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指标地方</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项目实施符合的点位数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所有选点总数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根据项目现场评价实施效果与绩效目标进行对比，汇总所有样本点情况综合分析政策整体吻合度</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成长性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反映不同类型产业政策实施对相关行业企业成长性的促进作用，主要反映支持对象的创新、创造、创业能力情况，产业结构情况，持续盈利能力情况。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各项具体指标得分的平均分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根据产业政策实施对象的总资产增长率、固定资产增长率、主营业务收入增长率、主营利润增长率、净利润增长率等情况综合判断，统计年鉴相关数据为准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民生保障项目</w:t>
            </w:r>
          </w:p>
        </w:tc>
        <w:tc>
          <w:tcPr>
            <w:tcW w:w="42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区域均衡性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项目资金分配体现的均衡公平情况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不均衡</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较均衡</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均衡</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按实际分配结果选择客观因素测算验证资金分配方法制定、分配要素设定、基础数据应用、测算依据选取等是否科学合理</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对象公平性</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项目资金分配结果是否公平合理，是否充分考虑地域条件、经济条件等</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分级评分法</w:t>
            </w: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不公平</w:t>
            </w: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较差</w:t>
            </w: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一般</w:t>
            </w: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较好</w:t>
            </w: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公平</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主要查看项目资金分配和实施结果是否体现公平公正性，是否存在明显的排他性和歧视性规定，是否做到大多数和少数的协调统一，统筹兼顾</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50" w:type="pct"/>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社会满意度</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相关群体满意度调查情况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按根据实际满意度与满意度标准值的比率计算指标得分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主要调研政策和项目相关方在政策实施过程中的满意值，通过不满意情况汇总分析政策在顶层设计、制度构建、管理实施及成效各环节的情况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特性指标</w:t>
            </w: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民生保障项目</w:t>
            </w:r>
          </w:p>
        </w:tc>
        <w:tc>
          <w:tcPr>
            <w:tcW w:w="2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社会保障与就业</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基础管理</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审核把关</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项目申报是否真实准确</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基础数据真实客观的人数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项目受益总人数</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指标分值，基础数据真实客观的人数</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项目受益总人数小于</w:t>
            </w:r>
            <w:r>
              <w:rPr>
                <w:rFonts w:hint="default" w:ascii="Times New Roman" w:hAnsi="Times New Roman" w:eastAsia="仿宋_GB2312" w:cs="Times New Roman"/>
                <w:kern w:val="0"/>
                <w:sz w:val="18"/>
                <w:szCs w:val="18"/>
                <w:lang w:val="en-US" w:eastAsia="zh-CN" w:bidi="ar"/>
              </w:rPr>
              <w:t>70%</w:t>
            </w:r>
            <w:r>
              <w:rPr>
                <w:rFonts w:hint="eastAsia" w:ascii="Times New Roman" w:hAnsi="Times New Roman" w:eastAsia="仿宋_GB2312" w:cs="仿宋_GB2312"/>
                <w:kern w:val="0"/>
                <w:sz w:val="18"/>
                <w:szCs w:val="18"/>
                <w:lang w:val="en-US" w:eastAsia="zh-CN" w:bidi="ar"/>
              </w:rPr>
              <w:t>不得分</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主要查看项目受益人群的精准性和客观性，是否存在因制度机制缺陷或管理疏漏导致审核把关不严的情况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社会效益</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资金使用率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项目资金支付使用情况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资金实际使用金额</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资金实际拨付金额</w:t>
            </w:r>
            <w:r>
              <w:rPr>
                <w:rFonts w:hint="default" w:ascii="Times New Roman" w:hAnsi="Times New Roman" w:eastAsia="仿宋_GB2312" w:cs="Times New Roman"/>
                <w:kern w:val="0"/>
                <w:sz w:val="18"/>
                <w:szCs w:val="18"/>
                <w:lang w:val="en-US" w:eastAsia="zh-CN" w:bidi="ar"/>
              </w:rPr>
              <w:t>×100%*</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主要查看财政资金实际支付使用，是否存在因制度机制、操作流程、管理疏漏、数据缺失等导致的资金结余，闲置浪费的情况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项目效果</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教学（文化）设备利用率</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反映教育（文化）设备使用情况</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比率分值法</w:t>
            </w: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设备使用率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设备使用时间</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设备计划用时（分钟、小时、日、月）</w:t>
            </w:r>
            <w:r>
              <w:rPr>
                <w:rFonts w:hint="default" w:ascii="Times New Roman" w:hAnsi="Times New Roman" w:eastAsia="仿宋_GB2312" w:cs="Times New Roman"/>
                <w:kern w:val="0"/>
                <w:sz w:val="18"/>
                <w:szCs w:val="18"/>
                <w:lang w:val="en-US" w:eastAsia="zh-CN" w:bidi="ar"/>
              </w:rPr>
              <w:t>×100%</w:t>
            </w:r>
            <w:r>
              <w:rPr>
                <w:rFonts w:hint="default" w:ascii="Times New Roman" w:hAnsi="Times New Roman" w:eastAsia="仿宋_GB2312" w:cs="Times New Roman"/>
                <w:kern w:val="0"/>
                <w:sz w:val="18"/>
                <w:szCs w:val="18"/>
                <w:lang w:val="en-US" w:eastAsia="zh-CN" w:bidi="ar"/>
              </w:rPr>
              <w:br w:type="textWrapping"/>
            </w:r>
            <w:r>
              <w:rPr>
                <w:rFonts w:hint="eastAsia" w:ascii="Times New Roman" w:hAnsi="Times New Roman" w:eastAsia="仿宋_GB2312" w:cs="仿宋_GB2312"/>
                <w:kern w:val="0"/>
                <w:sz w:val="18"/>
                <w:szCs w:val="18"/>
                <w:lang w:val="en-US" w:eastAsia="zh-CN" w:bidi="ar"/>
              </w:rPr>
              <w:t>指标得分</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设备使用率</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标准值</w:t>
            </w: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仿宋_GB2312"/>
                <w:kern w:val="0"/>
                <w:sz w:val="18"/>
                <w:szCs w:val="18"/>
                <w:lang w:val="en-US" w:eastAsia="zh-CN" w:bidi="ar"/>
              </w:rPr>
              <w:t>指标分值</w:t>
            </w: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r>
              <w:rPr>
                <w:rFonts w:hint="eastAsia" w:ascii="Times New Roman" w:hAnsi="Times New Roman" w:eastAsia="仿宋_GB2312" w:cs="仿宋_GB2312"/>
                <w:kern w:val="0"/>
                <w:sz w:val="18"/>
                <w:szCs w:val="18"/>
                <w:lang w:val="en-US" w:eastAsia="zh-CN" w:bidi="ar"/>
              </w:rPr>
              <w:t>主要调查设备工作状态及工作效率的情况</w:t>
            </w: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eastAsia" w:ascii="Times New Roman" w:hAnsi="Times New Roman" w:eastAsia="仿宋_GB2312" w:cs="Times New Roman"/>
                <w:kern w:val="0"/>
                <w:sz w:val="18"/>
                <w:szCs w:val="18"/>
                <w:lang w:val="en-US" w:eastAsia="zh-CN" w:bidi="ar"/>
              </w:rPr>
              <w:t>自然资源确权登记</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r>
              <w:rPr>
                <w:rFonts w:hint="eastAsia" w:ascii="Times New Roman" w:hAnsi="Times New Roman" w:eastAsia="仿宋_GB2312" w:cs="Times New Roman"/>
                <w:kern w:val="0"/>
                <w:sz w:val="18"/>
                <w:szCs w:val="18"/>
                <w:lang w:val="en-US" w:eastAsia="zh-CN" w:bidi="ar"/>
              </w:rPr>
              <w:t>社会效益</w:t>
            </w: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default" w:ascii="Calibri" w:hAnsi="Calibri" w:eastAsia="宋体" w:cs="Times New Roman"/>
                <w:kern w:val="0"/>
                <w:sz w:val="18"/>
                <w:szCs w:val="18"/>
                <w:lang w:val="en-US" w:eastAsia="zh-CN"/>
              </w:rPr>
            </w:pPr>
            <w:r>
              <w:rPr>
                <w:rFonts w:hint="eastAsia" w:ascii="Calibri" w:hAnsi="Calibri" w:eastAsia="宋体" w:cs="Times New Roman"/>
                <w:kern w:val="0"/>
                <w:sz w:val="18"/>
                <w:szCs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1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0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240" w:lineRule="auto"/>
              <w:ind w:left="0" w:right="0"/>
              <w:jc w:val="both"/>
              <w:rPr>
                <w:rFonts w:hint="eastAsia" w:ascii="仿宋_GB2312" w:hAnsi="Arial Unicode MS" w:eastAsia="仿宋_GB2312" w:cs="Arial Unicode MS"/>
                <w:kern w:val="2"/>
                <w:sz w:val="24"/>
                <w:szCs w:val="20"/>
              </w:rPr>
            </w:pPr>
          </w:p>
        </w:tc>
        <w:tc>
          <w:tcPr>
            <w:tcW w:w="2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2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35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r>
              <w:rPr>
                <w:rFonts w:hint="default" w:ascii="Times New Roman" w:hAnsi="Times New Roman" w:eastAsia="仿宋_GB2312" w:cs="Times New Roman"/>
                <w:kern w:val="0"/>
                <w:sz w:val="18"/>
                <w:szCs w:val="18"/>
                <w:lang w:val="en-US" w:eastAsia="zh-CN" w:bidi="ar"/>
              </w:rPr>
              <w:t>……</w:t>
            </w:r>
          </w:p>
        </w:tc>
        <w:tc>
          <w:tcPr>
            <w:tcW w:w="4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5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6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20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c>
          <w:tcPr>
            <w:tcW w:w="1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both"/>
              <w:rPr>
                <w:rFonts w:hint="eastAsia" w:ascii="Calibri" w:hAnsi="Calibri" w:eastAsia="宋体" w:cs="Times New Roman"/>
                <w:kern w:val="0"/>
                <w:sz w:val="18"/>
                <w:szCs w:val="18"/>
                <w:lang w:val="en-US"/>
              </w:rPr>
            </w:pPr>
          </w:p>
        </w:tc>
        <w:tc>
          <w:tcPr>
            <w:tcW w:w="21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snapToGrid/>
              <w:spacing w:before="0" w:beforeAutospacing="0" w:after="0" w:afterAutospacing="0" w:line="300" w:lineRule="exact"/>
              <w:ind w:left="0" w:right="0"/>
              <w:jc w:val="center"/>
              <w:rPr>
                <w:rFonts w:hint="eastAsia" w:ascii="Calibri" w:hAnsi="Calibri" w:eastAsia="宋体" w:cs="Times New Roman"/>
                <w:kern w:val="0"/>
                <w:sz w:val="18"/>
                <w:szCs w:val="18"/>
                <w:lang w:val="en-US"/>
              </w:rPr>
            </w:pPr>
          </w:p>
        </w:tc>
      </w:tr>
    </w:tbl>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pPr>
    </w:p>
    <w:p>
      <w:pPr>
        <w:pStyle w:val="7"/>
        <w:pageBreakBefore w:val="0"/>
        <w:widowControl/>
        <w:wordWrap/>
        <w:topLinePunct w:val="0"/>
        <w:autoSpaceDE/>
        <w:autoSpaceDN/>
        <w:bidi w:val="0"/>
        <w:adjustRightInd w:val="0"/>
        <w:snapToGrid w:val="0"/>
        <w:spacing w:line="560" w:lineRule="exact"/>
        <w:jc w:val="both"/>
        <w:textAlignment w:val="auto"/>
        <w:rPr>
          <w:rFonts w:hint="eastAsia" w:ascii="仿宋" w:hAnsi="仿宋" w:eastAsia="仿宋" w:cs="仿宋"/>
          <w:sz w:val="32"/>
          <w:szCs w:val="32"/>
        </w:rPr>
      </w:pPr>
    </w:p>
    <w:p>
      <w:pPr>
        <w:pStyle w:val="2"/>
        <w:rPr>
          <w:rFonts w:hint="eastAsia"/>
        </w:rPr>
      </w:pPr>
    </w:p>
    <w:sectPr>
      <w:pgSz w:w="16838" w:h="11906" w:orient="landscape"/>
      <w:pgMar w:top="1800" w:right="1440" w:bottom="1800" w:left="1440" w:header="708" w:footer="708" w:gutter="0"/>
      <w:pgNumType w:fmt="decimal"/>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Arial Unicode MS">
    <w:altName w:val="Arial"/>
    <w:panose1 w:val="020B0604020202020204"/>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A11A97"/>
    <w:multiLevelType w:val="singleLevel"/>
    <w:tmpl w:val="E4A11A97"/>
    <w:lvl w:ilvl="0" w:tentative="0">
      <w:start w:val="2"/>
      <w:numFmt w:val="chineseCounting"/>
      <w:suff w:val="nothing"/>
      <w:lvlText w:val="（%1）"/>
      <w:lvlJc w:val="left"/>
      <w:rPr>
        <w:rFonts w:hint="eastAsia"/>
      </w:rPr>
    </w:lvl>
  </w:abstractNum>
  <w:abstractNum w:abstractNumId="1">
    <w:nsid w:val="FEDD9175"/>
    <w:multiLevelType w:val="singleLevel"/>
    <w:tmpl w:val="FEDD9175"/>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1CB35716"/>
    <w:rsid w:val="22630EC3"/>
    <w:rsid w:val="2BA9349C"/>
    <w:rsid w:val="31AA5925"/>
    <w:rsid w:val="397D06B6"/>
    <w:rsid w:val="3BB85B07"/>
    <w:rsid w:val="43A9596C"/>
    <w:rsid w:val="47050E78"/>
    <w:rsid w:val="489842B5"/>
    <w:rsid w:val="523655D0"/>
    <w:rsid w:val="5912366D"/>
    <w:rsid w:val="6DFB0400"/>
    <w:rsid w:val="70244DE5"/>
    <w:rsid w:val="73D67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99"/>
    <w:pPr>
      <w:ind w:firstLine="680"/>
    </w:p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 w:val="24"/>
      <w:szCs w:val="24"/>
    </w:rPr>
  </w:style>
  <w:style w:type="table" w:styleId="9">
    <w:name w:val="Table Grid"/>
    <w:basedOn w:val="8"/>
    <w:qFormat/>
    <w:uiPriority w:val="0"/>
    <w:pPr>
      <w:keepNext w:val="0"/>
      <w:keepLines w:val="0"/>
      <w:widowControl/>
      <w:suppressLineNumbers w:val="0"/>
      <w:spacing w:before="0" w:beforeAutospacing="0" w:after="0" w:afterAutospacing="0"/>
      <w:ind w:left="0" w:right="0"/>
    </w:pPr>
    <w:rPr>
      <w:rFonts w:hint="eastAsia" w:ascii="仿宋_GB2312" w:hAnsi="Arial Unicode MS" w:eastAsia="仿宋_GB2312" w:cs="Arial Unicode MS"/>
      <w:sz w:val="24"/>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1">
    <w:name w:val="15"/>
    <w:basedOn w:val="10"/>
    <w:qFormat/>
    <w:uiPriority w:val="0"/>
    <w:rPr>
      <w:rFonts w:hint="eastAsia" w:ascii="宋体" w:hAnsi="宋体" w:eastAsia="宋体"/>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Administrator.USER-20190220XH</dc:creator>
  <cp:lastModifiedBy>潘涛</cp:lastModifiedBy>
  <cp:lastPrinted>2023-10-17T03:16:00Z</cp:lastPrinted>
  <dcterms:modified xsi:type="dcterms:W3CDTF">2024-12-19T02:16:40Z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6E7A810955B04BF9ACE5A0A06F208CF2</vt:lpwstr>
  </property>
</Properties>
</file>