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contextualSpacing/>
        <w:rPr>
          <w:rFonts w:eastAsia="方正黑体_GBK"/>
          <w:sz w:val="33"/>
          <w:szCs w:val="33"/>
          <w:lang w:val="zh-CN"/>
        </w:rPr>
      </w:pPr>
      <w:r>
        <w:rPr>
          <w:rFonts w:eastAsia="黑体"/>
          <w:szCs w:val="32"/>
          <w:lang w:val="zh-CN"/>
        </w:rPr>
        <w:t>附件</w:t>
      </w:r>
      <w:r>
        <w:rPr>
          <w:rFonts w:eastAsia="方正黑体_GBK"/>
          <w:szCs w:val="32"/>
        </w:rPr>
        <w:t>2</w:t>
      </w:r>
    </w:p>
    <w:p>
      <w:pPr>
        <w:widowControl/>
        <w:spacing w:line="600" w:lineRule="exact"/>
        <w:ind w:firstLine="883" w:firstLineChars="200"/>
        <w:contextualSpacing/>
        <w:jc w:val="center"/>
        <w:rPr>
          <w:b/>
          <w:sz w:val="44"/>
          <w:szCs w:val="44"/>
          <w:shd w:val="clear" w:color="auto" w:fill="FFFFFF"/>
        </w:rPr>
      </w:pPr>
    </w:p>
    <w:p>
      <w:pPr>
        <w:spacing w:line="600" w:lineRule="exact"/>
        <w:jc w:val="center"/>
        <w:rPr>
          <w:rFonts w:eastAsia="方正小标宋简体"/>
          <w:color w:val="000000"/>
          <w:kern w:val="0"/>
          <w:sz w:val="44"/>
          <w:szCs w:val="44"/>
        </w:rPr>
      </w:pPr>
      <w:r>
        <w:rPr>
          <w:rFonts w:eastAsia="方正小标宋简体"/>
          <w:color w:val="000000"/>
          <w:kern w:val="0"/>
          <w:sz w:val="44"/>
          <w:szCs w:val="44"/>
        </w:rPr>
        <w:t>沐川县交通运输局</w:t>
      </w:r>
    </w:p>
    <w:p>
      <w:pPr>
        <w:spacing w:line="600" w:lineRule="exact"/>
        <w:jc w:val="center"/>
        <w:rPr>
          <w:rFonts w:eastAsia="方正小标宋简体"/>
          <w:color w:val="000000"/>
          <w:kern w:val="0"/>
          <w:sz w:val="40"/>
          <w:szCs w:val="44"/>
          <w:lang w:val="zh-CN"/>
        </w:rPr>
      </w:pPr>
      <w:r>
        <w:rPr>
          <w:rFonts w:eastAsia="方正小标宋简体"/>
          <w:color w:val="000000"/>
          <w:kern w:val="0"/>
          <w:sz w:val="44"/>
          <w:szCs w:val="44"/>
        </w:rPr>
        <w:t>2021年部门</w:t>
      </w:r>
      <w:r>
        <w:rPr>
          <w:rFonts w:eastAsia="方正小标宋简体"/>
          <w:color w:val="000000"/>
          <w:kern w:val="0"/>
          <w:sz w:val="44"/>
          <w:szCs w:val="44"/>
          <w:lang w:val="zh-CN"/>
        </w:rPr>
        <w:t>整体支出绩效评价报告</w:t>
      </w:r>
    </w:p>
    <w:p>
      <w:pPr>
        <w:widowControl/>
        <w:spacing w:line="600" w:lineRule="exact"/>
        <w:ind w:firstLine="640" w:firstLineChars="200"/>
        <w:contextualSpacing/>
        <w:jc w:val="center"/>
        <w:rPr>
          <w:rFonts w:eastAsia="仿宋_GB2312"/>
          <w:szCs w:val="32"/>
          <w:shd w:val="clear" w:color="auto" w:fill="FFFFFF"/>
        </w:rPr>
      </w:pPr>
      <w:r>
        <w:rPr>
          <w:rFonts w:eastAsia="仿宋_GB2312"/>
          <w:szCs w:val="32"/>
          <w:shd w:val="clear" w:color="auto" w:fill="FFFFFF"/>
        </w:rPr>
        <w:t>（报告范围包括机关和下属单位）</w:t>
      </w:r>
    </w:p>
    <w:p>
      <w:pPr>
        <w:widowControl/>
        <w:adjustRightInd w:val="0"/>
        <w:snapToGrid w:val="0"/>
        <w:spacing w:line="600" w:lineRule="exact"/>
        <w:ind w:firstLine="660" w:firstLineChars="200"/>
        <w:contextualSpacing/>
        <w:jc w:val="left"/>
        <w:rPr>
          <w:rFonts w:eastAsia="方正仿宋_GBK"/>
          <w:color w:val="000000"/>
          <w:kern w:val="0"/>
          <w:sz w:val="33"/>
          <w:szCs w:val="33"/>
          <w:shd w:val="clear" w:color="auto" w:fill="FFFFFF"/>
        </w:rPr>
      </w:pPr>
    </w:p>
    <w:p>
      <w:pPr>
        <w:spacing w:line="600" w:lineRule="exact"/>
        <w:ind w:firstLine="643" w:firstLineChars="200"/>
        <w:rPr>
          <w:rFonts w:hint="eastAsia" w:eastAsia="黑体"/>
          <w:b/>
          <w:szCs w:val="32"/>
          <w:lang w:val="zh-CN"/>
        </w:rPr>
      </w:pPr>
      <w:r>
        <w:rPr>
          <w:rFonts w:eastAsia="黑体"/>
          <w:b/>
          <w:szCs w:val="32"/>
        </w:rPr>
        <w:t>一、</w:t>
      </w:r>
      <w:r>
        <w:rPr>
          <w:rFonts w:eastAsia="黑体"/>
          <w:b/>
          <w:szCs w:val="32"/>
          <w:lang w:val="zh-CN"/>
        </w:rPr>
        <w:t>部门（单位）概况</w:t>
      </w:r>
    </w:p>
    <w:p>
      <w:pPr>
        <w:spacing w:line="600" w:lineRule="exact"/>
        <w:ind w:firstLine="643" w:firstLineChars="200"/>
        <w:rPr>
          <w:rFonts w:eastAsia="黑体"/>
          <w:b/>
          <w:szCs w:val="32"/>
          <w:lang w:val="zh-CN"/>
        </w:rPr>
      </w:pPr>
      <w:r>
        <w:rPr>
          <w:rFonts w:eastAsia="楷体"/>
          <w:b/>
          <w:bCs/>
          <w:szCs w:val="32"/>
          <w:lang w:val="zh-CN"/>
        </w:rPr>
        <w:t>（一）机构组成</w:t>
      </w:r>
    </w:p>
    <w:p>
      <w:pPr>
        <w:widowControl/>
        <w:adjustRightInd w:val="0"/>
        <w:snapToGrid w:val="0"/>
        <w:spacing w:line="600" w:lineRule="exact"/>
        <w:ind w:firstLine="720"/>
        <w:jc w:val="left"/>
        <w:rPr>
          <w:rFonts w:hint="eastAsia" w:eastAsia="仿宋_GB2312"/>
          <w:color w:val="000000" w:themeColor="text1"/>
          <w:szCs w:val="32"/>
        </w:rPr>
      </w:pPr>
      <w:r>
        <w:rPr>
          <w:rFonts w:eastAsia="仿宋_GB2312"/>
          <w:color w:val="000000" w:themeColor="text1"/>
          <w:szCs w:val="32"/>
        </w:rPr>
        <w:t>县交通运输局下属单位4个，其中参照公务员法管理的事业单位1个：县道路运输和港航服务中心；其他事业单位3个：县公路建设服务中心、县交通规划勘察设计所、县交通工程建设质量监督站。</w:t>
      </w:r>
    </w:p>
    <w:p>
      <w:pPr>
        <w:widowControl/>
        <w:adjustRightInd w:val="0"/>
        <w:snapToGrid w:val="0"/>
        <w:spacing w:line="600" w:lineRule="exact"/>
        <w:ind w:firstLine="720"/>
        <w:jc w:val="left"/>
        <w:rPr>
          <w:rFonts w:eastAsia="仿宋_GB2312"/>
          <w:color w:val="000000"/>
          <w:kern w:val="0"/>
          <w:szCs w:val="32"/>
          <w:shd w:val="clear" w:color="auto" w:fill="FFFFFF"/>
          <w:lang w:val="zh-CN"/>
        </w:rPr>
      </w:pPr>
      <w:r>
        <w:rPr>
          <w:rFonts w:eastAsia="楷体"/>
          <w:b/>
          <w:bCs/>
          <w:szCs w:val="32"/>
          <w:lang w:val="zh-CN"/>
        </w:rPr>
        <w:t>（</w:t>
      </w:r>
      <w:r>
        <w:rPr>
          <w:rFonts w:eastAsia="楷体"/>
          <w:b/>
          <w:bCs/>
          <w:szCs w:val="32"/>
        </w:rPr>
        <w:t>二</w:t>
      </w:r>
      <w:r>
        <w:rPr>
          <w:rFonts w:eastAsia="楷体"/>
          <w:b/>
          <w:bCs/>
          <w:szCs w:val="32"/>
          <w:lang w:val="zh-CN"/>
        </w:rPr>
        <w:t>）机构职能</w:t>
      </w:r>
    </w:p>
    <w:p>
      <w:pPr>
        <w:widowControl/>
        <w:adjustRightInd w:val="0"/>
        <w:snapToGrid w:val="0"/>
        <w:spacing w:line="600" w:lineRule="exact"/>
        <w:ind w:firstLine="720"/>
        <w:jc w:val="left"/>
        <w:rPr>
          <w:rFonts w:eastAsia="仿宋_GB2312"/>
          <w:color w:val="000000" w:themeColor="text1"/>
          <w:szCs w:val="32"/>
        </w:rPr>
      </w:pPr>
      <w:r>
        <w:rPr>
          <w:rFonts w:eastAsia="仿宋_GB2312"/>
          <w:color w:val="000000" w:themeColor="text1"/>
          <w:szCs w:val="32"/>
        </w:rPr>
        <w:t>1</w:t>
      </w:r>
      <w:r>
        <w:rPr>
          <w:rFonts w:hint="eastAsia" w:eastAsia="仿宋_GB2312"/>
          <w:color w:val="000000"/>
          <w:kern w:val="0"/>
          <w:szCs w:val="32"/>
          <w:lang w:val="en-US" w:eastAsia="zh-CN"/>
        </w:rPr>
        <w:t>．</w:t>
      </w:r>
      <w:r>
        <w:rPr>
          <w:rFonts w:eastAsia="仿宋_GB2312"/>
          <w:color w:val="000000" w:themeColor="text1"/>
          <w:szCs w:val="32"/>
        </w:rPr>
        <w:t>贯彻执行党和国家有关交通运输行业的方针、政策和法律、法规。研究拟订全县交通运输行业的规范性文件和政策措施。负责本系统、本部门依法行政工作。</w:t>
      </w:r>
    </w:p>
    <w:p>
      <w:pPr>
        <w:widowControl/>
        <w:adjustRightInd w:val="0"/>
        <w:snapToGrid w:val="0"/>
        <w:spacing w:line="600" w:lineRule="exact"/>
        <w:ind w:firstLine="720"/>
        <w:jc w:val="left"/>
        <w:rPr>
          <w:rFonts w:eastAsia="仿宋_GB2312"/>
          <w:color w:val="000000" w:themeColor="text1"/>
          <w:szCs w:val="32"/>
        </w:rPr>
      </w:pPr>
      <w:r>
        <w:rPr>
          <w:rFonts w:eastAsia="仿宋_GB2312"/>
          <w:color w:val="000000" w:themeColor="text1"/>
          <w:szCs w:val="32"/>
        </w:rPr>
        <w:t>2</w:t>
      </w:r>
      <w:r>
        <w:rPr>
          <w:rFonts w:hint="eastAsia" w:eastAsia="仿宋_GB2312"/>
          <w:color w:val="000000"/>
          <w:kern w:val="0"/>
          <w:szCs w:val="32"/>
          <w:lang w:val="en-US" w:eastAsia="zh-CN"/>
        </w:rPr>
        <w:t>．</w:t>
      </w:r>
      <w:r>
        <w:rPr>
          <w:rFonts w:eastAsia="仿宋_GB2312"/>
          <w:color w:val="000000" w:themeColor="text1"/>
          <w:szCs w:val="32"/>
        </w:rPr>
        <w:t>拟订全县运输业和物流业发展规划并组织实施。编制全县交通基础设施、城市公共交通、区域客货综合运输中长期发展规划并监督执行。负责全县交通行业综合统计、预测及信息引导工作。</w:t>
      </w:r>
    </w:p>
    <w:p>
      <w:pPr>
        <w:widowControl/>
        <w:adjustRightInd w:val="0"/>
        <w:snapToGrid w:val="0"/>
        <w:spacing w:line="600" w:lineRule="exact"/>
        <w:ind w:firstLine="720"/>
        <w:jc w:val="left"/>
        <w:rPr>
          <w:rFonts w:eastAsia="仿宋_GB2312"/>
          <w:color w:val="000000"/>
          <w:szCs w:val="32"/>
        </w:rPr>
      </w:pPr>
      <w:r>
        <w:rPr>
          <w:rFonts w:eastAsia="仿宋_GB2312"/>
          <w:color w:val="000000" w:themeColor="text1"/>
          <w:szCs w:val="32"/>
        </w:rPr>
        <w:t>3</w:t>
      </w:r>
      <w:r>
        <w:rPr>
          <w:rFonts w:hint="eastAsia" w:eastAsia="仿宋_GB2312"/>
          <w:color w:val="000000"/>
          <w:kern w:val="0"/>
          <w:szCs w:val="32"/>
          <w:lang w:val="en-US" w:eastAsia="zh-CN"/>
        </w:rPr>
        <w:t>．</w:t>
      </w:r>
      <w:r>
        <w:rPr>
          <w:rFonts w:eastAsia="仿宋_GB2312"/>
          <w:color w:val="000000" w:themeColor="text1"/>
          <w:szCs w:val="32"/>
        </w:rPr>
        <w:t>贯彻执行国家有关交通科技政策，指导实施交通行业计量、质量、技术标准和规范工作</w:t>
      </w:r>
      <w:r>
        <w:rPr>
          <w:rFonts w:eastAsia="仿宋_GB2312"/>
          <w:color w:val="000000"/>
          <w:szCs w:val="32"/>
        </w:rPr>
        <w:t>。拟订全县交通科技政策、技术标准，组织重大科技开发，推动行业科技创新和进步。负责拟订全县公路养护、农村公路建设的信息化、智能化建设规划并组织实施。</w:t>
      </w:r>
    </w:p>
    <w:p>
      <w:pPr>
        <w:autoSpaceDE w:val="0"/>
        <w:autoSpaceDN w:val="0"/>
        <w:adjustRightInd w:val="0"/>
        <w:spacing w:line="600" w:lineRule="exact"/>
        <w:ind w:firstLine="640" w:firstLineChars="200"/>
        <w:rPr>
          <w:rFonts w:eastAsia="仿宋_GB2312"/>
          <w:color w:val="000000"/>
          <w:szCs w:val="32"/>
        </w:rPr>
      </w:pPr>
      <w:r>
        <w:rPr>
          <w:rFonts w:eastAsia="仿宋_GB2312"/>
          <w:color w:val="000000"/>
          <w:szCs w:val="32"/>
        </w:rPr>
        <w:t>4</w:t>
      </w:r>
      <w:r>
        <w:rPr>
          <w:rFonts w:hint="eastAsia" w:eastAsia="仿宋_GB2312"/>
          <w:color w:val="000000"/>
          <w:kern w:val="0"/>
          <w:szCs w:val="32"/>
          <w:lang w:val="en-US" w:eastAsia="zh-CN"/>
        </w:rPr>
        <w:t>．</w:t>
      </w:r>
      <w:r>
        <w:rPr>
          <w:rFonts w:eastAsia="仿宋_GB2312"/>
          <w:color w:val="000000"/>
          <w:szCs w:val="32"/>
        </w:rPr>
        <w:t>负责全县公路和水路交通运输（含客货运输市场、物流市场、汽车、航舶技术检测和维修市场、运输服务市场、搬运装卸市场以及汽车驾驶学校和驾驶员培训工作）行业管理，维护交通运输行业平等竞争秩序，指导城乡客、货运输的衔接协调工作。承担全县出租汽车、公交汽车运输行业的管理责任。指导地方交通运输行业优化结构、协调发展。对重大节假日旅客运输和抢险物资、救灾物资、重点物资运输进行必要的调控。</w:t>
      </w:r>
    </w:p>
    <w:p>
      <w:pPr>
        <w:autoSpaceDE w:val="0"/>
        <w:autoSpaceDN w:val="0"/>
        <w:adjustRightInd w:val="0"/>
        <w:spacing w:line="600" w:lineRule="exact"/>
        <w:ind w:firstLine="640" w:firstLineChars="200"/>
        <w:rPr>
          <w:rFonts w:eastAsia="仿宋_GB2312"/>
          <w:color w:val="000000"/>
          <w:szCs w:val="32"/>
        </w:rPr>
      </w:pPr>
      <w:r>
        <w:rPr>
          <w:rFonts w:eastAsia="仿宋_GB2312"/>
          <w:color w:val="000000"/>
          <w:szCs w:val="32"/>
        </w:rPr>
        <w:t>5</w:t>
      </w:r>
      <w:r>
        <w:rPr>
          <w:rFonts w:hint="eastAsia" w:eastAsia="仿宋_GB2312"/>
          <w:color w:val="000000"/>
          <w:kern w:val="0"/>
          <w:szCs w:val="32"/>
          <w:lang w:val="en-US" w:eastAsia="zh-CN"/>
        </w:rPr>
        <w:t>．</w:t>
      </w:r>
      <w:r>
        <w:rPr>
          <w:rFonts w:eastAsia="仿宋_GB2312"/>
          <w:color w:val="000000"/>
          <w:szCs w:val="32"/>
        </w:rPr>
        <w:t>负责全县公路和水路交通建设（含客货运输和旅游运输场站建设）行业管理，维护交通建设行业平等竞争秩序。组织实施国家、省、市、县重点公路和水路工程建设，监督全县交通建设项目实施。负责</w:t>
      </w:r>
      <w:r>
        <w:rPr>
          <w:rFonts w:hint="eastAsia" w:eastAsia="仿宋_GB2312"/>
          <w:color w:val="000000"/>
          <w:szCs w:val="32"/>
          <w:lang w:eastAsia="zh-CN"/>
        </w:rPr>
        <w:t>“</w:t>
      </w:r>
      <w:r>
        <w:rPr>
          <w:rFonts w:eastAsia="仿宋_GB2312"/>
          <w:color w:val="000000"/>
          <w:szCs w:val="32"/>
        </w:rPr>
        <w:t>四好</w:t>
      </w:r>
      <w:r>
        <w:rPr>
          <w:rFonts w:hint="eastAsia" w:eastAsia="仿宋_GB2312"/>
          <w:color w:val="000000"/>
          <w:szCs w:val="32"/>
          <w:lang w:eastAsia="zh-CN"/>
        </w:rPr>
        <w:t>”</w:t>
      </w:r>
      <w:r>
        <w:rPr>
          <w:rFonts w:eastAsia="仿宋_GB2312"/>
          <w:color w:val="000000"/>
          <w:szCs w:val="32"/>
        </w:rPr>
        <w:t>农村路建设管理，推行</w:t>
      </w:r>
      <w:r>
        <w:rPr>
          <w:rFonts w:hint="eastAsia" w:eastAsia="仿宋_GB2312"/>
          <w:color w:val="000000"/>
          <w:szCs w:val="32"/>
          <w:lang w:eastAsia="zh-CN"/>
        </w:rPr>
        <w:t>“</w:t>
      </w:r>
      <w:r>
        <w:rPr>
          <w:rFonts w:eastAsia="仿宋_GB2312"/>
          <w:color w:val="000000"/>
          <w:szCs w:val="32"/>
        </w:rPr>
        <w:t>路长制</w:t>
      </w:r>
      <w:r>
        <w:rPr>
          <w:rFonts w:hint="eastAsia" w:eastAsia="仿宋_GB2312"/>
          <w:color w:val="000000"/>
          <w:szCs w:val="32"/>
          <w:lang w:eastAsia="zh-CN"/>
        </w:rPr>
        <w:t>”</w:t>
      </w:r>
      <w:r>
        <w:rPr>
          <w:rFonts w:eastAsia="仿宋_GB2312"/>
          <w:color w:val="000000"/>
          <w:szCs w:val="32"/>
        </w:rPr>
        <w:t>工作。做好全县农村公路建设的统一规划、协调、验收、管理等工作，指导乡镇具体组织实施。</w:t>
      </w:r>
    </w:p>
    <w:p>
      <w:pPr>
        <w:adjustRightInd w:val="0"/>
        <w:snapToGrid w:val="0"/>
        <w:spacing w:line="600" w:lineRule="exact"/>
        <w:ind w:firstLine="640" w:firstLineChars="200"/>
        <w:rPr>
          <w:rFonts w:eastAsia="仿宋_GB2312"/>
          <w:color w:val="000000"/>
          <w:szCs w:val="32"/>
        </w:rPr>
      </w:pPr>
      <w:r>
        <w:rPr>
          <w:rFonts w:eastAsia="仿宋_GB2312"/>
          <w:color w:val="000000"/>
          <w:szCs w:val="32"/>
        </w:rPr>
        <w:t>6</w:t>
      </w:r>
      <w:r>
        <w:rPr>
          <w:rFonts w:hint="eastAsia" w:eastAsia="仿宋_GB2312"/>
          <w:color w:val="000000"/>
          <w:kern w:val="0"/>
          <w:szCs w:val="32"/>
          <w:lang w:val="en-US" w:eastAsia="zh-CN"/>
        </w:rPr>
        <w:t>．</w:t>
      </w:r>
      <w:r>
        <w:rPr>
          <w:rFonts w:eastAsia="仿宋_GB2312"/>
          <w:color w:val="000000"/>
          <w:szCs w:val="32"/>
        </w:rPr>
        <w:t>负责水上交通安全监管。负责水上交通管制，监督管理水上港航设施的建设养护及规费稽征、船舶检验、船舶登记和防止污染、救助打捞、通讯导航、危险品运输工作。负责船员培训和发证的归口管理工作。负责渔船检验和监督管理工作。负责港口、码头、航道建设、使用岸线布局的行业管理。负责指导水运市场规划、运力投放管理工作。</w:t>
      </w:r>
    </w:p>
    <w:p>
      <w:pPr>
        <w:adjustRightInd w:val="0"/>
        <w:snapToGrid w:val="0"/>
        <w:spacing w:line="600" w:lineRule="exact"/>
        <w:ind w:firstLine="640" w:firstLineChars="200"/>
        <w:rPr>
          <w:rFonts w:eastAsia="仿宋_GB2312"/>
          <w:color w:val="000000"/>
          <w:szCs w:val="32"/>
        </w:rPr>
      </w:pPr>
      <w:r>
        <w:rPr>
          <w:rFonts w:eastAsia="仿宋_GB2312"/>
          <w:color w:val="000000"/>
          <w:szCs w:val="32"/>
        </w:rPr>
        <w:t>7</w:t>
      </w:r>
      <w:r>
        <w:rPr>
          <w:rFonts w:hint="eastAsia" w:eastAsia="仿宋_GB2312"/>
          <w:color w:val="000000"/>
          <w:kern w:val="0"/>
          <w:szCs w:val="32"/>
          <w:lang w:val="en-US" w:eastAsia="zh-CN"/>
        </w:rPr>
        <w:t>．</w:t>
      </w:r>
      <w:r>
        <w:rPr>
          <w:rFonts w:eastAsia="仿宋_GB2312"/>
          <w:color w:val="000000"/>
          <w:szCs w:val="32"/>
        </w:rPr>
        <w:t>负责道路运输安全监管。监督指导全县道路运输源头安全、公路工程建设及养护安全和交通企事业单位内部安全，督促法人安全责任制的落实。组织协调全县交通行业重特大责任事故应急救援和突发事件的处置，牵头负责一般责任事故调查处理，组织参与重特大事故调查处理工作。</w:t>
      </w:r>
    </w:p>
    <w:p>
      <w:pPr>
        <w:autoSpaceDE w:val="0"/>
        <w:autoSpaceDN w:val="0"/>
        <w:adjustRightInd w:val="0"/>
        <w:spacing w:line="600" w:lineRule="exact"/>
        <w:ind w:firstLine="640" w:firstLineChars="200"/>
        <w:rPr>
          <w:rFonts w:eastAsia="仿宋_GB2312"/>
          <w:color w:val="000000"/>
          <w:szCs w:val="32"/>
        </w:rPr>
      </w:pPr>
      <w:r>
        <w:rPr>
          <w:rFonts w:eastAsia="仿宋_GB2312"/>
          <w:color w:val="000000"/>
          <w:szCs w:val="32"/>
        </w:rPr>
        <w:t>8</w:t>
      </w:r>
      <w:r>
        <w:rPr>
          <w:rFonts w:hint="eastAsia" w:eastAsia="仿宋_GB2312"/>
          <w:color w:val="000000"/>
          <w:kern w:val="0"/>
          <w:szCs w:val="32"/>
          <w:lang w:val="en-US" w:eastAsia="zh-CN"/>
        </w:rPr>
        <w:t>．</w:t>
      </w:r>
      <w:r>
        <w:rPr>
          <w:rFonts w:eastAsia="仿宋_GB2312"/>
          <w:color w:val="000000"/>
          <w:szCs w:val="32"/>
        </w:rPr>
        <w:t>指导交通行业的体制改革，负责交通特许经营企业的管理，建立健全规范的交通行业财务管理与会计核算体系，监督管理全县交通行业国有资产。开展省际、市际、县际交通经济技术合作与交通工作。</w:t>
      </w:r>
    </w:p>
    <w:p>
      <w:pPr>
        <w:autoSpaceDE w:val="0"/>
        <w:autoSpaceDN w:val="0"/>
        <w:adjustRightInd w:val="0"/>
        <w:spacing w:line="600" w:lineRule="exact"/>
        <w:ind w:firstLine="640" w:firstLineChars="200"/>
        <w:rPr>
          <w:rFonts w:eastAsia="仿宋_GB2312"/>
          <w:color w:val="000000"/>
          <w:szCs w:val="32"/>
        </w:rPr>
      </w:pPr>
      <w:r>
        <w:rPr>
          <w:rFonts w:eastAsia="仿宋_GB2312"/>
          <w:color w:val="000000"/>
          <w:szCs w:val="32"/>
        </w:rPr>
        <w:t>9</w:t>
      </w:r>
      <w:r>
        <w:rPr>
          <w:rFonts w:hint="eastAsia" w:eastAsia="仿宋_GB2312"/>
          <w:color w:val="000000"/>
          <w:kern w:val="0"/>
          <w:szCs w:val="32"/>
          <w:lang w:val="en-US" w:eastAsia="zh-CN"/>
        </w:rPr>
        <w:t>．</w:t>
      </w:r>
      <w:r>
        <w:rPr>
          <w:rFonts w:eastAsia="仿宋_GB2312"/>
          <w:color w:val="000000"/>
          <w:szCs w:val="32"/>
        </w:rPr>
        <w:t>负责全县交通战备管理。承担全县重大国防交通运输工作的组织协调和监督检查，承担抢险救灾等突发事件的交通保障任务和交通战备物资运输必要的调控。</w:t>
      </w:r>
    </w:p>
    <w:p>
      <w:pPr>
        <w:spacing w:line="600" w:lineRule="exact"/>
        <w:ind w:firstLine="640" w:firstLineChars="200"/>
        <w:rPr>
          <w:rFonts w:eastAsia="仿宋_GB2312"/>
          <w:color w:val="000000"/>
          <w:szCs w:val="32"/>
        </w:rPr>
      </w:pPr>
      <w:r>
        <w:rPr>
          <w:rFonts w:eastAsia="仿宋_GB2312"/>
          <w:color w:val="000000"/>
          <w:szCs w:val="32"/>
        </w:rPr>
        <w:t>10</w:t>
      </w:r>
      <w:r>
        <w:rPr>
          <w:rFonts w:hint="eastAsia" w:eastAsia="仿宋_GB2312"/>
          <w:color w:val="000000"/>
          <w:kern w:val="0"/>
          <w:szCs w:val="32"/>
          <w:lang w:val="en-US" w:eastAsia="zh-CN"/>
        </w:rPr>
        <w:t>．</w:t>
      </w:r>
      <w:r>
        <w:rPr>
          <w:rFonts w:eastAsia="仿宋_GB2312"/>
          <w:color w:val="000000"/>
          <w:szCs w:val="32"/>
        </w:rPr>
        <w:t>协调配合相关部门开展本行业违法违规事件的调查处理工作。</w:t>
      </w:r>
    </w:p>
    <w:p>
      <w:pPr>
        <w:spacing w:line="600" w:lineRule="exact"/>
        <w:ind w:firstLine="640" w:firstLineChars="200"/>
        <w:rPr>
          <w:rFonts w:eastAsia="仿宋_GB2312"/>
          <w:b/>
          <w:color w:val="000000"/>
          <w:szCs w:val="32"/>
        </w:rPr>
      </w:pPr>
      <w:r>
        <w:rPr>
          <w:rFonts w:eastAsia="仿宋_GB2312"/>
          <w:color w:val="000000"/>
          <w:szCs w:val="32"/>
        </w:rPr>
        <w:t>11</w:t>
      </w:r>
      <w:r>
        <w:rPr>
          <w:rFonts w:hint="eastAsia" w:eastAsia="仿宋_GB2312"/>
          <w:color w:val="000000"/>
          <w:kern w:val="0"/>
          <w:szCs w:val="32"/>
          <w:lang w:val="en-US" w:eastAsia="zh-CN"/>
        </w:rPr>
        <w:t>．</w:t>
      </w:r>
      <w:r>
        <w:rPr>
          <w:rFonts w:eastAsia="仿宋_GB2312"/>
          <w:color w:val="000000"/>
          <w:szCs w:val="32"/>
        </w:rPr>
        <w:t>负责职责范围内的安全生产和职业健康、生态环境保护等工作。</w:t>
      </w:r>
    </w:p>
    <w:p>
      <w:pPr>
        <w:spacing w:line="600" w:lineRule="exact"/>
        <w:ind w:firstLine="640" w:firstLineChars="200"/>
        <w:contextualSpacing/>
        <w:rPr>
          <w:rFonts w:eastAsia="仿宋_GB2312"/>
          <w:color w:val="000000"/>
          <w:szCs w:val="32"/>
        </w:rPr>
      </w:pPr>
      <w:r>
        <w:rPr>
          <w:rFonts w:eastAsia="仿宋_GB2312"/>
          <w:color w:val="000000"/>
          <w:szCs w:val="32"/>
        </w:rPr>
        <w:t>12</w:t>
      </w:r>
      <w:r>
        <w:rPr>
          <w:rFonts w:hint="eastAsia" w:eastAsia="仿宋_GB2312"/>
          <w:color w:val="000000"/>
          <w:kern w:val="0"/>
          <w:szCs w:val="32"/>
          <w:lang w:val="en-US" w:eastAsia="zh-CN"/>
        </w:rPr>
        <w:t>．</w:t>
      </w:r>
      <w:r>
        <w:rPr>
          <w:rFonts w:eastAsia="仿宋_GB2312"/>
          <w:color w:val="000000"/>
          <w:szCs w:val="32"/>
        </w:rPr>
        <w:t>完成县委、县政府交办的其他工作。</w:t>
      </w:r>
    </w:p>
    <w:p>
      <w:pPr>
        <w:spacing w:line="600" w:lineRule="exact"/>
        <w:ind w:firstLine="640" w:firstLineChars="200"/>
        <w:contextualSpacing/>
        <w:rPr>
          <w:rFonts w:hint="eastAsia" w:eastAsia="仿宋_GB2312"/>
          <w:color w:val="000000"/>
          <w:szCs w:val="32"/>
        </w:rPr>
      </w:pPr>
      <w:r>
        <w:rPr>
          <w:rFonts w:eastAsia="仿宋_GB2312"/>
          <w:color w:val="000000"/>
          <w:szCs w:val="32"/>
        </w:rPr>
        <w:t>13</w:t>
      </w:r>
      <w:r>
        <w:rPr>
          <w:rFonts w:hint="eastAsia" w:eastAsia="仿宋_GB2312"/>
          <w:color w:val="000000"/>
          <w:kern w:val="0"/>
          <w:szCs w:val="32"/>
          <w:lang w:val="en-US" w:eastAsia="zh-CN"/>
        </w:rPr>
        <w:t>．</w:t>
      </w:r>
      <w:r>
        <w:rPr>
          <w:rFonts w:eastAsia="仿宋_GB2312"/>
          <w:color w:val="000000"/>
          <w:szCs w:val="32"/>
        </w:rPr>
        <w:t>职能转变</w:t>
      </w:r>
    </w:p>
    <w:p>
      <w:pPr>
        <w:spacing w:line="600" w:lineRule="exact"/>
        <w:ind w:firstLine="640" w:firstLineChars="200"/>
        <w:contextualSpacing/>
        <w:rPr>
          <w:rFonts w:hint="eastAsia" w:eastAsia="仿宋_GB2312"/>
          <w:color w:val="000000"/>
          <w:szCs w:val="32"/>
        </w:rPr>
      </w:pPr>
      <w:r>
        <w:rPr>
          <w:rFonts w:eastAsia="仿宋_GB2312"/>
          <w:color w:val="000000"/>
          <w:szCs w:val="32"/>
        </w:rPr>
        <w:t>统筹推进承担行政职能的事业单位改革。县公路路政管理大队不再承担公路路政管理等行政职责。县道路运输管理所不再承担道路运输管理等行政职责。县航务管理处（县地方海事处）不再承担航务管理等行政职责。上述行政职责交由县交通运输局机关有关内设机构承担。</w:t>
      </w:r>
    </w:p>
    <w:p>
      <w:pPr>
        <w:spacing w:line="600" w:lineRule="exact"/>
        <w:ind w:firstLine="643" w:firstLineChars="200"/>
        <w:contextualSpacing/>
        <w:rPr>
          <w:rFonts w:eastAsia="仿宋_GB2312"/>
          <w:color w:val="000000"/>
          <w:kern w:val="0"/>
          <w:szCs w:val="32"/>
          <w:shd w:val="clear" w:color="auto" w:fill="FFFFFF"/>
        </w:rPr>
      </w:pPr>
      <w:r>
        <w:rPr>
          <w:rFonts w:eastAsia="楷体"/>
          <w:b/>
          <w:bCs/>
          <w:szCs w:val="32"/>
          <w:lang w:val="zh-CN"/>
        </w:rPr>
        <w:t>（</w:t>
      </w:r>
      <w:r>
        <w:rPr>
          <w:rFonts w:eastAsia="楷体"/>
          <w:b/>
          <w:bCs/>
          <w:szCs w:val="32"/>
        </w:rPr>
        <w:t>三</w:t>
      </w:r>
      <w:r>
        <w:rPr>
          <w:rFonts w:eastAsia="楷体"/>
          <w:b/>
          <w:bCs/>
          <w:szCs w:val="32"/>
          <w:lang w:val="zh-CN"/>
        </w:rPr>
        <w:t>）人员概况</w:t>
      </w:r>
    </w:p>
    <w:p>
      <w:pPr>
        <w:snapToGrid w:val="0"/>
        <w:spacing w:line="600" w:lineRule="exact"/>
        <w:ind w:firstLine="640" w:firstLineChars="200"/>
        <w:rPr>
          <w:rFonts w:eastAsia="仿宋_GB2312"/>
          <w:color w:val="000000"/>
          <w:szCs w:val="32"/>
          <w:lang w:val="zh-CN"/>
        </w:rPr>
      </w:pPr>
      <w:r>
        <w:rPr>
          <w:rFonts w:eastAsia="仿宋_GB2312"/>
          <w:color w:val="000000"/>
          <w:szCs w:val="32"/>
        </w:rPr>
        <w:t>交通运输局现在职人员共117人，其中行政人员10人（编制10人），参照公务员法管理事业人员3人（编制6人），非参公事业人员104人：工勤1人（编制1人）、公路建设服务中心82人（编制90人）、设计所9人（编制10人）、质监站12人（编制14人）。</w:t>
      </w:r>
    </w:p>
    <w:p>
      <w:pPr>
        <w:spacing w:line="600" w:lineRule="exact"/>
        <w:ind w:firstLine="643" w:firstLineChars="200"/>
        <w:rPr>
          <w:rFonts w:eastAsia="楷体"/>
          <w:b/>
          <w:bCs/>
          <w:szCs w:val="32"/>
          <w:lang w:val="zh-CN"/>
        </w:rPr>
      </w:pPr>
      <w:r>
        <w:rPr>
          <w:rFonts w:hint="eastAsia" w:eastAsia="黑体"/>
          <w:b/>
          <w:szCs w:val="32"/>
        </w:rPr>
        <w:t>二、</w:t>
      </w:r>
      <w:r>
        <w:rPr>
          <w:rFonts w:eastAsia="黑体"/>
          <w:b/>
          <w:szCs w:val="32"/>
        </w:rPr>
        <w:t>部门财政资金收支情况</w:t>
      </w:r>
    </w:p>
    <w:p>
      <w:pPr>
        <w:spacing w:line="600" w:lineRule="exact"/>
        <w:ind w:firstLine="643" w:firstLineChars="200"/>
        <w:rPr>
          <w:rFonts w:eastAsia="楷体"/>
          <w:b/>
          <w:bCs/>
          <w:szCs w:val="32"/>
          <w:lang w:val="zh-CN"/>
        </w:rPr>
      </w:pPr>
      <w:r>
        <w:rPr>
          <w:rFonts w:eastAsia="楷体"/>
          <w:b/>
          <w:bCs/>
          <w:szCs w:val="32"/>
          <w:lang w:val="zh-CN"/>
        </w:rPr>
        <w:t>（一）部门财政资金收入情况</w:t>
      </w:r>
    </w:p>
    <w:p>
      <w:pPr>
        <w:spacing w:line="600" w:lineRule="exact"/>
        <w:ind w:firstLine="640" w:firstLineChars="200"/>
        <w:rPr>
          <w:rFonts w:eastAsia="仿宋_GB2312"/>
          <w:color w:val="000000"/>
          <w:kern w:val="0"/>
          <w:szCs w:val="32"/>
        </w:rPr>
      </w:pPr>
      <w:r>
        <w:rPr>
          <w:rFonts w:eastAsia="仿宋_GB2312"/>
          <w:color w:val="000000"/>
          <w:kern w:val="0"/>
          <w:szCs w:val="32"/>
        </w:rPr>
        <w:t>2021年交通运输局年初财政拨款预算收入2141.1万元，2021年调整预算收入8289.92万元</w:t>
      </w:r>
      <w:r>
        <w:rPr>
          <w:rFonts w:eastAsia="仿宋_GB2312"/>
          <w:kern w:val="0"/>
          <w:szCs w:val="32"/>
        </w:rPr>
        <w:t>，在年初预算的基础上调整增加收入6148.82万元</w:t>
      </w:r>
      <w:r>
        <w:rPr>
          <w:rFonts w:eastAsia="仿宋_GB2312"/>
          <w:color w:val="000000"/>
          <w:kern w:val="0"/>
          <w:szCs w:val="32"/>
        </w:rPr>
        <w:t>。</w:t>
      </w:r>
    </w:p>
    <w:p>
      <w:pPr>
        <w:spacing w:line="600" w:lineRule="exact"/>
        <w:ind w:firstLine="640" w:firstLineChars="200"/>
        <w:rPr>
          <w:rFonts w:eastAsia="仿宋_GB2312"/>
          <w:color w:val="000000"/>
          <w:kern w:val="0"/>
          <w:szCs w:val="32"/>
        </w:rPr>
      </w:pPr>
      <w:r>
        <w:rPr>
          <w:rFonts w:eastAsia="仿宋_GB2312"/>
          <w:color w:val="000000"/>
          <w:kern w:val="0"/>
          <w:szCs w:val="32"/>
        </w:rPr>
        <w:t>1</w:t>
      </w:r>
      <w:r>
        <w:rPr>
          <w:rFonts w:hint="eastAsia" w:eastAsia="仿宋_GB2312"/>
          <w:color w:val="000000"/>
          <w:kern w:val="0"/>
          <w:szCs w:val="32"/>
          <w:lang w:val="en-US" w:eastAsia="zh-CN"/>
        </w:rPr>
        <w:t>．</w:t>
      </w:r>
      <w:r>
        <w:rPr>
          <w:rFonts w:eastAsia="仿宋_GB2312"/>
          <w:szCs w:val="32"/>
        </w:rPr>
        <w:t>年初预算收入。根据《</w:t>
      </w:r>
      <w:r>
        <w:rPr>
          <w:rFonts w:eastAsia="仿宋_GB2312"/>
          <w:color w:val="000000"/>
          <w:kern w:val="0"/>
          <w:szCs w:val="32"/>
        </w:rPr>
        <w:t>沐川县财政局关于批复2021年部门预算的通知》（沐财发〔2021〕17号）文件，县财政局下达我单位年初预算收入2141.1万元。</w:t>
      </w:r>
    </w:p>
    <w:p>
      <w:pPr>
        <w:widowControl/>
        <w:adjustRightInd w:val="0"/>
        <w:snapToGrid w:val="0"/>
        <w:spacing w:line="600" w:lineRule="exact"/>
        <w:ind w:firstLine="640"/>
        <w:rPr>
          <w:rFonts w:eastAsia="仿宋_GB2312"/>
          <w:color w:val="000000"/>
          <w:kern w:val="0"/>
          <w:szCs w:val="32"/>
        </w:rPr>
      </w:pPr>
      <w:r>
        <w:rPr>
          <w:rFonts w:eastAsia="仿宋_GB2312"/>
          <w:color w:val="000000"/>
          <w:kern w:val="0"/>
          <w:szCs w:val="32"/>
        </w:rPr>
        <w:t>（1）基本支出预算收入1451.8万元，其中：工资福利支出847.7万元，对事业单位经常性补助395.79万元，对个人和家庭的补助31.8万元，商品和服务支出161.71万元，资本性支出14.8万元。</w:t>
      </w:r>
    </w:p>
    <w:p>
      <w:pPr>
        <w:widowControl/>
        <w:adjustRightInd w:val="0"/>
        <w:snapToGrid w:val="0"/>
        <w:spacing w:line="600" w:lineRule="exact"/>
        <w:ind w:firstLine="640"/>
        <w:rPr>
          <w:rFonts w:eastAsia="仿宋_GB2312"/>
          <w:color w:val="000000"/>
          <w:kern w:val="0"/>
          <w:szCs w:val="32"/>
        </w:rPr>
      </w:pPr>
      <w:r>
        <w:rPr>
          <w:rFonts w:eastAsia="仿宋_GB2312"/>
          <w:color w:val="000000"/>
          <w:kern w:val="0"/>
          <w:szCs w:val="32"/>
        </w:rPr>
        <w:t>（2）项目支出预算收入689.3万元，其中：运转事务类项目45万元，民生类644.3万元。</w:t>
      </w:r>
    </w:p>
    <w:p>
      <w:pPr>
        <w:widowControl/>
        <w:adjustRightInd w:val="0"/>
        <w:snapToGrid w:val="0"/>
        <w:spacing w:line="600" w:lineRule="exact"/>
        <w:ind w:firstLine="720"/>
        <w:rPr>
          <w:rFonts w:eastAsia="仿宋_GB2312"/>
          <w:color w:val="000000"/>
          <w:kern w:val="0"/>
          <w:szCs w:val="32"/>
        </w:rPr>
      </w:pPr>
      <w:r>
        <w:rPr>
          <w:rFonts w:eastAsia="仿宋_GB2312"/>
          <w:color w:val="000000"/>
          <w:kern w:val="0"/>
          <w:szCs w:val="32"/>
        </w:rPr>
        <w:t>2</w:t>
      </w:r>
      <w:r>
        <w:rPr>
          <w:rFonts w:hint="eastAsia" w:eastAsia="仿宋_GB2312"/>
          <w:color w:val="000000"/>
          <w:kern w:val="0"/>
          <w:szCs w:val="32"/>
          <w:lang w:val="en-US" w:eastAsia="zh-CN"/>
        </w:rPr>
        <w:t>．</w:t>
      </w:r>
      <w:r>
        <w:rPr>
          <w:rFonts w:eastAsia="仿宋_GB2312"/>
          <w:color w:val="000000"/>
          <w:kern w:val="0"/>
          <w:szCs w:val="32"/>
        </w:rPr>
        <w:t>年中调整预算收入。</w:t>
      </w:r>
      <w:r>
        <w:rPr>
          <w:rFonts w:eastAsia="仿宋_GB2312"/>
          <w:kern w:val="0"/>
          <w:szCs w:val="32"/>
        </w:rPr>
        <w:t>2021年调整预算收入8289.92万元，在年初预算的基础上调整增加收入6148.82万元。</w:t>
      </w:r>
    </w:p>
    <w:p>
      <w:pPr>
        <w:widowControl/>
        <w:adjustRightInd w:val="0"/>
        <w:snapToGrid w:val="0"/>
        <w:spacing w:line="600" w:lineRule="exact"/>
        <w:ind w:firstLine="640" w:firstLineChars="200"/>
        <w:rPr>
          <w:rFonts w:eastAsia="仿宋_GB2312"/>
          <w:color w:val="000000"/>
          <w:kern w:val="0"/>
          <w:szCs w:val="32"/>
        </w:rPr>
      </w:pPr>
      <w:r>
        <w:rPr>
          <w:rFonts w:eastAsia="仿宋_GB2312"/>
          <w:color w:val="000000"/>
          <w:kern w:val="0"/>
          <w:szCs w:val="32"/>
        </w:rPr>
        <w:t>（1）基本支出预算调整。因政策性调资、机构改革、发放2021年度综合目标奖等共调整工资福利支出613.94万元。</w:t>
      </w:r>
    </w:p>
    <w:p>
      <w:pPr>
        <w:widowControl/>
        <w:adjustRightInd w:val="0"/>
        <w:snapToGrid w:val="0"/>
        <w:spacing w:line="600" w:lineRule="exact"/>
        <w:ind w:firstLine="640" w:firstLineChars="200"/>
        <w:rPr>
          <w:rFonts w:eastAsia="仿宋_GB2312"/>
          <w:color w:val="000000"/>
          <w:kern w:val="0"/>
          <w:szCs w:val="32"/>
        </w:rPr>
      </w:pPr>
      <w:r>
        <w:rPr>
          <w:rFonts w:eastAsia="仿宋_GB2312"/>
          <w:color w:val="000000"/>
          <w:kern w:val="0"/>
          <w:szCs w:val="32"/>
        </w:rPr>
        <w:t>（2）项目支出预算调整5534.88万元。</w:t>
      </w:r>
    </w:p>
    <w:p>
      <w:pPr>
        <w:widowControl/>
        <w:adjustRightInd w:val="0"/>
        <w:snapToGrid w:val="0"/>
        <w:spacing w:line="600" w:lineRule="exact"/>
        <w:ind w:firstLine="640" w:firstLineChars="200"/>
        <w:contextualSpacing/>
        <w:jc w:val="left"/>
        <w:rPr>
          <w:rFonts w:hint="eastAsia" w:eastAsia="仿宋_GB2312"/>
          <w:kern w:val="0"/>
          <w:szCs w:val="32"/>
        </w:rPr>
      </w:pPr>
      <w:r>
        <w:rPr>
          <w:rFonts w:eastAsia="仿宋_GB2312"/>
          <w:bCs/>
          <w:kern w:val="0"/>
          <w:szCs w:val="32"/>
        </w:rPr>
        <w:t>3</w:t>
      </w:r>
      <w:r>
        <w:rPr>
          <w:rFonts w:hint="eastAsia" w:eastAsia="仿宋_GB2312"/>
          <w:color w:val="000000"/>
          <w:kern w:val="0"/>
          <w:szCs w:val="32"/>
          <w:lang w:val="en-US" w:eastAsia="zh-CN"/>
        </w:rPr>
        <w:t>．</w:t>
      </w:r>
      <w:r>
        <w:rPr>
          <w:rFonts w:eastAsia="仿宋_GB2312"/>
          <w:bCs/>
          <w:kern w:val="0"/>
          <w:szCs w:val="32"/>
        </w:rPr>
        <w:t>结转结余情况。</w:t>
      </w:r>
      <w:r>
        <w:rPr>
          <w:rFonts w:eastAsia="仿宋_GB2312"/>
          <w:kern w:val="0"/>
          <w:szCs w:val="32"/>
        </w:rPr>
        <w:t>本单位上年结转7220.58万元，年末结转1633.35万元。</w:t>
      </w:r>
    </w:p>
    <w:p>
      <w:pPr>
        <w:widowControl/>
        <w:adjustRightInd w:val="0"/>
        <w:snapToGrid w:val="0"/>
        <w:spacing w:line="600" w:lineRule="exact"/>
        <w:ind w:firstLine="643" w:firstLineChars="200"/>
        <w:contextualSpacing/>
        <w:jc w:val="left"/>
        <w:rPr>
          <w:rFonts w:eastAsia="仿宋_GB2312"/>
          <w:color w:val="000000"/>
          <w:kern w:val="0"/>
          <w:szCs w:val="32"/>
          <w:shd w:val="clear" w:color="auto" w:fill="FFFFFF"/>
          <w:lang w:val="zh-CN"/>
        </w:rPr>
      </w:pPr>
      <w:r>
        <w:rPr>
          <w:rFonts w:eastAsia="楷体"/>
          <w:b/>
          <w:bCs/>
          <w:szCs w:val="32"/>
          <w:lang w:val="zh-CN"/>
        </w:rPr>
        <w:t>（</w:t>
      </w:r>
      <w:r>
        <w:rPr>
          <w:rFonts w:eastAsia="楷体"/>
          <w:b/>
          <w:bCs/>
          <w:szCs w:val="32"/>
        </w:rPr>
        <w:t>二</w:t>
      </w:r>
      <w:r>
        <w:rPr>
          <w:rFonts w:eastAsia="楷体"/>
          <w:b/>
          <w:bCs/>
          <w:szCs w:val="32"/>
          <w:lang w:val="zh-CN"/>
        </w:rPr>
        <w:t>）部门财政资金支出情况</w:t>
      </w:r>
    </w:p>
    <w:p>
      <w:pPr>
        <w:widowControl/>
        <w:adjustRightInd w:val="0"/>
        <w:snapToGrid w:val="0"/>
        <w:spacing w:line="600" w:lineRule="exact"/>
        <w:ind w:firstLine="640" w:firstLineChars="200"/>
        <w:contextualSpacing/>
        <w:jc w:val="left"/>
        <w:rPr>
          <w:rFonts w:eastAsia="仿宋_GB2312"/>
          <w:color w:val="000000"/>
          <w:kern w:val="0"/>
          <w:szCs w:val="32"/>
        </w:rPr>
      </w:pPr>
      <w:r>
        <w:rPr>
          <w:rFonts w:eastAsia="仿宋_GB2312"/>
          <w:color w:val="000000"/>
          <w:kern w:val="0"/>
          <w:szCs w:val="32"/>
        </w:rPr>
        <w:t>1</w:t>
      </w:r>
      <w:r>
        <w:rPr>
          <w:rFonts w:hint="eastAsia" w:eastAsia="仿宋_GB2312"/>
          <w:color w:val="000000"/>
          <w:kern w:val="0"/>
          <w:szCs w:val="32"/>
          <w:lang w:val="en-US" w:eastAsia="zh-CN"/>
        </w:rPr>
        <w:t>．</w:t>
      </w:r>
      <w:r>
        <w:rPr>
          <w:rFonts w:eastAsia="仿宋_GB2312"/>
          <w:color w:val="000000"/>
          <w:kern w:val="0"/>
          <w:szCs w:val="32"/>
        </w:rPr>
        <w:t>基本支出预算使用情况</w:t>
      </w:r>
    </w:p>
    <w:p>
      <w:pPr>
        <w:widowControl/>
        <w:adjustRightInd w:val="0"/>
        <w:snapToGrid w:val="0"/>
        <w:spacing w:line="600" w:lineRule="exact"/>
        <w:ind w:firstLine="720"/>
        <w:rPr>
          <w:rFonts w:eastAsia="仿宋_GB2312"/>
          <w:color w:val="000000"/>
          <w:kern w:val="0"/>
          <w:szCs w:val="32"/>
        </w:rPr>
      </w:pPr>
      <w:r>
        <w:rPr>
          <w:rFonts w:eastAsia="仿宋_GB2312"/>
          <w:color w:val="000000"/>
          <w:kern w:val="0"/>
          <w:szCs w:val="32"/>
        </w:rPr>
        <w:t>2021年县交通运输局保障机关及下属事业单位运转各项支出共2065.73万元，主要用于保障本系统正常运转的日常支出，包括基本工资、津贴补贴等人员经费以及办公费、差旅费、公务接待费、</w:t>
      </w:r>
    </w:p>
    <w:p>
      <w:pPr>
        <w:widowControl/>
        <w:adjustRightInd w:val="0"/>
        <w:snapToGrid w:val="0"/>
        <w:spacing w:line="600" w:lineRule="exact"/>
        <w:rPr>
          <w:rFonts w:eastAsia="仿宋_GB2312"/>
          <w:color w:val="000000"/>
          <w:kern w:val="0"/>
          <w:szCs w:val="32"/>
        </w:rPr>
      </w:pPr>
      <w:r>
        <w:rPr>
          <w:rFonts w:eastAsia="仿宋_GB2312"/>
          <w:color w:val="000000"/>
          <w:kern w:val="0"/>
          <w:szCs w:val="32"/>
        </w:rPr>
        <w:t>公务用车运行维护费、印刷费、水电费、办公设备维护等日常公用</w:t>
      </w:r>
    </w:p>
    <w:p>
      <w:pPr>
        <w:widowControl/>
        <w:adjustRightInd w:val="0"/>
        <w:snapToGrid w:val="0"/>
        <w:spacing w:line="600" w:lineRule="exact"/>
        <w:rPr>
          <w:rFonts w:eastAsia="仿宋_GB2312"/>
          <w:color w:val="000000"/>
          <w:kern w:val="0"/>
          <w:szCs w:val="32"/>
        </w:rPr>
      </w:pPr>
      <w:r>
        <w:rPr>
          <w:rFonts w:eastAsia="仿宋_GB2312"/>
          <w:color w:val="000000"/>
          <w:kern w:val="0"/>
          <w:szCs w:val="32"/>
        </w:rPr>
        <w:t>经费。</w:t>
      </w:r>
    </w:p>
    <w:p>
      <w:pPr>
        <w:widowControl/>
        <w:adjustRightInd w:val="0"/>
        <w:snapToGrid w:val="0"/>
        <w:spacing w:line="600" w:lineRule="exact"/>
        <w:ind w:firstLine="640" w:firstLineChars="200"/>
        <w:rPr>
          <w:rFonts w:eastAsia="仿宋_GB2312"/>
          <w:color w:val="000000"/>
          <w:kern w:val="0"/>
          <w:szCs w:val="32"/>
        </w:rPr>
      </w:pPr>
      <w:r>
        <w:rPr>
          <w:rFonts w:eastAsia="仿宋_GB2312"/>
          <w:color w:val="000000"/>
          <w:kern w:val="0"/>
          <w:szCs w:val="32"/>
        </w:rPr>
        <w:t>2</w:t>
      </w:r>
      <w:r>
        <w:rPr>
          <w:rFonts w:hint="eastAsia" w:eastAsia="仿宋_GB2312"/>
          <w:color w:val="000000"/>
          <w:kern w:val="0"/>
          <w:szCs w:val="32"/>
          <w:lang w:val="en-US" w:eastAsia="zh-CN"/>
        </w:rPr>
        <w:t>．</w:t>
      </w:r>
      <w:r>
        <w:rPr>
          <w:rFonts w:eastAsia="仿宋_GB2312"/>
          <w:color w:val="000000"/>
          <w:kern w:val="0"/>
          <w:szCs w:val="32"/>
        </w:rPr>
        <w:t>项目预算支出情况</w:t>
      </w:r>
    </w:p>
    <w:p>
      <w:pPr>
        <w:widowControl/>
        <w:adjustRightInd w:val="0"/>
        <w:snapToGrid w:val="0"/>
        <w:spacing w:line="600" w:lineRule="exact"/>
        <w:ind w:firstLine="720"/>
        <w:rPr>
          <w:rFonts w:eastAsia="仿宋_GB2312"/>
          <w:color w:val="000000" w:themeColor="text1"/>
          <w:kern w:val="0"/>
          <w:szCs w:val="32"/>
        </w:rPr>
      </w:pPr>
      <w:r>
        <w:rPr>
          <w:rFonts w:eastAsia="仿宋_GB2312"/>
          <w:color w:val="000000" w:themeColor="text1"/>
          <w:kern w:val="0"/>
          <w:szCs w:val="32"/>
        </w:rPr>
        <w:t>2021年县交通运输局项目预算支出12433.76万元。</w:t>
      </w:r>
    </w:p>
    <w:p>
      <w:pPr>
        <w:widowControl/>
        <w:numPr>
          <w:ilvl w:val="0"/>
          <w:numId w:val="1"/>
        </w:numPr>
        <w:adjustRightInd w:val="0"/>
        <w:snapToGrid w:val="0"/>
        <w:spacing w:line="600" w:lineRule="exact"/>
        <w:ind w:firstLine="720"/>
        <w:rPr>
          <w:rFonts w:eastAsia="仿宋_GB2312"/>
          <w:color w:val="000000"/>
          <w:kern w:val="0"/>
          <w:szCs w:val="32"/>
        </w:rPr>
      </w:pPr>
      <w:r>
        <w:rPr>
          <w:rFonts w:eastAsia="仿宋_GB2312"/>
          <w:color w:val="000000"/>
          <w:kern w:val="0"/>
          <w:szCs w:val="32"/>
        </w:rPr>
        <w:t>社会保障和就业支出29.27万元，主要包括：企业关闭破产补助29.27万元。</w:t>
      </w:r>
    </w:p>
    <w:p>
      <w:pPr>
        <w:widowControl/>
        <w:numPr>
          <w:ilvl w:val="0"/>
          <w:numId w:val="1"/>
        </w:numPr>
        <w:adjustRightInd w:val="0"/>
        <w:snapToGrid w:val="0"/>
        <w:spacing w:line="600" w:lineRule="exact"/>
        <w:ind w:firstLine="720"/>
        <w:rPr>
          <w:rFonts w:eastAsia="仿宋_GB2312"/>
          <w:color w:val="000000"/>
          <w:kern w:val="0"/>
          <w:szCs w:val="32"/>
        </w:rPr>
      </w:pPr>
      <w:r>
        <w:rPr>
          <w:rFonts w:eastAsia="仿宋_GB2312"/>
          <w:color w:val="000000"/>
          <w:kern w:val="0"/>
          <w:szCs w:val="32"/>
        </w:rPr>
        <w:t>节能环保支出12万元。主要包括：能源节约利用12万元。</w:t>
      </w:r>
    </w:p>
    <w:p>
      <w:pPr>
        <w:widowControl/>
        <w:numPr>
          <w:ilvl w:val="0"/>
          <w:numId w:val="1"/>
        </w:numPr>
        <w:adjustRightInd w:val="0"/>
        <w:snapToGrid w:val="0"/>
        <w:spacing w:line="600" w:lineRule="exact"/>
        <w:ind w:firstLine="720"/>
        <w:rPr>
          <w:rFonts w:eastAsia="仿宋_GB2312"/>
          <w:color w:val="000000"/>
          <w:kern w:val="0"/>
          <w:szCs w:val="32"/>
        </w:rPr>
      </w:pPr>
      <w:r>
        <w:rPr>
          <w:rFonts w:eastAsia="仿宋_GB2312"/>
          <w:color w:val="000000"/>
          <w:kern w:val="0"/>
          <w:szCs w:val="32"/>
        </w:rPr>
        <w:t>城乡社区支出7.75万元。主要包括：国有土地使用权出让收入安排的支出7.75万元。</w:t>
      </w:r>
    </w:p>
    <w:p>
      <w:pPr>
        <w:widowControl/>
        <w:numPr>
          <w:ilvl w:val="0"/>
          <w:numId w:val="1"/>
        </w:numPr>
        <w:adjustRightInd w:val="0"/>
        <w:snapToGrid w:val="0"/>
        <w:spacing w:line="600" w:lineRule="exact"/>
        <w:ind w:firstLine="720"/>
        <w:rPr>
          <w:rFonts w:eastAsia="仿宋_GB2312"/>
          <w:color w:val="000000"/>
          <w:kern w:val="0"/>
          <w:szCs w:val="32"/>
        </w:rPr>
      </w:pPr>
      <w:r>
        <w:rPr>
          <w:rFonts w:eastAsia="仿宋_GB2312"/>
          <w:color w:val="000000"/>
          <w:kern w:val="0"/>
          <w:szCs w:val="32"/>
        </w:rPr>
        <w:t>农林水支出4485.28万元，主要包括：农村基础设施建设3444.03万元，其他扶贫支出1041.25万元。</w:t>
      </w:r>
    </w:p>
    <w:p>
      <w:pPr>
        <w:widowControl/>
        <w:numPr>
          <w:ilvl w:val="0"/>
          <w:numId w:val="1"/>
        </w:numPr>
        <w:adjustRightInd w:val="0"/>
        <w:snapToGrid w:val="0"/>
        <w:spacing w:line="600" w:lineRule="exact"/>
        <w:ind w:firstLine="640" w:firstLineChars="200"/>
        <w:contextualSpacing/>
        <w:jc w:val="left"/>
        <w:rPr>
          <w:rFonts w:eastAsia="楷体_GB2312"/>
          <w:color w:val="000000"/>
          <w:kern w:val="0"/>
          <w:szCs w:val="32"/>
          <w:shd w:val="clear" w:color="auto" w:fill="FFFFFF"/>
        </w:rPr>
      </w:pPr>
      <w:r>
        <w:rPr>
          <w:rFonts w:eastAsia="仿宋_GB2312"/>
          <w:color w:val="000000"/>
          <w:kern w:val="0"/>
          <w:szCs w:val="32"/>
        </w:rPr>
        <w:t>交通运输支出7899.46万元，主要包括：一般行政管理事务36.23万元，公路建设2942.97万元，公路养护717.17万元，公路运输管理55.76万元，水路运输管理支出13.31万元，其他公路水路运输支出546.32万元，对城市公交的补贴295.5万元，对农村道路客运的补贴210.52万元，对出租车的补贴1.37万元，成品油价格改革补贴其他支出34.86万元，车辆购置税用于公路等基础设施建设支出2470万元， 车辆购置税用于农村公路建设支出402.6万元，车辆购置税其他支出172.84万元。</w:t>
      </w:r>
    </w:p>
    <w:p>
      <w:pPr>
        <w:spacing w:line="600" w:lineRule="exact"/>
        <w:ind w:firstLine="643" w:firstLineChars="200"/>
        <w:rPr>
          <w:rFonts w:hint="eastAsia" w:eastAsia="黑体"/>
          <w:b/>
          <w:szCs w:val="32"/>
        </w:rPr>
      </w:pPr>
      <w:r>
        <w:rPr>
          <w:rFonts w:eastAsia="黑体"/>
          <w:b/>
          <w:szCs w:val="32"/>
        </w:rPr>
        <w:t>三、部门整体预算绩效管理情况</w:t>
      </w:r>
    </w:p>
    <w:p>
      <w:pPr>
        <w:spacing w:line="600" w:lineRule="exact"/>
        <w:ind w:firstLine="643" w:firstLineChars="200"/>
        <w:rPr>
          <w:rFonts w:eastAsia="黑体"/>
          <w:b/>
          <w:szCs w:val="32"/>
        </w:rPr>
      </w:pPr>
      <w:r>
        <w:rPr>
          <w:rFonts w:eastAsia="楷体"/>
          <w:b/>
          <w:bCs/>
          <w:szCs w:val="32"/>
          <w:lang w:val="zh-CN"/>
        </w:rPr>
        <w:t>（一）部门预算管理</w:t>
      </w:r>
    </w:p>
    <w:p>
      <w:pPr>
        <w:spacing w:line="600" w:lineRule="exact"/>
        <w:ind w:firstLine="640" w:firstLineChars="200"/>
        <w:rPr>
          <w:rFonts w:eastAsia="仿宋_GB2312"/>
          <w:color w:val="000000"/>
          <w:kern w:val="0"/>
          <w:szCs w:val="32"/>
        </w:rPr>
      </w:pPr>
      <w:r>
        <w:rPr>
          <w:rFonts w:eastAsia="仿宋_GB2312"/>
          <w:color w:val="000000"/>
          <w:kern w:val="0"/>
          <w:szCs w:val="32"/>
        </w:rPr>
        <w:t>1</w:t>
      </w:r>
      <w:r>
        <w:rPr>
          <w:rFonts w:hint="eastAsia" w:eastAsia="仿宋_GB2312"/>
          <w:color w:val="000000"/>
          <w:kern w:val="0"/>
          <w:szCs w:val="32"/>
          <w:lang w:val="en-US" w:eastAsia="zh-CN"/>
        </w:rPr>
        <w:t>．</w:t>
      </w:r>
      <w:r>
        <w:rPr>
          <w:rFonts w:eastAsia="仿宋_GB2312"/>
          <w:color w:val="000000"/>
          <w:kern w:val="0"/>
          <w:szCs w:val="32"/>
        </w:rPr>
        <w:t>预算编制</w:t>
      </w:r>
    </w:p>
    <w:p>
      <w:pPr>
        <w:spacing w:line="600" w:lineRule="exact"/>
        <w:ind w:firstLine="640" w:firstLineChars="200"/>
        <w:rPr>
          <w:rFonts w:eastAsia="仿宋_GB2312"/>
          <w:color w:val="000000"/>
          <w:kern w:val="0"/>
          <w:szCs w:val="32"/>
        </w:rPr>
      </w:pPr>
      <w:r>
        <w:rPr>
          <w:rFonts w:eastAsia="仿宋_GB2312"/>
          <w:color w:val="000000"/>
          <w:kern w:val="0"/>
          <w:szCs w:val="32"/>
        </w:rPr>
        <w:t>按照县财政局2021年部门预算编制通知要求，按时完成部门年初预算编制工作。在编制过程中，认真核实部门各单位实际财政供养人数和单位实有编制情况，正确编制人员经费、公用经费和项目经费，特别是对交通建设项目预算做到细化管理，分列项目资金支出明细科目和金额，明确项目绩效，按照两上两下原则及时上报财政审核，按要求做好预算公开工作。</w:t>
      </w:r>
    </w:p>
    <w:p>
      <w:pPr>
        <w:spacing w:line="600" w:lineRule="exact"/>
        <w:ind w:firstLine="640" w:firstLineChars="200"/>
        <w:rPr>
          <w:rFonts w:eastAsia="仿宋_GB2312"/>
          <w:color w:val="000000"/>
          <w:kern w:val="0"/>
          <w:szCs w:val="32"/>
        </w:rPr>
      </w:pPr>
      <w:r>
        <w:rPr>
          <w:rFonts w:eastAsia="仿宋_GB2312"/>
          <w:color w:val="000000"/>
          <w:kern w:val="0"/>
          <w:szCs w:val="32"/>
        </w:rPr>
        <w:t>2</w:t>
      </w:r>
      <w:r>
        <w:rPr>
          <w:rFonts w:hint="eastAsia" w:eastAsia="仿宋_GB2312"/>
          <w:color w:val="000000"/>
          <w:kern w:val="0"/>
          <w:szCs w:val="32"/>
          <w:lang w:val="en-US" w:eastAsia="zh-CN"/>
        </w:rPr>
        <w:t>．</w:t>
      </w:r>
      <w:r>
        <w:rPr>
          <w:rFonts w:eastAsia="仿宋_GB2312"/>
          <w:color w:val="000000"/>
          <w:kern w:val="0"/>
          <w:szCs w:val="32"/>
        </w:rPr>
        <w:t>编制部门年度决算报表</w:t>
      </w:r>
    </w:p>
    <w:p>
      <w:pPr>
        <w:spacing w:line="600" w:lineRule="exact"/>
        <w:ind w:firstLine="640" w:firstLineChars="200"/>
        <w:rPr>
          <w:rFonts w:eastAsia="仿宋_GB2312"/>
          <w:color w:val="000000"/>
          <w:kern w:val="0"/>
          <w:szCs w:val="32"/>
        </w:rPr>
      </w:pPr>
      <w:r>
        <w:rPr>
          <w:rFonts w:eastAsia="仿宋_GB2312"/>
          <w:color w:val="000000"/>
          <w:kern w:val="0"/>
          <w:szCs w:val="32"/>
        </w:rPr>
        <w:t>为真实、准确反应单位年度财务收、支情况，根据县财政编制决算报表的各项规定和要求，认真开展了部门年度决算报表编制。按照政府收支分类科目和财务报表支出情况分别按基本支出、项目支出编制部门决算，决算收入、支出口径与财政局国库股、预算股和经建股以及财政大平台核对无误，做到账账相符、账实相符、账证相符，及时上报相关报表。</w:t>
      </w:r>
    </w:p>
    <w:p>
      <w:pPr>
        <w:widowControl/>
        <w:adjustRightInd w:val="0"/>
        <w:snapToGrid w:val="0"/>
        <w:spacing w:line="600" w:lineRule="exact"/>
        <w:ind w:firstLine="720"/>
        <w:jc w:val="left"/>
        <w:rPr>
          <w:rFonts w:eastAsia="仿宋_GB2312"/>
          <w:color w:val="000000"/>
          <w:kern w:val="0"/>
          <w:szCs w:val="32"/>
        </w:rPr>
      </w:pPr>
      <w:r>
        <w:rPr>
          <w:rFonts w:eastAsia="仿宋_GB2312"/>
          <w:color w:val="000000"/>
          <w:kern w:val="0"/>
          <w:szCs w:val="32"/>
        </w:rPr>
        <w:t>3</w:t>
      </w:r>
      <w:r>
        <w:rPr>
          <w:rFonts w:hint="eastAsia" w:eastAsia="仿宋_GB2312"/>
          <w:color w:val="000000"/>
          <w:kern w:val="0"/>
          <w:szCs w:val="32"/>
          <w:lang w:val="en-US" w:eastAsia="zh-CN"/>
        </w:rPr>
        <w:t>．</w:t>
      </w:r>
      <w:r>
        <w:rPr>
          <w:rFonts w:eastAsia="仿宋_GB2312"/>
          <w:color w:val="000000"/>
          <w:kern w:val="0"/>
          <w:szCs w:val="32"/>
        </w:rPr>
        <w:t>执行管理情况</w:t>
      </w:r>
    </w:p>
    <w:p>
      <w:pPr>
        <w:widowControl/>
        <w:adjustRightInd w:val="0"/>
        <w:snapToGrid w:val="0"/>
        <w:spacing w:line="600" w:lineRule="exact"/>
        <w:ind w:firstLine="720"/>
        <w:jc w:val="left"/>
        <w:rPr>
          <w:rFonts w:eastAsia="仿宋_GB2312"/>
          <w:color w:val="000000"/>
          <w:kern w:val="0"/>
          <w:szCs w:val="32"/>
        </w:rPr>
      </w:pPr>
      <w:r>
        <w:rPr>
          <w:rFonts w:eastAsia="仿宋_GB2312"/>
          <w:color w:val="000000"/>
          <w:kern w:val="0"/>
          <w:szCs w:val="32"/>
        </w:rPr>
        <w:t>我局严格执行工程招投标规定，实行县道县为业主，乡道乡为业主，村组道村为业主，明确任务，落实责任。加强工程质量监管，严格对交通运输建设项目的交（竣）工验收，公路在验收前，必须进行试验检测。强化资金管理，交通运输建设资金一律实行财政直接支付给中标企业制度，严格按照沐川县人民政府《关于进一步加强政府投资项目管理的意见》（沐府发〔2021〕7号）、沐川县人民政府办公室《关于进一步规范农村公路建设管理的通知》（沐府办函〔2014〕21号）要求办理，切实做到专款专用，从而发挥好项目资金对项目实施的促进作用。</w:t>
      </w:r>
    </w:p>
    <w:p>
      <w:pPr>
        <w:spacing w:line="600" w:lineRule="exact"/>
        <w:ind w:firstLine="640" w:firstLineChars="200"/>
        <w:rPr>
          <w:rFonts w:eastAsia="仿宋_GB2312"/>
          <w:color w:val="000000"/>
          <w:kern w:val="0"/>
          <w:szCs w:val="32"/>
        </w:rPr>
      </w:pPr>
      <w:r>
        <w:rPr>
          <w:rFonts w:eastAsia="仿宋_GB2312"/>
          <w:color w:val="000000"/>
          <w:kern w:val="0"/>
          <w:szCs w:val="32"/>
        </w:rPr>
        <w:t>我局今年支出全部在年度预算资金中按计划安排，无超支。按《预算法》和财政有关规定，职工工资等人员经费按月发放，公务费按月申报，项目支出按项目实施情况经单位和县财政审核无误后按项目进度拨付。在支付方式上，工资和项目资金实行财政直接支付；公用经费、项目性经费申请授权支付并尽量采取公务卡支付，或转账支付，基本无现金支出。</w:t>
      </w:r>
    </w:p>
    <w:p>
      <w:pPr>
        <w:widowControl/>
        <w:adjustRightInd w:val="0"/>
        <w:snapToGrid w:val="0"/>
        <w:spacing w:line="600" w:lineRule="exact"/>
        <w:ind w:firstLine="720"/>
        <w:jc w:val="left"/>
        <w:rPr>
          <w:rFonts w:eastAsia="仿宋_GB2312"/>
          <w:color w:val="000000"/>
          <w:kern w:val="0"/>
          <w:szCs w:val="32"/>
        </w:rPr>
      </w:pPr>
      <w:r>
        <w:rPr>
          <w:rFonts w:eastAsia="仿宋_GB2312"/>
          <w:color w:val="000000"/>
          <w:kern w:val="0"/>
          <w:szCs w:val="32"/>
        </w:rPr>
        <w:t>4</w:t>
      </w:r>
      <w:r>
        <w:rPr>
          <w:rFonts w:hint="eastAsia" w:eastAsia="仿宋_GB2312"/>
          <w:color w:val="000000"/>
          <w:kern w:val="0"/>
          <w:szCs w:val="32"/>
          <w:lang w:val="en-US" w:eastAsia="zh-CN"/>
        </w:rPr>
        <w:t>．</w:t>
      </w:r>
      <w:r>
        <w:rPr>
          <w:rFonts w:eastAsia="仿宋_GB2312"/>
          <w:color w:val="000000"/>
          <w:kern w:val="0"/>
          <w:szCs w:val="32"/>
        </w:rPr>
        <w:t>中期评估情况</w:t>
      </w:r>
    </w:p>
    <w:p>
      <w:pPr>
        <w:widowControl/>
        <w:adjustRightInd w:val="0"/>
        <w:snapToGrid w:val="0"/>
        <w:spacing w:line="600" w:lineRule="exact"/>
        <w:ind w:firstLine="720"/>
        <w:jc w:val="left"/>
        <w:rPr>
          <w:rFonts w:hint="eastAsia" w:eastAsia="仿宋_GB2312"/>
          <w:color w:val="000000"/>
          <w:kern w:val="0"/>
          <w:szCs w:val="32"/>
        </w:rPr>
      </w:pPr>
      <w:r>
        <w:rPr>
          <w:rFonts w:eastAsia="仿宋_GB2312"/>
          <w:color w:val="000000"/>
          <w:kern w:val="0"/>
          <w:szCs w:val="32"/>
        </w:rPr>
        <w:t>交通运输部门建设任务重，投资量大，项目资金缺口严重，为深入贯彻落实《预算法》，不得无预算支出，把有限的资金用在刀刃上，我局根据项目实施情况，对项目预算支出进行评估，对当年不再开工（实施）、当年无法执行完毕或项目执行完毕尚有预算结余的项目支出，提出调整预算的建议；对已有预算且存在支出缺口的交通项目，提供相应文件资料，提出增加预算的建议，报县政府批复，确保在当年实现支出，提高财政资金使用效益，保障交通项目建设顺利完成。</w:t>
      </w:r>
    </w:p>
    <w:p>
      <w:pPr>
        <w:widowControl/>
        <w:adjustRightInd w:val="0"/>
        <w:snapToGrid w:val="0"/>
        <w:spacing w:line="600" w:lineRule="exact"/>
        <w:ind w:firstLine="720"/>
        <w:jc w:val="left"/>
        <w:rPr>
          <w:rFonts w:eastAsia="仿宋_GB2312"/>
          <w:color w:val="000000"/>
          <w:kern w:val="0"/>
          <w:szCs w:val="32"/>
          <w:shd w:val="clear" w:color="auto" w:fill="FFFFFF"/>
          <w:lang w:val="zh-CN"/>
        </w:rPr>
      </w:pPr>
      <w:r>
        <w:rPr>
          <w:rFonts w:eastAsia="楷体"/>
          <w:b/>
          <w:bCs/>
          <w:szCs w:val="32"/>
          <w:lang w:val="zh-CN"/>
        </w:rPr>
        <w:t>（二）项目预算管理</w:t>
      </w:r>
    </w:p>
    <w:p>
      <w:pPr>
        <w:spacing w:line="600" w:lineRule="exact"/>
        <w:ind w:firstLine="640" w:firstLineChars="200"/>
        <w:rPr>
          <w:rFonts w:eastAsia="仿宋_GB2312"/>
          <w:szCs w:val="32"/>
        </w:rPr>
      </w:pPr>
      <w:r>
        <w:rPr>
          <w:rFonts w:eastAsia="仿宋_GB2312"/>
          <w:szCs w:val="32"/>
        </w:rPr>
        <w:t>根据预算绩效管理要求，沐川县交通运输局在年初预算编制阶段，组织对政务运转工作经费、城乡客运发展资金、船舶设施检验费、渡船维修费、渡口码头签单员工资、黄丹纸厂转制工作经费、农村客运车辆保险补贴、水路客运责任保险、县乡道招标养护费（26条）、项目前期工作经费、赵坝村二组船工工资等11个项目开展了预算事前绩效评估、编制了绩效目标、对项目进行绩效监控，年中对预算项目进行了调整，年终执行完毕后，开展了绩效目标完成情况自评。</w:t>
      </w:r>
    </w:p>
    <w:p>
      <w:pPr>
        <w:numPr>
          <w:ilvl w:val="0"/>
          <w:numId w:val="2"/>
        </w:numPr>
        <w:spacing w:line="600" w:lineRule="exact"/>
        <w:ind w:firstLine="640" w:firstLineChars="200"/>
        <w:rPr>
          <w:rFonts w:eastAsia="仿宋_GB2312"/>
          <w:szCs w:val="32"/>
        </w:rPr>
      </w:pPr>
      <w:r>
        <w:rPr>
          <w:rFonts w:eastAsia="仿宋_GB2312"/>
          <w:szCs w:val="32"/>
        </w:rPr>
        <w:t>项目绩效目标完成情况</w:t>
      </w:r>
    </w:p>
    <w:p>
      <w:pPr>
        <w:numPr>
          <w:numId w:val="0"/>
        </w:numPr>
        <w:spacing w:line="600" w:lineRule="exact"/>
        <w:rPr>
          <w:rFonts w:eastAsia="仿宋_GB2312"/>
          <w:szCs w:val="32"/>
        </w:rPr>
      </w:pPr>
    </w:p>
    <w:p>
      <w:pPr>
        <w:numPr>
          <w:numId w:val="0"/>
        </w:numPr>
        <w:spacing w:line="600" w:lineRule="exact"/>
        <w:rPr>
          <w:rFonts w:eastAsia="仿宋_GB2312"/>
          <w:szCs w:val="32"/>
        </w:rPr>
      </w:pPr>
    </w:p>
    <w:tbl>
      <w:tblPr>
        <w:tblStyle w:val="9"/>
        <w:tblW w:w="9540" w:type="dxa"/>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3038"/>
        <w:gridCol w:w="1267"/>
        <w:gridCol w:w="1695"/>
        <w:gridCol w:w="1478"/>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序号</w:t>
            </w:r>
          </w:p>
        </w:tc>
        <w:tc>
          <w:tcPr>
            <w:tcW w:w="3038" w:type="dxa"/>
            <w:vAlign w:val="center"/>
          </w:tcPr>
          <w:p>
            <w:pPr>
              <w:spacing w:line="600" w:lineRule="exact"/>
              <w:jc w:val="center"/>
              <w:rPr>
                <w:rFonts w:eastAsia="仿宋_GB2312"/>
                <w:szCs w:val="32"/>
              </w:rPr>
            </w:pPr>
            <w:r>
              <w:rPr>
                <w:rFonts w:eastAsia="仿宋_GB2312"/>
                <w:szCs w:val="32"/>
              </w:rPr>
              <w:t>项目名称</w:t>
            </w:r>
          </w:p>
        </w:tc>
        <w:tc>
          <w:tcPr>
            <w:tcW w:w="1267" w:type="dxa"/>
          </w:tcPr>
          <w:p>
            <w:pPr>
              <w:spacing w:line="600" w:lineRule="exact"/>
              <w:jc w:val="center"/>
              <w:rPr>
                <w:rFonts w:eastAsia="仿宋_GB2312"/>
                <w:sz w:val="28"/>
                <w:szCs w:val="28"/>
              </w:rPr>
            </w:pPr>
            <w:r>
              <w:rPr>
                <w:rFonts w:eastAsia="仿宋_GB2312"/>
                <w:sz w:val="28"/>
                <w:szCs w:val="28"/>
              </w:rPr>
              <w:t>预算数</w:t>
            </w:r>
          </w:p>
          <w:p>
            <w:pPr>
              <w:spacing w:line="600" w:lineRule="exact"/>
              <w:jc w:val="center"/>
              <w:rPr>
                <w:rFonts w:eastAsia="仿宋_GB2312"/>
                <w:szCs w:val="32"/>
              </w:rPr>
            </w:pPr>
            <w:r>
              <w:rPr>
                <w:rFonts w:eastAsia="仿宋_GB2312"/>
                <w:sz w:val="28"/>
                <w:szCs w:val="28"/>
              </w:rPr>
              <w:t>（万元）</w:t>
            </w:r>
          </w:p>
        </w:tc>
        <w:tc>
          <w:tcPr>
            <w:tcW w:w="1695" w:type="dxa"/>
          </w:tcPr>
          <w:p>
            <w:pPr>
              <w:spacing w:line="600" w:lineRule="exact"/>
              <w:jc w:val="center"/>
              <w:rPr>
                <w:rFonts w:eastAsia="仿宋_GB2312"/>
                <w:sz w:val="24"/>
                <w:szCs w:val="24"/>
              </w:rPr>
            </w:pPr>
            <w:r>
              <w:rPr>
                <w:rFonts w:eastAsia="仿宋_GB2312"/>
                <w:sz w:val="24"/>
                <w:szCs w:val="24"/>
              </w:rPr>
              <w:t>年中调整预算</w:t>
            </w:r>
          </w:p>
          <w:p>
            <w:pPr>
              <w:spacing w:line="600" w:lineRule="exact"/>
              <w:jc w:val="center"/>
              <w:rPr>
                <w:rFonts w:eastAsia="仿宋_GB2312"/>
                <w:szCs w:val="32"/>
              </w:rPr>
            </w:pPr>
            <w:r>
              <w:rPr>
                <w:rFonts w:eastAsia="仿宋_GB2312"/>
                <w:sz w:val="24"/>
                <w:szCs w:val="24"/>
              </w:rPr>
              <w:t>（万元）</w:t>
            </w:r>
          </w:p>
        </w:tc>
        <w:tc>
          <w:tcPr>
            <w:tcW w:w="1478" w:type="dxa"/>
          </w:tcPr>
          <w:p>
            <w:pPr>
              <w:spacing w:line="600" w:lineRule="exact"/>
              <w:jc w:val="center"/>
              <w:rPr>
                <w:rFonts w:eastAsia="仿宋_GB2312"/>
                <w:szCs w:val="32"/>
              </w:rPr>
            </w:pPr>
            <w:r>
              <w:rPr>
                <w:rFonts w:eastAsia="仿宋_GB2312"/>
                <w:szCs w:val="32"/>
              </w:rPr>
              <w:t>执行数</w:t>
            </w:r>
          </w:p>
          <w:p>
            <w:pPr>
              <w:spacing w:line="600" w:lineRule="exact"/>
              <w:jc w:val="center"/>
              <w:rPr>
                <w:rFonts w:eastAsia="仿宋_GB2312"/>
                <w:szCs w:val="32"/>
              </w:rPr>
            </w:pPr>
            <w:r>
              <w:rPr>
                <w:rFonts w:eastAsia="仿宋_GB2312"/>
                <w:szCs w:val="32"/>
              </w:rPr>
              <w:t>（万元）</w:t>
            </w:r>
          </w:p>
        </w:tc>
        <w:tc>
          <w:tcPr>
            <w:tcW w:w="1192" w:type="dxa"/>
          </w:tcPr>
          <w:p>
            <w:pPr>
              <w:spacing w:line="600" w:lineRule="exact"/>
              <w:jc w:val="center"/>
              <w:rPr>
                <w:rFonts w:eastAsia="仿宋_GB2312"/>
                <w:szCs w:val="32"/>
              </w:rPr>
            </w:pPr>
            <w:r>
              <w:rPr>
                <w:rFonts w:eastAsia="仿宋_GB2312"/>
                <w:szCs w:val="32"/>
              </w:rPr>
              <w:t>完成率</w:t>
            </w:r>
          </w:p>
          <w:p>
            <w:pPr>
              <w:spacing w:line="600" w:lineRule="exact"/>
              <w:jc w:val="center"/>
              <w:rPr>
                <w:rFonts w:eastAsia="仿宋_GB2312"/>
                <w:szCs w:val="32"/>
              </w:rPr>
            </w:pPr>
            <w:r>
              <w:rPr>
                <w:rFonts w:eastAsia="仿宋_GB231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1</w:t>
            </w:r>
          </w:p>
        </w:tc>
        <w:tc>
          <w:tcPr>
            <w:tcW w:w="3038" w:type="dxa"/>
            <w:vAlign w:val="center"/>
          </w:tcPr>
          <w:p>
            <w:pPr>
              <w:spacing w:line="600" w:lineRule="exact"/>
              <w:jc w:val="center"/>
              <w:rPr>
                <w:rFonts w:eastAsia="仿宋_GB2312"/>
                <w:sz w:val="28"/>
                <w:szCs w:val="28"/>
              </w:rPr>
            </w:pPr>
            <w:r>
              <w:rPr>
                <w:rFonts w:eastAsia="仿宋_GB2312"/>
                <w:sz w:val="28"/>
                <w:szCs w:val="28"/>
              </w:rPr>
              <w:t>城乡客运发展资金</w:t>
            </w:r>
          </w:p>
        </w:tc>
        <w:tc>
          <w:tcPr>
            <w:tcW w:w="1267" w:type="dxa"/>
            <w:vAlign w:val="center"/>
          </w:tcPr>
          <w:p>
            <w:pPr>
              <w:spacing w:line="600" w:lineRule="exact"/>
              <w:jc w:val="center"/>
              <w:rPr>
                <w:rFonts w:eastAsia="仿宋_GB2312"/>
                <w:szCs w:val="32"/>
              </w:rPr>
            </w:pPr>
            <w:r>
              <w:rPr>
                <w:rFonts w:eastAsia="仿宋_GB2312"/>
                <w:szCs w:val="32"/>
              </w:rPr>
              <w:t>3</w:t>
            </w:r>
          </w:p>
        </w:tc>
        <w:tc>
          <w:tcPr>
            <w:tcW w:w="1695" w:type="dxa"/>
            <w:vAlign w:val="center"/>
          </w:tcPr>
          <w:p>
            <w:pPr>
              <w:spacing w:line="600" w:lineRule="exact"/>
              <w:jc w:val="center"/>
              <w:rPr>
                <w:rFonts w:eastAsia="仿宋_GB2312"/>
                <w:szCs w:val="32"/>
              </w:rPr>
            </w:pPr>
            <w:r>
              <w:rPr>
                <w:rFonts w:eastAsia="仿宋_GB2312"/>
                <w:szCs w:val="32"/>
              </w:rPr>
              <w:t>-3</w:t>
            </w:r>
          </w:p>
        </w:tc>
        <w:tc>
          <w:tcPr>
            <w:tcW w:w="1478" w:type="dxa"/>
            <w:vAlign w:val="center"/>
          </w:tcPr>
          <w:p>
            <w:pPr>
              <w:spacing w:line="600" w:lineRule="exact"/>
              <w:jc w:val="center"/>
              <w:rPr>
                <w:rFonts w:eastAsia="仿宋_GB2312"/>
                <w:szCs w:val="32"/>
              </w:rPr>
            </w:pPr>
            <w:r>
              <w:rPr>
                <w:rFonts w:eastAsia="仿宋_GB2312"/>
                <w:szCs w:val="32"/>
              </w:rPr>
              <w:t>0</w:t>
            </w:r>
          </w:p>
        </w:tc>
        <w:tc>
          <w:tcPr>
            <w:tcW w:w="1192" w:type="dxa"/>
            <w:vAlign w:val="center"/>
          </w:tcPr>
          <w:p>
            <w:pPr>
              <w:spacing w:line="600" w:lineRule="exact"/>
              <w:jc w:val="center"/>
              <w:rPr>
                <w:rFonts w:eastAsia="仿宋_GB2312"/>
                <w:szCs w:val="32"/>
              </w:rPr>
            </w:pPr>
            <w:r>
              <w:rPr>
                <w:rFonts w:eastAsia="仿宋_GB231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2</w:t>
            </w:r>
          </w:p>
        </w:tc>
        <w:tc>
          <w:tcPr>
            <w:tcW w:w="3038" w:type="dxa"/>
            <w:vAlign w:val="center"/>
          </w:tcPr>
          <w:p>
            <w:pPr>
              <w:spacing w:line="600" w:lineRule="exact"/>
              <w:jc w:val="center"/>
              <w:rPr>
                <w:rFonts w:eastAsia="仿宋_GB2312"/>
                <w:sz w:val="28"/>
                <w:szCs w:val="28"/>
              </w:rPr>
            </w:pPr>
            <w:r>
              <w:rPr>
                <w:rFonts w:eastAsia="仿宋_GB2312"/>
                <w:sz w:val="28"/>
                <w:szCs w:val="28"/>
              </w:rPr>
              <w:t>船舶设施检验费</w:t>
            </w:r>
          </w:p>
        </w:tc>
        <w:tc>
          <w:tcPr>
            <w:tcW w:w="1267" w:type="dxa"/>
            <w:vAlign w:val="center"/>
          </w:tcPr>
          <w:p>
            <w:pPr>
              <w:spacing w:line="600" w:lineRule="exact"/>
              <w:jc w:val="center"/>
              <w:rPr>
                <w:rFonts w:eastAsia="仿宋_GB2312"/>
                <w:szCs w:val="32"/>
              </w:rPr>
            </w:pPr>
            <w:r>
              <w:rPr>
                <w:rFonts w:eastAsia="仿宋_GB2312"/>
                <w:szCs w:val="32"/>
              </w:rPr>
              <w:t>2</w:t>
            </w:r>
          </w:p>
        </w:tc>
        <w:tc>
          <w:tcPr>
            <w:tcW w:w="1695" w:type="dxa"/>
            <w:vAlign w:val="center"/>
          </w:tcPr>
          <w:p>
            <w:pPr>
              <w:spacing w:line="600" w:lineRule="exact"/>
              <w:jc w:val="center"/>
              <w:rPr>
                <w:rFonts w:eastAsia="仿宋_GB2312"/>
                <w:szCs w:val="32"/>
              </w:rPr>
            </w:pPr>
            <w:r>
              <w:rPr>
                <w:rFonts w:eastAsia="仿宋_GB2312"/>
                <w:szCs w:val="32"/>
              </w:rPr>
              <w:t>-2</w:t>
            </w:r>
          </w:p>
        </w:tc>
        <w:tc>
          <w:tcPr>
            <w:tcW w:w="1478" w:type="dxa"/>
            <w:vAlign w:val="center"/>
          </w:tcPr>
          <w:p>
            <w:pPr>
              <w:spacing w:line="600" w:lineRule="exact"/>
              <w:jc w:val="center"/>
              <w:rPr>
                <w:rFonts w:eastAsia="仿宋_GB2312"/>
                <w:szCs w:val="32"/>
              </w:rPr>
            </w:pPr>
            <w:r>
              <w:rPr>
                <w:rFonts w:eastAsia="仿宋_GB2312"/>
                <w:szCs w:val="32"/>
              </w:rPr>
              <w:t>0</w:t>
            </w:r>
          </w:p>
        </w:tc>
        <w:tc>
          <w:tcPr>
            <w:tcW w:w="1192" w:type="dxa"/>
            <w:vAlign w:val="center"/>
          </w:tcPr>
          <w:p>
            <w:pPr>
              <w:spacing w:line="600" w:lineRule="exact"/>
              <w:jc w:val="center"/>
              <w:rPr>
                <w:rFonts w:eastAsia="仿宋_GB2312"/>
                <w:szCs w:val="32"/>
              </w:rPr>
            </w:pPr>
            <w:r>
              <w:rPr>
                <w:rFonts w:eastAsia="仿宋_GB231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3</w:t>
            </w:r>
          </w:p>
        </w:tc>
        <w:tc>
          <w:tcPr>
            <w:tcW w:w="3038" w:type="dxa"/>
            <w:vAlign w:val="center"/>
          </w:tcPr>
          <w:p>
            <w:pPr>
              <w:spacing w:line="600" w:lineRule="exact"/>
              <w:jc w:val="center"/>
              <w:rPr>
                <w:rFonts w:eastAsia="仿宋_GB2312"/>
                <w:sz w:val="28"/>
                <w:szCs w:val="28"/>
              </w:rPr>
            </w:pPr>
            <w:r>
              <w:rPr>
                <w:rFonts w:eastAsia="仿宋_GB2312"/>
                <w:sz w:val="28"/>
                <w:szCs w:val="28"/>
              </w:rPr>
              <w:t>渡船维修费</w:t>
            </w:r>
          </w:p>
        </w:tc>
        <w:tc>
          <w:tcPr>
            <w:tcW w:w="1267" w:type="dxa"/>
            <w:vAlign w:val="center"/>
          </w:tcPr>
          <w:p>
            <w:pPr>
              <w:spacing w:line="600" w:lineRule="exact"/>
              <w:jc w:val="center"/>
              <w:rPr>
                <w:rFonts w:eastAsia="仿宋_GB2312"/>
                <w:szCs w:val="32"/>
              </w:rPr>
            </w:pPr>
            <w:r>
              <w:rPr>
                <w:rFonts w:eastAsia="仿宋_GB2312"/>
                <w:szCs w:val="32"/>
              </w:rPr>
              <w:t>1.35</w:t>
            </w:r>
          </w:p>
        </w:tc>
        <w:tc>
          <w:tcPr>
            <w:tcW w:w="1695" w:type="dxa"/>
            <w:vAlign w:val="center"/>
          </w:tcPr>
          <w:p>
            <w:pPr>
              <w:spacing w:line="600" w:lineRule="exact"/>
              <w:jc w:val="center"/>
              <w:rPr>
                <w:rFonts w:eastAsia="仿宋_GB2312"/>
                <w:szCs w:val="32"/>
              </w:rPr>
            </w:pPr>
            <w:r>
              <w:rPr>
                <w:rFonts w:eastAsia="仿宋_GB2312"/>
                <w:szCs w:val="32"/>
              </w:rPr>
              <w:t>-1.35</w:t>
            </w:r>
          </w:p>
        </w:tc>
        <w:tc>
          <w:tcPr>
            <w:tcW w:w="1478" w:type="dxa"/>
            <w:vAlign w:val="center"/>
          </w:tcPr>
          <w:p>
            <w:pPr>
              <w:spacing w:line="600" w:lineRule="exact"/>
              <w:jc w:val="center"/>
              <w:rPr>
                <w:rFonts w:eastAsia="仿宋_GB2312"/>
                <w:szCs w:val="32"/>
              </w:rPr>
            </w:pPr>
            <w:r>
              <w:rPr>
                <w:rFonts w:eastAsia="仿宋_GB2312"/>
                <w:szCs w:val="32"/>
              </w:rPr>
              <w:t>0</w:t>
            </w:r>
          </w:p>
        </w:tc>
        <w:tc>
          <w:tcPr>
            <w:tcW w:w="1192" w:type="dxa"/>
            <w:vAlign w:val="center"/>
          </w:tcPr>
          <w:p>
            <w:pPr>
              <w:spacing w:line="600" w:lineRule="exact"/>
              <w:jc w:val="center"/>
              <w:rPr>
                <w:rFonts w:eastAsia="仿宋_GB2312"/>
                <w:szCs w:val="32"/>
              </w:rPr>
            </w:pPr>
            <w:r>
              <w:rPr>
                <w:rFonts w:eastAsia="仿宋_GB231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4</w:t>
            </w:r>
          </w:p>
        </w:tc>
        <w:tc>
          <w:tcPr>
            <w:tcW w:w="3038" w:type="dxa"/>
            <w:vAlign w:val="center"/>
          </w:tcPr>
          <w:p>
            <w:pPr>
              <w:spacing w:line="600" w:lineRule="exact"/>
              <w:jc w:val="center"/>
              <w:rPr>
                <w:rFonts w:eastAsia="仿宋_GB2312"/>
                <w:sz w:val="28"/>
                <w:szCs w:val="28"/>
              </w:rPr>
            </w:pPr>
            <w:r>
              <w:rPr>
                <w:rFonts w:eastAsia="仿宋_GB2312"/>
                <w:sz w:val="28"/>
                <w:szCs w:val="28"/>
              </w:rPr>
              <w:t>渡口码头签单员工资</w:t>
            </w:r>
          </w:p>
        </w:tc>
        <w:tc>
          <w:tcPr>
            <w:tcW w:w="1267" w:type="dxa"/>
            <w:vAlign w:val="center"/>
          </w:tcPr>
          <w:p>
            <w:pPr>
              <w:spacing w:line="600" w:lineRule="exact"/>
              <w:jc w:val="center"/>
              <w:rPr>
                <w:rFonts w:eastAsia="仿宋_GB2312"/>
                <w:szCs w:val="32"/>
              </w:rPr>
            </w:pPr>
            <w:r>
              <w:rPr>
                <w:rFonts w:eastAsia="仿宋_GB2312"/>
                <w:szCs w:val="32"/>
              </w:rPr>
              <w:t>6.75</w:t>
            </w:r>
          </w:p>
        </w:tc>
        <w:tc>
          <w:tcPr>
            <w:tcW w:w="1695" w:type="dxa"/>
            <w:vAlign w:val="center"/>
          </w:tcPr>
          <w:p>
            <w:pPr>
              <w:spacing w:line="600" w:lineRule="exact"/>
              <w:jc w:val="center"/>
              <w:rPr>
                <w:rFonts w:eastAsia="仿宋_GB2312"/>
                <w:szCs w:val="32"/>
              </w:rPr>
            </w:pPr>
            <w:r>
              <w:rPr>
                <w:rFonts w:eastAsia="仿宋_GB2312"/>
                <w:szCs w:val="32"/>
              </w:rPr>
              <w:t>-3.57</w:t>
            </w:r>
          </w:p>
        </w:tc>
        <w:tc>
          <w:tcPr>
            <w:tcW w:w="1478" w:type="dxa"/>
            <w:vAlign w:val="center"/>
          </w:tcPr>
          <w:p>
            <w:pPr>
              <w:spacing w:line="600" w:lineRule="exact"/>
              <w:jc w:val="center"/>
              <w:rPr>
                <w:rFonts w:eastAsia="仿宋_GB2312"/>
                <w:szCs w:val="32"/>
              </w:rPr>
            </w:pPr>
            <w:r>
              <w:rPr>
                <w:rFonts w:eastAsia="仿宋_GB2312"/>
                <w:szCs w:val="32"/>
              </w:rPr>
              <w:t>3.18</w:t>
            </w:r>
          </w:p>
        </w:tc>
        <w:tc>
          <w:tcPr>
            <w:tcW w:w="1192" w:type="dxa"/>
            <w:vAlign w:val="center"/>
          </w:tcPr>
          <w:p>
            <w:pPr>
              <w:spacing w:line="600" w:lineRule="exact"/>
              <w:jc w:val="center"/>
              <w:rPr>
                <w:rFonts w:eastAsia="仿宋_GB2312"/>
                <w:szCs w:val="32"/>
              </w:rPr>
            </w:pPr>
            <w:r>
              <w:rPr>
                <w:rFonts w:eastAsia="仿宋_GB2312"/>
                <w:szCs w:val="32"/>
              </w:rPr>
              <w:t>47.11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5</w:t>
            </w:r>
          </w:p>
        </w:tc>
        <w:tc>
          <w:tcPr>
            <w:tcW w:w="3038" w:type="dxa"/>
            <w:vAlign w:val="center"/>
          </w:tcPr>
          <w:p>
            <w:pPr>
              <w:spacing w:line="240" w:lineRule="auto"/>
              <w:jc w:val="center"/>
              <w:rPr>
                <w:rFonts w:eastAsia="仿宋_GB2312"/>
                <w:sz w:val="28"/>
                <w:szCs w:val="28"/>
              </w:rPr>
            </w:pPr>
            <w:r>
              <w:rPr>
                <w:rFonts w:eastAsia="仿宋_GB2312"/>
                <w:sz w:val="28"/>
                <w:szCs w:val="28"/>
              </w:rPr>
              <w:t>黄丹纸厂转制工作经费</w:t>
            </w:r>
          </w:p>
        </w:tc>
        <w:tc>
          <w:tcPr>
            <w:tcW w:w="1267" w:type="dxa"/>
            <w:vAlign w:val="center"/>
          </w:tcPr>
          <w:p>
            <w:pPr>
              <w:spacing w:line="600" w:lineRule="exact"/>
              <w:jc w:val="center"/>
              <w:rPr>
                <w:rFonts w:eastAsia="仿宋_GB2312"/>
                <w:szCs w:val="32"/>
              </w:rPr>
            </w:pPr>
            <w:r>
              <w:rPr>
                <w:rFonts w:eastAsia="仿宋_GB2312"/>
                <w:szCs w:val="32"/>
              </w:rPr>
              <w:t>30</w:t>
            </w:r>
          </w:p>
        </w:tc>
        <w:tc>
          <w:tcPr>
            <w:tcW w:w="1695" w:type="dxa"/>
            <w:vAlign w:val="center"/>
          </w:tcPr>
          <w:p>
            <w:pPr>
              <w:spacing w:line="600" w:lineRule="exact"/>
              <w:jc w:val="center"/>
              <w:rPr>
                <w:rFonts w:eastAsia="仿宋_GB2312"/>
                <w:szCs w:val="32"/>
              </w:rPr>
            </w:pPr>
            <w:r>
              <w:rPr>
                <w:rFonts w:eastAsia="仿宋_GB2312"/>
                <w:szCs w:val="32"/>
              </w:rPr>
              <w:t>-0.72971</w:t>
            </w:r>
          </w:p>
        </w:tc>
        <w:tc>
          <w:tcPr>
            <w:tcW w:w="1478" w:type="dxa"/>
            <w:vAlign w:val="center"/>
          </w:tcPr>
          <w:p>
            <w:pPr>
              <w:spacing w:line="600" w:lineRule="exact"/>
              <w:jc w:val="center"/>
              <w:rPr>
                <w:rFonts w:eastAsia="仿宋_GB2312"/>
                <w:szCs w:val="32"/>
              </w:rPr>
            </w:pPr>
            <w:r>
              <w:rPr>
                <w:rFonts w:eastAsia="仿宋_GB2312"/>
                <w:sz w:val="28"/>
                <w:szCs w:val="28"/>
              </w:rPr>
              <w:t>29.27029</w:t>
            </w:r>
          </w:p>
        </w:tc>
        <w:tc>
          <w:tcPr>
            <w:tcW w:w="1192" w:type="dxa"/>
            <w:vAlign w:val="center"/>
          </w:tcPr>
          <w:p>
            <w:pPr>
              <w:spacing w:line="600" w:lineRule="exact"/>
              <w:jc w:val="center"/>
              <w:rPr>
                <w:rFonts w:eastAsia="仿宋_GB2312"/>
                <w:szCs w:val="32"/>
              </w:rPr>
            </w:pPr>
            <w:r>
              <w:rPr>
                <w:rFonts w:eastAsia="仿宋_GB2312"/>
                <w:szCs w:val="32"/>
              </w:rPr>
              <w:t>97.57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6</w:t>
            </w:r>
          </w:p>
        </w:tc>
        <w:tc>
          <w:tcPr>
            <w:tcW w:w="3038" w:type="dxa"/>
            <w:vAlign w:val="center"/>
          </w:tcPr>
          <w:p>
            <w:pPr>
              <w:spacing w:line="240" w:lineRule="auto"/>
              <w:jc w:val="center"/>
              <w:rPr>
                <w:rFonts w:eastAsia="仿宋_GB2312"/>
                <w:sz w:val="28"/>
                <w:szCs w:val="28"/>
              </w:rPr>
            </w:pPr>
            <w:r>
              <w:rPr>
                <w:rFonts w:eastAsia="仿宋_GB2312"/>
                <w:sz w:val="28"/>
                <w:szCs w:val="28"/>
              </w:rPr>
              <w:t>农村客运车辆保险补贴</w:t>
            </w:r>
          </w:p>
        </w:tc>
        <w:tc>
          <w:tcPr>
            <w:tcW w:w="1267" w:type="dxa"/>
            <w:vAlign w:val="center"/>
          </w:tcPr>
          <w:p>
            <w:pPr>
              <w:spacing w:line="600" w:lineRule="exact"/>
              <w:jc w:val="center"/>
              <w:rPr>
                <w:rFonts w:eastAsia="仿宋_GB2312"/>
                <w:szCs w:val="32"/>
              </w:rPr>
            </w:pPr>
            <w:r>
              <w:rPr>
                <w:rFonts w:eastAsia="仿宋_GB2312"/>
                <w:szCs w:val="32"/>
              </w:rPr>
              <w:t>65</w:t>
            </w:r>
          </w:p>
        </w:tc>
        <w:tc>
          <w:tcPr>
            <w:tcW w:w="1695" w:type="dxa"/>
            <w:vAlign w:val="center"/>
          </w:tcPr>
          <w:p>
            <w:pPr>
              <w:spacing w:line="600" w:lineRule="exact"/>
              <w:jc w:val="center"/>
              <w:rPr>
                <w:rFonts w:eastAsia="仿宋_GB2312"/>
                <w:szCs w:val="32"/>
              </w:rPr>
            </w:pPr>
            <w:r>
              <w:rPr>
                <w:rFonts w:eastAsia="仿宋_GB2312"/>
                <w:szCs w:val="32"/>
              </w:rPr>
              <w:t>-65</w:t>
            </w:r>
          </w:p>
        </w:tc>
        <w:tc>
          <w:tcPr>
            <w:tcW w:w="1478" w:type="dxa"/>
            <w:vAlign w:val="center"/>
          </w:tcPr>
          <w:p>
            <w:pPr>
              <w:spacing w:line="600" w:lineRule="exact"/>
              <w:jc w:val="center"/>
              <w:rPr>
                <w:rFonts w:eastAsia="仿宋_GB2312"/>
                <w:szCs w:val="32"/>
              </w:rPr>
            </w:pPr>
            <w:r>
              <w:rPr>
                <w:rFonts w:eastAsia="仿宋_GB2312"/>
                <w:szCs w:val="32"/>
              </w:rPr>
              <w:t>0</w:t>
            </w:r>
          </w:p>
        </w:tc>
        <w:tc>
          <w:tcPr>
            <w:tcW w:w="1192" w:type="dxa"/>
            <w:vAlign w:val="center"/>
          </w:tcPr>
          <w:p>
            <w:pPr>
              <w:spacing w:line="600" w:lineRule="exact"/>
              <w:jc w:val="center"/>
              <w:rPr>
                <w:rFonts w:eastAsia="仿宋_GB2312"/>
                <w:szCs w:val="32"/>
              </w:rPr>
            </w:pPr>
            <w:r>
              <w:rPr>
                <w:rFonts w:eastAsia="仿宋_GB231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7</w:t>
            </w:r>
          </w:p>
        </w:tc>
        <w:tc>
          <w:tcPr>
            <w:tcW w:w="3038" w:type="dxa"/>
            <w:vAlign w:val="center"/>
          </w:tcPr>
          <w:p>
            <w:pPr>
              <w:spacing w:line="600" w:lineRule="exact"/>
              <w:jc w:val="center"/>
              <w:rPr>
                <w:rFonts w:eastAsia="仿宋_GB2312"/>
                <w:sz w:val="28"/>
                <w:szCs w:val="28"/>
              </w:rPr>
            </w:pPr>
            <w:r>
              <w:rPr>
                <w:rFonts w:eastAsia="仿宋_GB2312"/>
                <w:sz w:val="28"/>
                <w:szCs w:val="28"/>
              </w:rPr>
              <w:t>水路客运责任保险</w:t>
            </w:r>
          </w:p>
        </w:tc>
        <w:tc>
          <w:tcPr>
            <w:tcW w:w="1267" w:type="dxa"/>
            <w:vAlign w:val="center"/>
          </w:tcPr>
          <w:p>
            <w:pPr>
              <w:spacing w:line="600" w:lineRule="exact"/>
              <w:jc w:val="center"/>
              <w:rPr>
                <w:rFonts w:eastAsia="仿宋_GB2312"/>
                <w:szCs w:val="32"/>
              </w:rPr>
            </w:pPr>
            <w:r>
              <w:rPr>
                <w:rFonts w:eastAsia="仿宋_GB2312"/>
                <w:szCs w:val="32"/>
              </w:rPr>
              <w:t>8.2</w:t>
            </w:r>
          </w:p>
        </w:tc>
        <w:tc>
          <w:tcPr>
            <w:tcW w:w="1695" w:type="dxa"/>
            <w:vAlign w:val="center"/>
          </w:tcPr>
          <w:p>
            <w:pPr>
              <w:spacing w:line="600" w:lineRule="exact"/>
              <w:jc w:val="center"/>
              <w:rPr>
                <w:rFonts w:eastAsia="仿宋_GB2312"/>
                <w:szCs w:val="32"/>
              </w:rPr>
            </w:pPr>
            <w:r>
              <w:rPr>
                <w:rFonts w:eastAsia="仿宋_GB2312"/>
                <w:szCs w:val="32"/>
              </w:rPr>
              <w:t>-0.062</w:t>
            </w:r>
          </w:p>
        </w:tc>
        <w:tc>
          <w:tcPr>
            <w:tcW w:w="1478" w:type="dxa"/>
            <w:vAlign w:val="center"/>
          </w:tcPr>
          <w:p>
            <w:pPr>
              <w:spacing w:line="600" w:lineRule="exact"/>
              <w:jc w:val="center"/>
              <w:rPr>
                <w:rFonts w:eastAsia="仿宋_GB2312"/>
                <w:szCs w:val="32"/>
              </w:rPr>
            </w:pPr>
            <w:r>
              <w:rPr>
                <w:rFonts w:eastAsia="仿宋_GB2312"/>
                <w:szCs w:val="32"/>
              </w:rPr>
              <w:t>8.138</w:t>
            </w:r>
          </w:p>
        </w:tc>
        <w:tc>
          <w:tcPr>
            <w:tcW w:w="1192" w:type="dxa"/>
            <w:vAlign w:val="center"/>
          </w:tcPr>
          <w:p>
            <w:pPr>
              <w:spacing w:line="600" w:lineRule="exact"/>
              <w:jc w:val="center"/>
              <w:rPr>
                <w:rFonts w:eastAsia="仿宋_GB2312"/>
                <w:szCs w:val="32"/>
              </w:rPr>
            </w:pPr>
            <w:r>
              <w:rPr>
                <w:rFonts w:eastAsia="仿宋_GB2312"/>
                <w:szCs w:val="32"/>
              </w:rPr>
              <w:t>99.24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8</w:t>
            </w:r>
          </w:p>
        </w:tc>
        <w:tc>
          <w:tcPr>
            <w:tcW w:w="3038" w:type="dxa"/>
            <w:vAlign w:val="center"/>
          </w:tcPr>
          <w:p>
            <w:pPr>
              <w:spacing w:line="600" w:lineRule="exact"/>
              <w:jc w:val="center"/>
              <w:rPr>
                <w:rFonts w:eastAsia="仿宋_GB2312"/>
                <w:sz w:val="28"/>
                <w:szCs w:val="28"/>
              </w:rPr>
            </w:pPr>
            <w:r>
              <w:rPr>
                <w:rFonts w:eastAsia="仿宋_GB2312"/>
                <w:sz w:val="28"/>
                <w:szCs w:val="28"/>
              </w:rPr>
              <w:t>县乡道招标养护费（26）</w:t>
            </w:r>
          </w:p>
        </w:tc>
        <w:tc>
          <w:tcPr>
            <w:tcW w:w="1267" w:type="dxa"/>
            <w:vAlign w:val="center"/>
          </w:tcPr>
          <w:p>
            <w:pPr>
              <w:spacing w:line="600" w:lineRule="exact"/>
              <w:jc w:val="center"/>
              <w:rPr>
                <w:rFonts w:eastAsia="仿宋_GB2312"/>
                <w:szCs w:val="32"/>
              </w:rPr>
            </w:pPr>
            <w:r>
              <w:rPr>
                <w:rFonts w:eastAsia="仿宋_GB2312"/>
                <w:szCs w:val="32"/>
              </w:rPr>
              <w:t>400</w:t>
            </w:r>
          </w:p>
        </w:tc>
        <w:tc>
          <w:tcPr>
            <w:tcW w:w="1695" w:type="dxa"/>
            <w:vAlign w:val="center"/>
          </w:tcPr>
          <w:p>
            <w:pPr>
              <w:spacing w:line="600" w:lineRule="exact"/>
              <w:jc w:val="center"/>
              <w:rPr>
                <w:rFonts w:eastAsia="仿宋_GB2312"/>
                <w:szCs w:val="32"/>
              </w:rPr>
            </w:pPr>
            <w:r>
              <w:rPr>
                <w:rFonts w:eastAsia="仿宋_GB2312"/>
                <w:sz w:val="28"/>
                <w:szCs w:val="28"/>
              </w:rPr>
              <w:t>-178.965615</w:t>
            </w:r>
          </w:p>
        </w:tc>
        <w:tc>
          <w:tcPr>
            <w:tcW w:w="1478" w:type="dxa"/>
            <w:vAlign w:val="center"/>
          </w:tcPr>
          <w:p>
            <w:pPr>
              <w:spacing w:line="600" w:lineRule="exact"/>
              <w:jc w:val="center"/>
              <w:rPr>
                <w:rFonts w:eastAsia="仿宋_GB2312"/>
                <w:szCs w:val="32"/>
              </w:rPr>
            </w:pPr>
            <w:r>
              <w:rPr>
                <w:rFonts w:eastAsia="仿宋_GB2312"/>
                <w:sz w:val="24"/>
              </w:rPr>
              <w:t>221.034385</w:t>
            </w:r>
          </w:p>
        </w:tc>
        <w:tc>
          <w:tcPr>
            <w:tcW w:w="1192" w:type="dxa"/>
            <w:vAlign w:val="center"/>
          </w:tcPr>
          <w:p>
            <w:pPr>
              <w:spacing w:line="600" w:lineRule="exact"/>
              <w:jc w:val="center"/>
              <w:rPr>
                <w:rFonts w:eastAsia="仿宋_GB2312"/>
                <w:szCs w:val="32"/>
              </w:rPr>
            </w:pPr>
            <w:r>
              <w:rPr>
                <w:rFonts w:eastAsia="仿宋_GB2312"/>
                <w:szCs w:val="32"/>
              </w:rPr>
              <w:t>55.26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9</w:t>
            </w:r>
          </w:p>
        </w:tc>
        <w:tc>
          <w:tcPr>
            <w:tcW w:w="3038" w:type="dxa"/>
            <w:vAlign w:val="center"/>
          </w:tcPr>
          <w:p>
            <w:pPr>
              <w:spacing w:line="600" w:lineRule="exact"/>
              <w:jc w:val="center"/>
              <w:rPr>
                <w:rFonts w:eastAsia="仿宋_GB2312"/>
                <w:sz w:val="28"/>
                <w:szCs w:val="28"/>
              </w:rPr>
            </w:pPr>
            <w:r>
              <w:rPr>
                <w:rFonts w:eastAsia="仿宋_GB2312"/>
                <w:sz w:val="28"/>
                <w:szCs w:val="28"/>
              </w:rPr>
              <w:t>项目前期工作经费</w:t>
            </w:r>
          </w:p>
        </w:tc>
        <w:tc>
          <w:tcPr>
            <w:tcW w:w="1267" w:type="dxa"/>
            <w:vAlign w:val="center"/>
          </w:tcPr>
          <w:p>
            <w:pPr>
              <w:spacing w:line="600" w:lineRule="exact"/>
              <w:jc w:val="center"/>
              <w:rPr>
                <w:rFonts w:eastAsia="仿宋_GB2312"/>
                <w:szCs w:val="32"/>
              </w:rPr>
            </w:pPr>
            <w:r>
              <w:rPr>
                <w:rFonts w:eastAsia="仿宋_GB2312"/>
                <w:szCs w:val="32"/>
              </w:rPr>
              <w:t>100</w:t>
            </w:r>
          </w:p>
        </w:tc>
        <w:tc>
          <w:tcPr>
            <w:tcW w:w="1695" w:type="dxa"/>
            <w:vAlign w:val="center"/>
          </w:tcPr>
          <w:p>
            <w:pPr>
              <w:spacing w:line="600" w:lineRule="exact"/>
              <w:jc w:val="center"/>
              <w:rPr>
                <w:rFonts w:eastAsia="仿宋_GB2312"/>
                <w:szCs w:val="32"/>
              </w:rPr>
            </w:pPr>
            <w:r>
              <w:rPr>
                <w:rFonts w:eastAsia="仿宋_GB2312"/>
                <w:szCs w:val="32"/>
              </w:rPr>
              <w:t>-2.07</w:t>
            </w:r>
          </w:p>
        </w:tc>
        <w:tc>
          <w:tcPr>
            <w:tcW w:w="1478" w:type="dxa"/>
            <w:vAlign w:val="center"/>
          </w:tcPr>
          <w:p>
            <w:pPr>
              <w:spacing w:line="600" w:lineRule="exact"/>
              <w:jc w:val="center"/>
              <w:rPr>
                <w:rFonts w:eastAsia="仿宋_GB2312"/>
                <w:szCs w:val="32"/>
              </w:rPr>
            </w:pPr>
            <w:r>
              <w:rPr>
                <w:rFonts w:eastAsia="仿宋_GB2312"/>
                <w:szCs w:val="32"/>
              </w:rPr>
              <w:t>97.93</w:t>
            </w:r>
          </w:p>
        </w:tc>
        <w:tc>
          <w:tcPr>
            <w:tcW w:w="1192" w:type="dxa"/>
            <w:vAlign w:val="center"/>
          </w:tcPr>
          <w:p>
            <w:pPr>
              <w:spacing w:line="600" w:lineRule="exact"/>
              <w:jc w:val="center"/>
              <w:rPr>
                <w:rFonts w:eastAsia="仿宋_GB2312"/>
                <w:szCs w:val="32"/>
              </w:rPr>
            </w:pPr>
            <w:r>
              <w:rPr>
                <w:rFonts w:eastAsia="仿宋_GB2312"/>
                <w:szCs w:val="32"/>
              </w:rPr>
              <w:t>97.93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10</w:t>
            </w:r>
          </w:p>
        </w:tc>
        <w:tc>
          <w:tcPr>
            <w:tcW w:w="3038" w:type="dxa"/>
            <w:vAlign w:val="center"/>
          </w:tcPr>
          <w:p>
            <w:pPr>
              <w:spacing w:line="600" w:lineRule="exact"/>
              <w:jc w:val="center"/>
              <w:rPr>
                <w:rFonts w:eastAsia="仿宋_GB2312"/>
                <w:sz w:val="28"/>
                <w:szCs w:val="28"/>
              </w:rPr>
            </w:pPr>
            <w:r>
              <w:rPr>
                <w:rFonts w:eastAsia="仿宋_GB2312"/>
                <w:sz w:val="28"/>
                <w:szCs w:val="28"/>
              </w:rPr>
              <w:t>赵坝村二组船工工资</w:t>
            </w:r>
          </w:p>
        </w:tc>
        <w:tc>
          <w:tcPr>
            <w:tcW w:w="1267" w:type="dxa"/>
            <w:vAlign w:val="center"/>
          </w:tcPr>
          <w:p>
            <w:pPr>
              <w:spacing w:line="600" w:lineRule="exact"/>
              <w:jc w:val="center"/>
              <w:rPr>
                <w:rFonts w:eastAsia="仿宋_GB2312"/>
                <w:szCs w:val="32"/>
              </w:rPr>
            </w:pPr>
            <w:r>
              <w:rPr>
                <w:rFonts w:eastAsia="仿宋_GB2312"/>
                <w:szCs w:val="32"/>
              </w:rPr>
              <w:t>1</w:t>
            </w:r>
          </w:p>
        </w:tc>
        <w:tc>
          <w:tcPr>
            <w:tcW w:w="1695" w:type="dxa"/>
            <w:vAlign w:val="center"/>
          </w:tcPr>
          <w:p>
            <w:pPr>
              <w:spacing w:line="600" w:lineRule="exact"/>
              <w:jc w:val="center"/>
              <w:rPr>
                <w:rFonts w:eastAsia="仿宋_GB2312"/>
                <w:szCs w:val="32"/>
              </w:rPr>
            </w:pPr>
            <w:r>
              <w:rPr>
                <w:rFonts w:eastAsia="仿宋_GB2312"/>
                <w:szCs w:val="32"/>
              </w:rPr>
              <w:t>0</w:t>
            </w:r>
          </w:p>
        </w:tc>
        <w:tc>
          <w:tcPr>
            <w:tcW w:w="1478" w:type="dxa"/>
            <w:vAlign w:val="center"/>
          </w:tcPr>
          <w:p>
            <w:pPr>
              <w:spacing w:line="600" w:lineRule="exact"/>
              <w:jc w:val="center"/>
              <w:rPr>
                <w:rFonts w:eastAsia="仿宋_GB2312"/>
                <w:szCs w:val="32"/>
              </w:rPr>
            </w:pPr>
            <w:r>
              <w:rPr>
                <w:rFonts w:eastAsia="仿宋_GB2312"/>
                <w:szCs w:val="32"/>
              </w:rPr>
              <w:t>1</w:t>
            </w:r>
          </w:p>
        </w:tc>
        <w:tc>
          <w:tcPr>
            <w:tcW w:w="1192" w:type="dxa"/>
            <w:vAlign w:val="center"/>
          </w:tcPr>
          <w:p>
            <w:pPr>
              <w:spacing w:line="600" w:lineRule="exact"/>
              <w:jc w:val="center"/>
              <w:rPr>
                <w:rFonts w:eastAsia="仿宋_GB2312"/>
                <w:szCs w:val="32"/>
              </w:rPr>
            </w:pPr>
            <w:r>
              <w:rPr>
                <w:rFonts w:eastAsia="仿宋_GB2312"/>
                <w:szCs w:val="3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spacing w:line="600" w:lineRule="exact"/>
              <w:jc w:val="center"/>
              <w:rPr>
                <w:rFonts w:eastAsia="仿宋_GB2312"/>
                <w:szCs w:val="32"/>
              </w:rPr>
            </w:pPr>
            <w:r>
              <w:rPr>
                <w:rFonts w:eastAsia="仿宋_GB2312"/>
                <w:szCs w:val="32"/>
              </w:rPr>
              <w:t>11</w:t>
            </w:r>
          </w:p>
        </w:tc>
        <w:tc>
          <w:tcPr>
            <w:tcW w:w="3038" w:type="dxa"/>
            <w:vAlign w:val="center"/>
          </w:tcPr>
          <w:p>
            <w:pPr>
              <w:spacing w:line="600" w:lineRule="exact"/>
              <w:jc w:val="center"/>
              <w:rPr>
                <w:rFonts w:eastAsia="仿宋_GB2312"/>
                <w:sz w:val="28"/>
                <w:szCs w:val="28"/>
              </w:rPr>
            </w:pPr>
            <w:r>
              <w:rPr>
                <w:rFonts w:eastAsia="仿宋_GB2312"/>
                <w:sz w:val="28"/>
                <w:szCs w:val="28"/>
              </w:rPr>
              <w:t>政务运转工作经费</w:t>
            </w:r>
          </w:p>
        </w:tc>
        <w:tc>
          <w:tcPr>
            <w:tcW w:w="1267" w:type="dxa"/>
            <w:vAlign w:val="center"/>
          </w:tcPr>
          <w:p>
            <w:pPr>
              <w:spacing w:line="600" w:lineRule="exact"/>
              <w:jc w:val="center"/>
              <w:rPr>
                <w:rFonts w:eastAsia="仿宋_GB2312"/>
                <w:szCs w:val="32"/>
              </w:rPr>
            </w:pPr>
            <w:r>
              <w:rPr>
                <w:rFonts w:eastAsia="仿宋_GB2312"/>
                <w:szCs w:val="32"/>
              </w:rPr>
              <w:t>45</w:t>
            </w:r>
          </w:p>
        </w:tc>
        <w:tc>
          <w:tcPr>
            <w:tcW w:w="1695" w:type="dxa"/>
            <w:vAlign w:val="center"/>
          </w:tcPr>
          <w:p>
            <w:pPr>
              <w:spacing w:line="600" w:lineRule="exact"/>
              <w:jc w:val="center"/>
              <w:rPr>
                <w:rFonts w:eastAsia="仿宋_GB2312"/>
                <w:szCs w:val="32"/>
              </w:rPr>
            </w:pPr>
            <w:r>
              <w:rPr>
                <w:rFonts w:eastAsia="仿宋_GB2312"/>
                <w:szCs w:val="32"/>
              </w:rPr>
              <w:t>-17.99</w:t>
            </w:r>
          </w:p>
        </w:tc>
        <w:tc>
          <w:tcPr>
            <w:tcW w:w="1478" w:type="dxa"/>
            <w:vAlign w:val="center"/>
          </w:tcPr>
          <w:p>
            <w:pPr>
              <w:spacing w:line="600" w:lineRule="exact"/>
              <w:jc w:val="center"/>
              <w:rPr>
                <w:rFonts w:eastAsia="仿宋_GB2312"/>
                <w:szCs w:val="32"/>
              </w:rPr>
            </w:pPr>
            <w:r>
              <w:rPr>
                <w:rFonts w:eastAsia="仿宋_GB2312"/>
                <w:szCs w:val="32"/>
              </w:rPr>
              <w:t>27.01</w:t>
            </w:r>
          </w:p>
        </w:tc>
        <w:tc>
          <w:tcPr>
            <w:tcW w:w="1192" w:type="dxa"/>
            <w:vAlign w:val="center"/>
          </w:tcPr>
          <w:p>
            <w:pPr>
              <w:spacing w:line="600" w:lineRule="exact"/>
              <w:jc w:val="center"/>
              <w:rPr>
                <w:rFonts w:eastAsia="仿宋_GB2312"/>
                <w:szCs w:val="32"/>
              </w:rPr>
            </w:pPr>
            <w:r>
              <w:rPr>
                <w:rFonts w:eastAsia="仿宋_GB2312"/>
                <w:szCs w:val="32"/>
              </w:rPr>
              <w:t>60</w:t>
            </w:r>
          </w:p>
        </w:tc>
      </w:tr>
    </w:tbl>
    <w:p>
      <w:pPr>
        <w:spacing w:line="600" w:lineRule="exact"/>
        <w:ind w:left="640" w:leftChars="200"/>
        <w:rPr>
          <w:rFonts w:eastAsia="仿宋_GB2312"/>
          <w:szCs w:val="32"/>
        </w:rPr>
      </w:pPr>
      <w:r>
        <w:rPr>
          <w:rFonts w:eastAsia="仿宋_GB2312"/>
          <w:szCs w:val="32"/>
        </w:rPr>
        <w:t>2</w:t>
      </w:r>
      <w:r>
        <w:rPr>
          <w:rFonts w:hint="eastAsia" w:eastAsia="仿宋_GB2312"/>
          <w:color w:val="000000"/>
          <w:kern w:val="0"/>
          <w:szCs w:val="32"/>
          <w:lang w:val="en-US" w:eastAsia="zh-CN"/>
        </w:rPr>
        <w:t>．</w:t>
      </w:r>
      <w:r>
        <w:rPr>
          <w:rFonts w:eastAsia="仿宋_GB2312"/>
          <w:szCs w:val="32"/>
        </w:rPr>
        <w:t>项目效果情况</w:t>
      </w:r>
    </w:p>
    <w:p>
      <w:pPr>
        <w:spacing w:line="600" w:lineRule="exact"/>
        <w:ind w:firstLine="640" w:firstLineChars="200"/>
        <w:rPr>
          <w:rFonts w:hint="eastAsia" w:eastAsia="仿宋_GB2312"/>
          <w:szCs w:val="32"/>
        </w:rPr>
      </w:pPr>
      <w:r>
        <w:rPr>
          <w:rFonts w:eastAsia="仿宋_GB2312"/>
          <w:szCs w:val="32"/>
        </w:rPr>
        <w:t>通过项目实施，有效提高城市交通资源利用率、缓解交通拥堵、降低交通污染的重要手段，对增强城市功能、统筹城乡发展、促进城乡共同繁荣具有十分重要的作用。给城乡居民的出行带来极大的便利，取得了良好的社会效益，人民群众十分满意。</w:t>
      </w:r>
    </w:p>
    <w:p>
      <w:pPr>
        <w:spacing w:line="600" w:lineRule="exact"/>
        <w:ind w:firstLine="643" w:firstLineChars="200"/>
        <w:rPr>
          <w:rFonts w:eastAsia="仿宋_GB2312"/>
          <w:color w:val="000000"/>
          <w:szCs w:val="32"/>
        </w:rPr>
      </w:pPr>
      <w:r>
        <w:rPr>
          <w:rFonts w:eastAsia="楷体"/>
          <w:b/>
          <w:bCs/>
          <w:szCs w:val="32"/>
          <w:lang w:val="zh-CN"/>
        </w:rPr>
        <w:t>（</w:t>
      </w:r>
      <w:r>
        <w:rPr>
          <w:rFonts w:eastAsia="楷体"/>
          <w:b/>
          <w:bCs/>
          <w:szCs w:val="32"/>
        </w:rPr>
        <w:t>三</w:t>
      </w:r>
      <w:r>
        <w:rPr>
          <w:rFonts w:eastAsia="楷体"/>
          <w:b/>
          <w:bCs/>
          <w:szCs w:val="32"/>
          <w:lang w:val="zh-CN"/>
        </w:rPr>
        <w:t>）结果应用情况</w:t>
      </w:r>
    </w:p>
    <w:p>
      <w:pPr>
        <w:widowControl/>
        <w:adjustRightInd w:val="0"/>
        <w:snapToGrid w:val="0"/>
        <w:spacing w:line="600" w:lineRule="exact"/>
        <w:ind w:firstLine="640" w:firstLineChars="200"/>
        <w:contextualSpacing/>
        <w:jc w:val="left"/>
        <w:rPr>
          <w:rFonts w:eastAsia="仿宋_GB2312"/>
          <w:color w:val="000000"/>
          <w:kern w:val="0"/>
          <w:szCs w:val="32"/>
          <w:shd w:val="clear" w:color="auto" w:fill="FFFFFF"/>
          <w:lang w:val="zh-CN"/>
        </w:rPr>
      </w:pPr>
      <w:r>
        <w:rPr>
          <w:rFonts w:eastAsia="仿宋_GB2312"/>
          <w:color w:val="000000"/>
          <w:kern w:val="0"/>
          <w:szCs w:val="32"/>
        </w:rPr>
        <w:t>部门整体自评认真仔细质量高、绩效目标和自评情况、评价结果按县财政要求按时公开。在自评中认真总结经验和工作中的注意事项，为来年工作做的更好打好基础，为财政部门和上级业务主管部门安排项目资金提供参考。</w:t>
      </w:r>
    </w:p>
    <w:p>
      <w:pPr>
        <w:spacing w:line="600" w:lineRule="exact"/>
        <w:ind w:firstLine="643" w:firstLineChars="200"/>
        <w:rPr>
          <w:rFonts w:hint="eastAsia" w:eastAsia="黑体"/>
          <w:b/>
          <w:szCs w:val="32"/>
        </w:rPr>
      </w:pPr>
      <w:r>
        <w:rPr>
          <w:rFonts w:eastAsia="黑体"/>
          <w:b/>
          <w:szCs w:val="32"/>
        </w:rPr>
        <w:t>四、评价结论及建议</w:t>
      </w:r>
    </w:p>
    <w:p>
      <w:pPr>
        <w:spacing w:line="600" w:lineRule="exact"/>
        <w:ind w:firstLine="643" w:firstLineChars="200"/>
        <w:rPr>
          <w:rFonts w:eastAsia="黑体"/>
          <w:b/>
          <w:szCs w:val="32"/>
        </w:rPr>
      </w:pPr>
      <w:r>
        <w:rPr>
          <w:rFonts w:eastAsia="楷体"/>
          <w:b/>
          <w:bCs/>
          <w:szCs w:val="32"/>
          <w:lang w:val="zh-CN"/>
        </w:rPr>
        <w:t>（一）评价结论</w:t>
      </w:r>
    </w:p>
    <w:p>
      <w:pPr>
        <w:widowControl/>
        <w:adjustRightInd w:val="0"/>
        <w:snapToGrid w:val="0"/>
        <w:spacing w:line="600" w:lineRule="exact"/>
        <w:ind w:firstLine="720"/>
        <w:jc w:val="left"/>
        <w:rPr>
          <w:rFonts w:hint="eastAsia" w:eastAsia="仿宋_GB2312"/>
          <w:color w:val="000000"/>
          <w:kern w:val="0"/>
          <w:szCs w:val="32"/>
        </w:rPr>
      </w:pPr>
      <w:r>
        <w:rPr>
          <w:rFonts w:eastAsia="仿宋_GB2312"/>
          <w:color w:val="000000"/>
          <w:kern w:val="0"/>
          <w:szCs w:val="32"/>
        </w:rPr>
        <w:t>2021年交通运输局全面完成了县委、县政府和市</w:t>
      </w:r>
      <w:r>
        <w:rPr>
          <w:rFonts w:hint="eastAsia" w:eastAsia="仿宋_GB2312"/>
          <w:color w:val="000000"/>
          <w:kern w:val="0"/>
          <w:szCs w:val="32"/>
          <w:lang w:val="en-US" w:eastAsia="zh-CN"/>
        </w:rPr>
        <w:t>交通运输</w:t>
      </w:r>
      <w:r>
        <w:rPr>
          <w:rFonts w:hint="eastAsia" w:eastAsia="仿宋_GB2312"/>
          <w:color w:val="000000"/>
          <w:kern w:val="0"/>
          <w:szCs w:val="32"/>
        </w:rPr>
        <w:t>局</w:t>
      </w:r>
      <w:r>
        <w:rPr>
          <w:rFonts w:eastAsia="仿宋_GB2312"/>
          <w:color w:val="000000"/>
          <w:kern w:val="0"/>
          <w:szCs w:val="32"/>
        </w:rPr>
        <w:t>下达的各项目标任务，为我县经济发展作出了应有的贡献，社会经济效益达到显著提高，群众满意度极高，整体评价自</w:t>
      </w:r>
      <w:bookmarkStart w:id="0" w:name="_GoBack"/>
      <w:bookmarkEnd w:id="0"/>
      <w:r>
        <w:rPr>
          <w:rFonts w:eastAsia="仿宋_GB2312"/>
          <w:color w:val="000000"/>
          <w:kern w:val="0"/>
          <w:szCs w:val="32"/>
        </w:rPr>
        <w:t>评得分92分。</w:t>
      </w:r>
    </w:p>
    <w:p>
      <w:pPr>
        <w:widowControl/>
        <w:adjustRightInd w:val="0"/>
        <w:snapToGrid w:val="0"/>
        <w:spacing w:line="600" w:lineRule="exact"/>
        <w:ind w:firstLine="720"/>
        <w:jc w:val="left"/>
        <w:rPr>
          <w:rFonts w:eastAsia="仿宋_GB2312"/>
          <w:color w:val="000000"/>
          <w:kern w:val="0"/>
          <w:szCs w:val="32"/>
          <w:shd w:val="clear" w:color="auto" w:fill="FFFFFF"/>
          <w:lang w:val="zh-CN"/>
        </w:rPr>
      </w:pPr>
      <w:r>
        <w:rPr>
          <w:rFonts w:eastAsia="楷体"/>
          <w:b/>
          <w:bCs/>
          <w:szCs w:val="32"/>
          <w:lang w:val="zh-CN"/>
        </w:rPr>
        <w:t>（</w:t>
      </w:r>
      <w:r>
        <w:rPr>
          <w:rFonts w:eastAsia="楷体"/>
          <w:b/>
          <w:bCs/>
          <w:szCs w:val="32"/>
        </w:rPr>
        <w:t>二</w:t>
      </w:r>
      <w:r>
        <w:rPr>
          <w:rFonts w:eastAsia="楷体"/>
          <w:b/>
          <w:bCs/>
          <w:szCs w:val="32"/>
          <w:lang w:val="zh-CN"/>
        </w:rPr>
        <w:t>）存在问题</w:t>
      </w:r>
    </w:p>
    <w:p>
      <w:pPr>
        <w:widowControl/>
        <w:adjustRightInd w:val="0"/>
        <w:snapToGrid w:val="0"/>
        <w:spacing w:line="600" w:lineRule="exact"/>
        <w:ind w:firstLine="630"/>
        <w:contextualSpacing/>
        <w:jc w:val="left"/>
        <w:rPr>
          <w:rFonts w:hint="eastAsia" w:eastAsia="仿宋_GB2312"/>
          <w:color w:val="000000"/>
          <w:kern w:val="0"/>
          <w:szCs w:val="32"/>
        </w:rPr>
      </w:pPr>
      <w:r>
        <w:rPr>
          <w:rFonts w:eastAsia="仿宋_GB2312"/>
          <w:color w:val="000000"/>
          <w:kern w:val="0"/>
          <w:szCs w:val="32"/>
        </w:rPr>
        <w:t>无。</w:t>
      </w:r>
    </w:p>
    <w:p>
      <w:pPr>
        <w:widowControl/>
        <w:adjustRightInd w:val="0"/>
        <w:snapToGrid w:val="0"/>
        <w:spacing w:line="600" w:lineRule="exact"/>
        <w:ind w:firstLine="630"/>
        <w:contextualSpacing/>
        <w:jc w:val="left"/>
        <w:rPr>
          <w:rFonts w:eastAsia="仿宋_GB2312"/>
          <w:color w:val="000000"/>
          <w:kern w:val="0"/>
          <w:szCs w:val="32"/>
        </w:rPr>
      </w:pPr>
      <w:r>
        <w:rPr>
          <w:rFonts w:eastAsia="楷体"/>
          <w:b/>
          <w:bCs/>
          <w:szCs w:val="32"/>
          <w:lang w:val="zh-CN"/>
        </w:rPr>
        <w:t>（</w:t>
      </w:r>
      <w:r>
        <w:rPr>
          <w:rFonts w:eastAsia="楷体"/>
          <w:b/>
          <w:bCs/>
          <w:szCs w:val="32"/>
        </w:rPr>
        <w:t>三</w:t>
      </w:r>
      <w:r>
        <w:rPr>
          <w:rFonts w:eastAsia="楷体"/>
          <w:b/>
          <w:bCs/>
          <w:szCs w:val="32"/>
          <w:lang w:val="zh-CN"/>
        </w:rPr>
        <w:t>）改进建议</w:t>
      </w:r>
    </w:p>
    <w:p>
      <w:pPr>
        <w:widowControl/>
        <w:adjustRightInd w:val="0"/>
        <w:snapToGrid w:val="0"/>
        <w:spacing w:line="600" w:lineRule="exact"/>
        <w:ind w:firstLine="720"/>
        <w:jc w:val="left"/>
        <w:rPr>
          <w:rFonts w:eastAsia="仿宋_GB2312"/>
          <w:color w:val="000000"/>
          <w:kern w:val="0"/>
          <w:szCs w:val="32"/>
          <w:lang w:val="zh-CN"/>
        </w:rPr>
      </w:pPr>
      <w:r>
        <w:rPr>
          <w:rFonts w:eastAsia="仿宋_GB2312"/>
          <w:color w:val="000000"/>
          <w:kern w:val="0"/>
          <w:szCs w:val="32"/>
          <w:lang w:val="zh-CN"/>
        </w:rPr>
        <w:t>无。</w:t>
      </w:r>
    </w:p>
    <w:p>
      <w:pPr>
        <w:widowControl/>
        <w:adjustRightInd w:val="0"/>
        <w:snapToGrid w:val="0"/>
        <w:spacing w:line="600" w:lineRule="exact"/>
        <w:ind w:left="640" w:leftChars="200"/>
        <w:contextualSpacing/>
        <w:jc w:val="left"/>
        <w:rPr>
          <w:rFonts w:hint="eastAsia" w:eastAsia="楷体_GB2312"/>
          <w:color w:val="000000"/>
          <w:kern w:val="0"/>
          <w:szCs w:val="32"/>
          <w:shd w:val="clear" w:color="auto" w:fill="FFFFFF"/>
          <w:lang w:val="zh-CN"/>
        </w:rPr>
      </w:pPr>
    </w:p>
    <w:p>
      <w:pPr>
        <w:widowControl/>
        <w:adjustRightInd w:val="0"/>
        <w:snapToGrid w:val="0"/>
        <w:spacing w:line="600" w:lineRule="exact"/>
        <w:ind w:left="640" w:leftChars="200"/>
        <w:contextualSpacing/>
        <w:jc w:val="left"/>
        <w:rPr>
          <w:rFonts w:eastAsia="楷体_GB2312"/>
          <w:color w:val="000000"/>
          <w:kern w:val="0"/>
          <w:szCs w:val="32"/>
          <w:shd w:val="clear" w:color="auto" w:fill="FFFFFF"/>
          <w:lang w:val="zh-CN"/>
        </w:rPr>
      </w:pPr>
    </w:p>
    <w:p>
      <w:pPr>
        <w:widowControl/>
        <w:adjustRightInd w:val="0"/>
        <w:snapToGrid w:val="0"/>
        <w:spacing w:line="600" w:lineRule="exact"/>
        <w:ind w:firstLine="720"/>
        <w:jc w:val="left"/>
        <w:rPr>
          <w:rFonts w:eastAsia="仿宋_GB2312"/>
          <w:color w:val="000000"/>
          <w:kern w:val="0"/>
          <w:szCs w:val="32"/>
        </w:rPr>
      </w:pPr>
      <w:r>
        <w:rPr>
          <w:rFonts w:eastAsia="楷体_GB2312"/>
          <w:color w:val="000000"/>
          <w:kern w:val="0"/>
          <w:szCs w:val="32"/>
          <w:shd w:val="clear" w:color="auto" w:fill="FFFFFF"/>
        </w:rPr>
        <w:t xml:space="preserve">                             </w:t>
      </w:r>
      <w:r>
        <w:rPr>
          <w:rFonts w:eastAsia="仿宋_GB2312"/>
          <w:color w:val="000000"/>
          <w:kern w:val="0"/>
          <w:szCs w:val="32"/>
        </w:rPr>
        <w:t xml:space="preserve"> 沐川县交通运输局      </w:t>
      </w:r>
    </w:p>
    <w:p>
      <w:pPr>
        <w:widowControl/>
        <w:adjustRightInd w:val="0"/>
        <w:snapToGrid w:val="0"/>
        <w:spacing w:line="600" w:lineRule="exact"/>
        <w:ind w:firstLine="720"/>
        <w:jc w:val="left"/>
        <w:rPr>
          <w:rFonts w:eastAsia="仿宋_GB2312"/>
          <w:color w:val="000000"/>
          <w:kern w:val="0"/>
          <w:szCs w:val="32"/>
        </w:rPr>
      </w:pPr>
      <w:r>
        <w:rPr>
          <w:rFonts w:eastAsia="仿宋_GB2312"/>
          <w:color w:val="000000"/>
          <w:kern w:val="0"/>
          <w:szCs w:val="32"/>
        </w:rPr>
        <w:t xml:space="preserve">                              2022年7月20日</w:t>
      </w:r>
    </w:p>
    <w:sectPr>
      <w:headerReference r:id="rId3" w:type="default"/>
      <w:footerReference r:id="rId4" w:type="even"/>
      <w:pgSz w:w="11906" w:h="16838"/>
      <w:pgMar w:top="907" w:right="1361" w:bottom="851" w:left="1361" w:header="851" w:footer="992" w:gutter="0"/>
      <w:pgNumType w:fmt="numberInDash" w:start="12"/>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
    <w:altName w:val="Times New Roman"/>
    <w:panose1 w:val="00000000000000000000"/>
    <w:charset w:val="00"/>
    <w:family w:val="roman"/>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12 -</w:t>
    </w:r>
    <w:r>
      <w:rPr>
        <w:rFonts w:ascii="宋体" w:hAnsi="宋体"/>
        <w:sz w:val="28"/>
        <w:szCs w:val="28"/>
      </w:rPr>
      <w:fldChar w:fldCharType="end"/>
    </w:r>
  </w:p>
  <w:p>
    <w:pPr>
      <w:pStyle w:val="6"/>
      <w:tabs>
        <w:tab w:val="right" w:pos="9184"/>
        <w:tab w:val="clear" w:pos="4153"/>
        <w:tab w:val="clear" w:pos="8306"/>
      </w:tabs>
      <w:rPr>
        <w:rFonts w:asci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A4BAB7"/>
    <w:multiLevelType w:val="singleLevel"/>
    <w:tmpl w:val="91A4BAB7"/>
    <w:lvl w:ilvl="0" w:tentative="0">
      <w:start w:val="1"/>
      <w:numFmt w:val="decimal"/>
      <w:suff w:val="nothing"/>
      <w:lvlText w:val="%1．"/>
      <w:lvlJc w:val="left"/>
    </w:lvl>
  </w:abstractNum>
  <w:abstractNum w:abstractNumId="1">
    <w:nsid w:val="79E59BE7"/>
    <w:multiLevelType w:val="singleLevel"/>
    <w:tmpl w:val="79E59BE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C0174"/>
    <w:rsid w:val="00006E4D"/>
    <w:rsid w:val="00021652"/>
    <w:rsid w:val="00030311"/>
    <w:rsid w:val="00030782"/>
    <w:rsid w:val="00030B66"/>
    <w:rsid w:val="0006068D"/>
    <w:rsid w:val="0006102A"/>
    <w:rsid w:val="00065B0F"/>
    <w:rsid w:val="00065E7E"/>
    <w:rsid w:val="000820BB"/>
    <w:rsid w:val="0008241B"/>
    <w:rsid w:val="00092280"/>
    <w:rsid w:val="00097FAE"/>
    <w:rsid w:val="000A3233"/>
    <w:rsid w:val="000A7486"/>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54C87"/>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2E5FFD"/>
    <w:rsid w:val="00300EF4"/>
    <w:rsid w:val="00301353"/>
    <w:rsid w:val="00305FF6"/>
    <w:rsid w:val="00307568"/>
    <w:rsid w:val="00311506"/>
    <w:rsid w:val="00316ADB"/>
    <w:rsid w:val="00317623"/>
    <w:rsid w:val="00335F67"/>
    <w:rsid w:val="003361E9"/>
    <w:rsid w:val="00350A65"/>
    <w:rsid w:val="00352164"/>
    <w:rsid w:val="00361C85"/>
    <w:rsid w:val="00371352"/>
    <w:rsid w:val="00376753"/>
    <w:rsid w:val="00377D4E"/>
    <w:rsid w:val="0038541D"/>
    <w:rsid w:val="00387818"/>
    <w:rsid w:val="00391A13"/>
    <w:rsid w:val="00391FD0"/>
    <w:rsid w:val="003A44FC"/>
    <w:rsid w:val="003B3299"/>
    <w:rsid w:val="003C7AAE"/>
    <w:rsid w:val="003D10A2"/>
    <w:rsid w:val="003D33B8"/>
    <w:rsid w:val="003D624D"/>
    <w:rsid w:val="003D719A"/>
    <w:rsid w:val="003F5EB7"/>
    <w:rsid w:val="003F7FE2"/>
    <w:rsid w:val="004004E7"/>
    <w:rsid w:val="00401C7A"/>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37DB9"/>
    <w:rsid w:val="00542AB7"/>
    <w:rsid w:val="0055358D"/>
    <w:rsid w:val="005540C8"/>
    <w:rsid w:val="00555809"/>
    <w:rsid w:val="00562165"/>
    <w:rsid w:val="005756AF"/>
    <w:rsid w:val="00575A4A"/>
    <w:rsid w:val="00591B6F"/>
    <w:rsid w:val="005A1DAF"/>
    <w:rsid w:val="005A67BD"/>
    <w:rsid w:val="005C17C8"/>
    <w:rsid w:val="005C2098"/>
    <w:rsid w:val="005C2E6C"/>
    <w:rsid w:val="005D0CCF"/>
    <w:rsid w:val="005D1C01"/>
    <w:rsid w:val="005D5BEE"/>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37684"/>
    <w:rsid w:val="007732A1"/>
    <w:rsid w:val="007739D4"/>
    <w:rsid w:val="00774C4A"/>
    <w:rsid w:val="00782BBB"/>
    <w:rsid w:val="007A0690"/>
    <w:rsid w:val="007A078F"/>
    <w:rsid w:val="007B34D4"/>
    <w:rsid w:val="007C0633"/>
    <w:rsid w:val="007D086C"/>
    <w:rsid w:val="007F1BE1"/>
    <w:rsid w:val="007F2C5C"/>
    <w:rsid w:val="007F707F"/>
    <w:rsid w:val="007F794C"/>
    <w:rsid w:val="007F7AC9"/>
    <w:rsid w:val="00803B42"/>
    <w:rsid w:val="008073EF"/>
    <w:rsid w:val="0081095C"/>
    <w:rsid w:val="00810C41"/>
    <w:rsid w:val="008212FF"/>
    <w:rsid w:val="00823803"/>
    <w:rsid w:val="0082593B"/>
    <w:rsid w:val="00827537"/>
    <w:rsid w:val="00830A05"/>
    <w:rsid w:val="0083462A"/>
    <w:rsid w:val="008451A8"/>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D3631"/>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4484"/>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073A"/>
    <w:rsid w:val="00B82C95"/>
    <w:rsid w:val="00B83F87"/>
    <w:rsid w:val="00B84DFD"/>
    <w:rsid w:val="00BB4E38"/>
    <w:rsid w:val="00BC3879"/>
    <w:rsid w:val="00BD0E0D"/>
    <w:rsid w:val="00BD41BC"/>
    <w:rsid w:val="00BD55AD"/>
    <w:rsid w:val="00BD7047"/>
    <w:rsid w:val="00BE0305"/>
    <w:rsid w:val="00BE3D92"/>
    <w:rsid w:val="00BF15F0"/>
    <w:rsid w:val="00BF7DF9"/>
    <w:rsid w:val="00C03559"/>
    <w:rsid w:val="00C05395"/>
    <w:rsid w:val="00C22AD7"/>
    <w:rsid w:val="00C272C1"/>
    <w:rsid w:val="00C32A68"/>
    <w:rsid w:val="00C34282"/>
    <w:rsid w:val="00C35350"/>
    <w:rsid w:val="00C3564B"/>
    <w:rsid w:val="00C41851"/>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D3471"/>
    <w:rsid w:val="00CF5275"/>
    <w:rsid w:val="00CF6136"/>
    <w:rsid w:val="00D0023D"/>
    <w:rsid w:val="00D006C6"/>
    <w:rsid w:val="00D14A65"/>
    <w:rsid w:val="00D162B9"/>
    <w:rsid w:val="00D251E2"/>
    <w:rsid w:val="00D254F4"/>
    <w:rsid w:val="00D263A7"/>
    <w:rsid w:val="00D26B5D"/>
    <w:rsid w:val="00D33159"/>
    <w:rsid w:val="00D33A19"/>
    <w:rsid w:val="00D349F5"/>
    <w:rsid w:val="00D355B5"/>
    <w:rsid w:val="00D4288B"/>
    <w:rsid w:val="00D43DC3"/>
    <w:rsid w:val="00D51791"/>
    <w:rsid w:val="00D5281E"/>
    <w:rsid w:val="00D6531B"/>
    <w:rsid w:val="00D6612D"/>
    <w:rsid w:val="00D71AD9"/>
    <w:rsid w:val="00D73C02"/>
    <w:rsid w:val="00D77D81"/>
    <w:rsid w:val="00D8170D"/>
    <w:rsid w:val="00D872ED"/>
    <w:rsid w:val="00D913C6"/>
    <w:rsid w:val="00DA0236"/>
    <w:rsid w:val="00DA5D51"/>
    <w:rsid w:val="00DA5E29"/>
    <w:rsid w:val="00DA602D"/>
    <w:rsid w:val="00DA61CA"/>
    <w:rsid w:val="00DB66BB"/>
    <w:rsid w:val="00DB73AF"/>
    <w:rsid w:val="00DC2865"/>
    <w:rsid w:val="00DD0894"/>
    <w:rsid w:val="00DD12DB"/>
    <w:rsid w:val="00DE1888"/>
    <w:rsid w:val="00DF1250"/>
    <w:rsid w:val="00DF6EF7"/>
    <w:rsid w:val="00E05454"/>
    <w:rsid w:val="00E074C3"/>
    <w:rsid w:val="00E23329"/>
    <w:rsid w:val="00E24D6D"/>
    <w:rsid w:val="00E341B2"/>
    <w:rsid w:val="00E42633"/>
    <w:rsid w:val="00E5699E"/>
    <w:rsid w:val="00E570E1"/>
    <w:rsid w:val="00E70BEA"/>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237F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D0228"/>
    <w:rsid w:val="00FD3BB7"/>
    <w:rsid w:val="00FE0D93"/>
    <w:rsid w:val="00FF2572"/>
    <w:rsid w:val="00FF32AD"/>
    <w:rsid w:val="03946B2A"/>
    <w:rsid w:val="0730303A"/>
    <w:rsid w:val="09AF08A2"/>
    <w:rsid w:val="0A8F3E32"/>
    <w:rsid w:val="0B473F48"/>
    <w:rsid w:val="0C6A5D29"/>
    <w:rsid w:val="11DA59C9"/>
    <w:rsid w:val="134409F4"/>
    <w:rsid w:val="14EB7C83"/>
    <w:rsid w:val="159247B1"/>
    <w:rsid w:val="17B25833"/>
    <w:rsid w:val="19927F78"/>
    <w:rsid w:val="1CB63FC8"/>
    <w:rsid w:val="1CCB642E"/>
    <w:rsid w:val="1DCB777E"/>
    <w:rsid w:val="1ED232E8"/>
    <w:rsid w:val="1F710F80"/>
    <w:rsid w:val="1F887D08"/>
    <w:rsid w:val="21AE59D8"/>
    <w:rsid w:val="27101133"/>
    <w:rsid w:val="27552C14"/>
    <w:rsid w:val="286F56EA"/>
    <w:rsid w:val="2BF27D98"/>
    <w:rsid w:val="2D527252"/>
    <w:rsid w:val="2E141610"/>
    <w:rsid w:val="2F770257"/>
    <w:rsid w:val="2FA52D1D"/>
    <w:rsid w:val="31004421"/>
    <w:rsid w:val="329102D6"/>
    <w:rsid w:val="34BA215C"/>
    <w:rsid w:val="352726A6"/>
    <w:rsid w:val="366D0ECD"/>
    <w:rsid w:val="36E9468E"/>
    <w:rsid w:val="38680EB0"/>
    <w:rsid w:val="3A9520B3"/>
    <w:rsid w:val="3D23196F"/>
    <w:rsid w:val="3DE562B7"/>
    <w:rsid w:val="3E6507EA"/>
    <w:rsid w:val="41102078"/>
    <w:rsid w:val="41AB55D9"/>
    <w:rsid w:val="439B74A2"/>
    <w:rsid w:val="448D777A"/>
    <w:rsid w:val="460B46D5"/>
    <w:rsid w:val="47550EBA"/>
    <w:rsid w:val="482B60E4"/>
    <w:rsid w:val="49EB162E"/>
    <w:rsid w:val="4B71064F"/>
    <w:rsid w:val="50BB3388"/>
    <w:rsid w:val="515043E8"/>
    <w:rsid w:val="53DF6AA9"/>
    <w:rsid w:val="55D32986"/>
    <w:rsid w:val="56382F4E"/>
    <w:rsid w:val="57C16A87"/>
    <w:rsid w:val="59531BE0"/>
    <w:rsid w:val="5C282173"/>
    <w:rsid w:val="5C884195"/>
    <w:rsid w:val="624E4540"/>
    <w:rsid w:val="639F5AB6"/>
    <w:rsid w:val="64A9508A"/>
    <w:rsid w:val="64F35E31"/>
    <w:rsid w:val="6636451A"/>
    <w:rsid w:val="69D7282C"/>
    <w:rsid w:val="6A53116A"/>
    <w:rsid w:val="6BE94116"/>
    <w:rsid w:val="6C240C93"/>
    <w:rsid w:val="6D235F46"/>
    <w:rsid w:val="6D3F72DB"/>
    <w:rsid w:val="6D6E20B8"/>
    <w:rsid w:val="6E2A7B47"/>
    <w:rsid w:val="729D71E1"/>
    <w:rsid w:val="75012547"/>
    <w:rsid w:val="76E321A6"/>
    <w:rsid w:val="78657A8E"/>
    <w:rsid w:val="78916378"/>
    <w:rsid w:val="79663989"/>
    <w:rsid w:val="7BC20073"/>
    <w:rsid w:val="7BE939AB"/>
    <w:rsid w:val="7C631402"/>
    <w:rsid w:val="7C876BD8"/>
    <w:rsid w:val="7D847025"/>
    <w:rsid w:val="7DCC0F6E"/>
    <w:rsid w:val="7DF94A21"/>
    <w:rsid w:val="7E140770"/>
    <w:rsid w:val="9BFF62C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qFormat/>
    <w:locked/>
    <w:uiPriority w:val="9"/>
    <w:pPr>
      <w:keepNext/>
      <w:keepLines/>
      <w:spacing w:line="576" w:lineRule="auto"/>
      <w:outlineLvl w:val="0"/>
    </w:pPr>
    <w:rPr>
      <w:b/>
      <w:kern w:val="44"/>
      <w:sz w:val="44"/>
    </w:rPr>
  </w:style>
  <w:style w:type="paragraph" w:styleId="3">
    <w:name w:val="heading 2"/>
    <w:basedOn w:val="1"/>
    <w:next w:val="1"/>
    <w:unhideWhenUsed/>
    <w:qFormat/>
    <w:locked/>
    <w:uiPriority w:val="9"/>
    <w:pPr>
      <w:keepNext/>
      <w:keepLines/>
      <w:spacing w:line="413" w:lineRule="auto"/>
      <w:outlineLvl w:val="1"/>
    </w:pPr>
    <w:rPr>
      <w:rFonts w:ascii="Arial" w:hAnsi="Arial" w:eastAsia="黑体"/>
      <w:b/>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2"/>
    <w:qFormat/>
    <w:uiPriority w:val="99"/>
    <w:rPr>
      <w:rFonts w:ascii="宋体"/>
      <w:sz w:val="18"/>
      <w:szCs w:val="18"/>
    </w:rPr>
  </w:style>
  <w:style w:type="paragraph" w:styleId="5">
    <w:name w:val="Balloon Text"/>
    <w:basedOn w:val="1"/>
    <w:link w:val="13"/>
    <w:semiHidden/>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99"/>
    <w:rPr>
      <w:rFonts w:cs="Times New Roman"/>
    </w:rPr>
  </w:style>
  <w:style w:type="character" w:customStyle="1" w:styleId="12">
    <w:name w:val="文档结构图 Char"/>
    <w:link w:val="4"/>
    <w:qFormat/>
    <w:locked/>
    <w:uiPriority w:val="99"/>
    <w:rPr>
      <w:rFonts w:ascii="宋体" w:cs="Times New Roman"/>
      <w:kern w:val="2"/>
      <w:sz w:val="18"/>
      <w:szCs w:val="18"/>
    </w:rPr>
  </w:style>
  <w:style w:type="character" w:customStyle="1" w:styleId="13">
    <w:name w:val="批注框文本 Char"/>
    <w:link w:val="5"/>
    <w:semiHidden/>
    <w:qFormat/>
    <w:locked/>
    <w:uiPriority w:val="99"/>
    <w:rPr>
      <w:rFonts w:cs="Times New Roman"/>
      <w:sz w:val="2"/>
    </w:rPr>
  </w:style>
  <w:style w:type="character" w:customStyle="1" w:styleId="14">
    <w:name w:val="页脚 Char"/>
    <w:link w:val="6"/>
    <w:qFormat/>
    <w:locked/>
    <w:uiPriority w:val="99"/>
    <w:rPr>
      <w:rFonts w:cs="Times New Roman"/>
      <w:kern w:val="2"/>
      <w:sz w:val="18"/>
      <w:szCs w:val="18"/>
    </w:rPr>
  </w:style>
  <w:style w:type="character" w:customStyle="1" w:styleId="15">
    <w:name w:val="页眉 Char"/>
    <w:link w:val="7"/>
    <w:semiHidden/>
    <w:qFormat/>
    <w:locked/>
    <w:uiPriority w:val="99"/>
    <w:rPr>
      <w:rFonts w:cs="Times New Roman"/>
      <w:sz w:val="18"/>
      <w:szCs w:val="18"/>
    </w:rPr>
  </w:style>
  <w:style w:type="paragraph" w:customStyle="1" w:styleId="16">
    <w:name w:val="四号正文"/>
    <w:basedOn w:val="1"/>
    <w:link w:val="17"/>
    <w:qFormat/>
    <w:uiPriority w:val="99"/>
    <w:pPr>
      <w:spacing w:line="360" w:lineRule="auto"/>
    </w:pPr>
    <w:rPr>
      <w:rFonts w:ascii="??" w:hAnsi="??" w:cs="宋体"/>
      <w:color w:val="000000"/>
      <w:kern w:val="0"/>
      <w:sz w:val="28"/>
      <w:szCs w:val="21"/>
    </w:rPr>
  </w:style>
  <w:style w:type="character" w:customStyle="1" w:styleId="17">
    <w:name w:val="四号正文 Char"/>
    <w:link w:val="16"/>
    <w:qFormat/>
    <w:locked/>
    <w:uiPriority w:val="99"/>
    <w:rPr>
      <w:rFonts w:ascii="??" w:hAnsi="??" w:eastAsia="宋体" w:cs="宋体"/>
      <w:color w:val="000000"/>
      <w:sz w:val="21"/>
      <w:szCs w:val="21"/>
      <w:lang w:val="en-US" w:eastAsia="zh-CN" w:bidi="ar-SA"/>
    </w:rPr>
  </w:style>
  <w:style w:type="paragraph" w:customStyle="1" w:styleId="18">
    <w:name w:val="a"/>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9</Pages>
  <Words>4145</Words>
  <Characters>596</Characters>
  <Lines>4</Lines>
  <Paragraphs>9</Paragraphs>
  <TotalTime>23</TotalTime>
  <ScaleCrop>false</ScaleCrop>
  <LinksUpToDate>false</LinksUpToDate>
  <CharactersWithSpaces>4732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2020-05-28T09:28:00Z</dcterms:created>
  <dc:creator>陈萍</dc:creator>
  <cp:lastModifiedBy>爱吃荔枝不爱喝奶茶</cp:lastModifiedBy>
  <cp:lastPrinted>2022-08-19T03:41:00Z</cp:lastPrinted>
  <dcterms:modified xsi:type="dcterms:W3CDTF">2022-08-23T01:54:39Z</dcterms:modified>
  <dc:title>区域性就业培训基地建设项目</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