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C6" w:rsidRDefault="00C176C6" w:rsidP="00C176C6">
      <w:pPr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0"/>
        <w:gridCol w:w="947"/>
        <w:gridCol w:w="116"/>
        <w:gridCol w:w="2100"/>
        <w:gridCol w:w="882"/>
        <w:gridCol w:w="900"/>
        <w:gridCol w:w="500"/>
        <w:gridCol w:w="976"/>
        <w:gridCol w:w="1178"/>
        <w:gridCol w:w="807"/>
      </w:tblGrid>
      <w:tr w:rsidR="00C176C6" w:rsidTr="00ED21E7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76C6" w:rsidRDefault="00C176C6" w:rsidP="00ED21E7">
            <w:pPr>
              <w:widowControl/>
              <w:spacing w:line="400" w:lineRule="exact"/>
              <w:jc w:val="center"/>
              <w:textAlignment w:val="center"/>
              <w:rPr>
                <w:rFonts w:eastAsia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部门整体支出绩效目标自评表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941" w:type="pct"/>
            <w:gridSpan w:val="2"/>
            <w:tcBorders>
              <w:top w:val="single" w:sz="4" w:space="0" w:color="auto"/>
            </w:tcBorders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部门名称</w:t>
            </w:r>
          </w:p>
        </w:tc>
        <w:tc>
          <w:tcPr>
            <w:tcW w:w="4058" w:type="pct"/>
            <w:gridSpan w:val="8"/>
            <w:tcBorders>
              <w:top w:val="single" w:sz="4" w:space="0" w:color="auto"/>
            </w:tcBorders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沐川县统计局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年度主要任务</w:t>
            </w:r>
          </w:p>
        </w:tc>
        <w:tc>
          <w:tcPr>
            <w:tcW w:w="515" w:type="pct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任务名称</w:t>
            </w:r>
          </w:p>
        </w:tc>
        <w:tc>
          <w:tcPr>
            <w:tcW w:w="1206" w:type="pct"/>
            <w:gridSpan w:val="2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主要内容</w:t>
            </w:r>
          </w:p>
        </w:tc>
        <w:tc>
          <w:tcPr>
            <w:tcW w:w="1242" w:type="pct"/>
            <w:gridSpan w:val="3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预算金额（万元）</w:t>
            </w:r>
          </w:p>
        </w:tc>
        <w:tc>
          <w:tcPr>
            <w:tcW w:w="1610" w:type="pct"/>
            <w:gridSpan w:val="3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实际执行（万元）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206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总额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总额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其他资金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保障单位正常运转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按时发放人员的工资福利支出，保障机关正常运转，行政权力正常运行。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118.95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118.95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118.95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118.95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住户调查工作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记账户补助、对统计人员业务培训、统计账本印制、统计人员业务指导等工作。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75.67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75.67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75.67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75.67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劳动力调查项目经费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通过劳动力调查得到更加全面、准确反映各地区的就业失业状况，更好监测就业形式动态变化，对各地区做好稳就业、保民生工作具有重要意义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3.34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3.34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3.34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3.34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粮食产量对地遥感抽样调查项目经费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为适应新形势下粮食产量对地遥感抽样调查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8.36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8.36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8.36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8.36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住户调查大样本轮换经费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防止样本老化、保证样本代表的必然要求，确保调查数据质量的重要举措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16.02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16.02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16.02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16.02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四上企业一套表联网直报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left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全县“四上企业”每月在联网直报平台报送相关数据报表，每季度报送季报表，每年报送年报表。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18.99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18.99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18.99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18.99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名录库维护及入库核查</w:t>
            </w:r>
          </w:p>
        </w:tc>
        <w:tc>
          <w:tcPr>
            <w:tcW w:w="1206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对全县所有单位，企业在名录库进行维护，信息核实等，对新入库企业进行实地核查。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6.38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6.38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6.38</w:t>
            </w:r>
          </w:p>
        </w:tc>
        <w:tc>
          <w:tcPr>
            <w:tcW w:w="6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6.38</w:t>
            </w:r>
          </w:p>
        </w:tc>
        <w:tc>
          <w:tcPr>
            <w:tcW w:w="438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721" w:type="pct"/>
            <w:gridSpan w:val="3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金额合计</w:t>
            </w:r>
          </w:p>
        </w:tc>
        <w:tc>
          <w:tcPr>
            <w:tcW w:w="480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239.35</w:t>
            </w:r>
          </w:p>
        </w:tc>
        <w:tc>
          <w:tcPr>
            <w:tcW w:w="489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239.35</w:t>
            </w:r>
          </w:p>
        </w:tc>
        <w:tc>
          <w:tcPr>
            <w:tcW w:w="27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3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239.35</w:t>
            </w:r>
          </w:p>
        </w:tc>
        <w:tc>
          <w:tcPr>
            <w:tcW w:w="641" w:type="pct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239.35</w:t>
            </w:r>
          </w:p>
        </w:tc>
        <w:tc>
          <w:tcPr>
            <w:tcW w:w="438" w:type="pct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 w:val="restart"/>
            <w:vAlign w:val="center"/>
          </w:tcPr>
          <w:p w:rsidR="00C176C6" w:rsidRDefault="00C176C6" w:rsidP="00ED21E7">
            <w:pPr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年度总体目标</w:t>
            </w:r>
          </w:p>
        </w:tc>
        <w:tc>
          <w:tcPr>
            <w:tcW w:w="2202" w:type="pct"/>
            <w:gridSpan w:val="4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预期目标</w:t>
            </w:r>
          </w:p>
        </w:tc>
        <w:tc>
          <w:tcPr>
            <w:tcW w:w="2372" w:type="pct"/>
            <w:gridSpan w:val="5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实际完成目标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2202" w:type="pct"/>
            <w:gridSpan w:val="4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机关正常运行、完成县委县政府交办的其他任务</w:t>
            </w:r>
          </w:p>
        </w:tc>
        <w:tc>
          <w:tcPr>
            <w:tcW w:w="2372" w:type="pct"/>
            <w:gridSpan w:val="5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机关正常运行、完成县委县政府交办的其他任务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年度绩效指标</w:t>
            </w:r>
          </w:p>
        </w:tc>
        <w:tc>
          <w:tcPr>
            <w:tcW w:w="579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1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预期指标值（包含数字及文字描述）</w:t>
            </w:r>
          </w:p>
        </w:tc>
        <w:tc>
          <w:tcPr>
            <w:tcW w:w="1079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实际完成指标值（包含数字及文字描述）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完成指标</w:t>
            </w:r>
          </w:p>
        </w:tc>
        <w:tc>
          <w:tcPr>
            <w:tcW w:w="1141" w:type="pct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培训次数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kern w:val="0"/>
                <w:sz w:val="16"/>
                <w:szCs w:val="16"/>
              </w:rPr>
              <w:t>≥</w:t>
            </w:r>
            <w:r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20</w:t>
            </w:r>
            <w:r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次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22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次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接待次数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25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次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25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次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印刷量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500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册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500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册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网络运维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12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12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名录库维护企业户数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400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家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400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家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记账户数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150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户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150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户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企业数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77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家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77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家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数据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真实性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kern w:val="0"/>
                <w:sz w:val="16"/>
                <w:szCs w:val="16"/>
              </w:rPr>
              <w:t>≥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95%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95%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按要求完成数据采集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是否在规定时期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是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 w:val="restar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成本指标</w:t>
            </w:r>
          </w:p>
          <w:p w:rsidR="00C176C6" w:rsidRDefault="00C176C6" w:rsidP="00ED21E7">
            <w:pPr>
              <w:widowControl/>
              <w:spacing w:line="260" w:lineRule="exact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接待费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5"/>
                <w:szCs w:val="15"/>
              </w:rPr>
            </w:pPr>
            <w:r>
              <w:rPr>
                <w:rFonts w:eastAsia="宋体" w:hint="eastAsia"/>
                <w:kern w:val="0"/>
                <w:sz w:val="15"/>
                <w:szCs w:val="15"/>
              </w:rPr>
              <w:t>小于</w:t>
            </w:r>
            <w:r>
              <w:rPr>
                <w:rFonts w:eastAsia="宋体" w:hint="eastAsia"/>
                <w:kern w:val="0"/>
                <w:sz w:val="15"/>
                <w:szCs w:val="15"/>
              </w:rPr>
              <w:t>2.5</w:t>
            </w:r>
            <w:r>
              <w:rPr>
                <w:rFonts w:eastAsia="宋体" w:hint="eastAsia"/>
                <w:kern w:val="0"/>
                <w:sz w:val="15"/>
                <w:szCs w:val="15"/>
              </w:rPr>
              <w:t>万元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5"/>
                <w:szCs w:val="15"/>
              </w:rPr>
              <w:t>小于</w:t>
            </w:r>
            <w:r>
              <w:rPr>
                <w:rFonts w:eastAsia="宋体" w:hint="eastAsia"/>
                <w:kern w:val="0"/>
                <w:sz w:val="15"/>
                <w:szCs w:val="15"/>
              </w:rPr>
              <w:t>2.5</w:t>
            </w:r>
            <w:r>
              <w:rPr>
                <w:rFonts w:eastAsia="宋体" w:hint="eastAsia"/>
                <w:kern w:val="0"/>
                <w:sz w:val="15"/>
                <w:szCs w:val="15"/>
              </w:rPr>
              <w:t>万元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网络运维费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4500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元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/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4500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元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/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月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名录库维护费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6.38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万元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6.38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万元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记账户补贴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75.67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万元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75.67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万元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企业交通通讯费补助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18.99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万元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18.99</w:t>
            </w: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万元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11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kern w:val="0"/>
                <w:sz w:val="16"/>
                <w:szCs w:val="16"/>
              </w:rPr>
              <w:t>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对数据使用者的效益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优良中低差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优</w:t>
            </w:r>
          </w:p>
        </w:tc>
      </w:tr>
      <w:tr w:rsidR="00C176C6" w:rsidTr="00ED21E7">
        <w:trPr>
          <w:trHeight w:val="20"/>
          <w:jc w:val="center"/>
        </w:trPr>
        <w:tc>
          <w:tcPr>
            <w:tcW w:w="425" w:type="pct"/>
            <w:vMerge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满意度</w:t>
            </w:r>
            <w:r>
              <w:rPr>
                <w:rFonts w:eastAsia="宋体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kern w:val="0"/>
                <w:sz w:val="16"/>
                <w:szCs w:val="16"/>
              </w:rPr>
              <w:t>指标</w:t>
            </w:r>
          </w:p>
        </w:tc>
        <w:tc>
          <w:tcPr>
            <w:tcW w:w="1141" w:type="pct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970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kern w:val="0"/>
                <w:sz w:val="16"/>
                <w:szCs w:val="16"/>
              </w:rPr>
              <w:t>服务对象满意度</w:t>
            </w:r>
          </w:p>
        </w:tc>
        <w:tc>
          <w:tcPr>
            <w:tcW w:w="802" w:type="pct"/>
            <w:gridSpan w:val="2"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kern w:val="0"/>
                <w:sz w:val="16"/>
                <w:szCs w:val="16"/>
              </w:rPr>
              <w:t>≥</w:t>
            </w:r>
            <w:r>
              <w:rPr>
                <w:rFonts w:eastAsia="宋体" w:hint="eastAsia"/>
                <w:kern w:val="0"/>
                <w:sz w:val="16"/>
                <w:szCs w:val="16"/>
              </w:rPr>
              <w:t>95%</w:t>
            </w:r>
          </w:p>
        </w:tc>
        <w:tc>
          <w:tcPr>
            <w:tcW w:w="1079" w:type="pct"/>
            <w:gridSpan w:val="2"/>
            <w:noWrap/>
            <w:vAlign w:val="center"/>
          </w:tcPr>
          <w:p w:rsidR="00C176C6" w:rsidRDefault="00C176C6" w:rsidP="00ED21E7">
            <w:pPr>
              <w:widowControl/>
              <w:spacing w:line="260" w:lineRule="exact"/>
              <w:jc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kern w:val="0"/>
                <w:sz w:val="16"/>
                <w:szCs w:val="16"/>
              </w:rPr>
              <w:t>95%</w:t>
            </w:r>
          </w:p>
        </w:tc>
      </w:tr>
    </w:tbl>
    <w:p w:rsidR="00C176C6" w:rsidRDefault="00C176C6" w:rsidP="00C176C6">
      <w:pPr>
        <w:sectPr w:rsidR="00C176C6">
          <w:headerReference w:type="default" r:id="rId6"/>
          <w:footerReference w:type="even" r:id="rId7"/>
          <w:footerReference w:type="default" r:id="rId8"/>
          <w:pgSz w:w="11906" w:h="16838"/>
          <w:pgMar w:top="2041" w:right="1468" w:bottom="1587" w:left="1468" w:header="454" w:footer="454" w:gutter="0"/>
          <w:pgNumType w:fmt="numberInDash"/>
          <w:cols w:space="720"/>
          <w:docGrid w:type="lines" w:linePitch="440"/>
        </w:sectPr>
      </w:pPr>
    </w:p>
    <w:p w:rsidR="00C95EA4" w:rsidRDefault="00C95EA4" w:rsidP="00C176C6"/>
    <w:sectPr w:rsidR="00C95EA4" w:rsidSect="00C95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6C6" w:rsidRDefault="00C176C6" w:rsidP="00C176C6">
      <w:r>
        <w:separator/>
      </w:r>
    </w:p>
  </w:endnote>
  <w:endnote w:type="continuationSeparator" w:id="1">
    <w:p w:rsidR="00C176C6" w:rsidRDefault="00C176C6" w:rsidP="00C17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C6" w:rsidRDefault="00C95EA4">
    <w:pPr>
      <w:pStyle w:val="a5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 w:rsidR="00C176C6">
      <w:rPr>
        <w:rStyle w:val="a6"/>
        <w:rFonts w:ascii="宋体" w:eastAsia="宋体" w:hAnsi="宋体"/>
        <w:sz w:val="28"/>
        <w:szCs w:val="28"/>
      </w:rPr>
      <w:instrText xml:space="preserve"> PAGE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C176C6">
      <w:rPr>
        <w:rStyle w:val="a6"/>
        <w:rFonts w:ascii="宋体" w:eastAsia="宋体" w:hAnsi="宋体"/>
        <w:noProof/>
        <w:sz w:val="28"/>
        <w:szCs w:val="28"/>
      </w:rPr>
      <w:t>- 14 -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C176C6" w:rsidRDefault="00C176C6">
    <w:pPr>
      <w:pStyle w:val="a5"/>
      <w:rPr>
        <w:rStyle w:val="a6"/>
        <w:rFonts w:ascii="宋体" w:eastAsia="宋体" w:hAns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C6" w:rsidRDefault="00C95EA4">
    <w:pPr>
      <w:pStyle w:val="a5"/>
      <w:jc w:val="right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 w:rsidR="00C176C6">
      <w:rPr>
        <w:rStyle w:val="a6"/>
        <w:rFonts w:ascii="宋体" w:eastAsia="宋体" w:hAnsi="宋体"/>
        <w:sz w:val="28"/>
        <w:szCs w:val="28"/>
      </w:rPr>
      <w:instrText xml:space="preserve"> PAGE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AD66F0">
      <w:rPr>
        <w:rStyle w:val="a6"/>
        <w:rFonts w:ascii="宋体" w:eastAsia="宋体" w:hAnsi="宋体"/>
        <w:noProof/>
        <w:sz w:val="28"/>
        <w:szCs w:val="28"/>
      </w:rPr>
      <w:t>- 2 -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C176C6" w:rsidRDefault="00C95EA4">
    <w:pPr>
      <w:pStyle w:val="a5"/>
      <w:tabs>
        <w:tab w:val="clear" w:pos="4153"/>
        <w:tab w:val="right" w:pos="8844"/>
      </w:tabs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396.8pt;margin-top:-45.8pt;width:51.7pt;height:52.2pt;z-index:251660288;mso-wrap-style:square;mso-position-horizontal-relative:margin;v-text-anchor:top" filled="f" stroked="f" strokeweight=".5pt">
          <v:fill o:detectmouseclick="t"/>
          <v:textbox inset="0,0,0,0">
            <w:txbxContent>
              <w:p w:rsidR="00C176C6" w:rsidRDefault="00C176C6">
                <w:pPr>
                  <w:pStyle w:val="a5"/>
                  <w:rPr>
                    <w:rStyle w:val="a6"/>
                    <w:rFonts w:ascii="宋体" w:eastAsia="宋体" w:hAnsi="宋体"/>
                    <w:sz w:val="28"/>
                    <w:szCs w:val="28"/>
                  </w:rPr>
                </w:pPr>
              </w:p>
              <w:p w:rsidR="00C176C6" w:rsidRDefault="00C176C6">
                <w:pPr>
                  <w:pStyle w:val="a5"/>
                  <w:rPr>
                    <w:rStyle w:val="a6"/>
                    <w:rFonts w:ascii="宋体" w:eastAsia="宋体" w:hAnsi="宋体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6C6" w:rsidRDefault="00C176C6" w:rsidP="00C176C6">
      <w:r>
        <w:separator/>
      </w:r>
    </w:p>
  </w:footnote>
  <w:footnote w:type="continuationSeparator" w:id="1">
    <w:p w:rsidR="00C176C6" w:rsidRDefault="00C176C6" w:rsidP="00C17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C6" w:rsidRDefault="00C176C6">
    <w:pPr>
      <w:pStyle w:val="a4"/>
      <w:pBdr>
        <w:bottom w:val="none" w:sz="0" w:space="0" w:color="auto"/>
      </w:pBdr>
      <w:tabs>
        <w:tab w:val="clear" w:pos="4153"/>
      </w:tabs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6C6"/>
    <w:rsid w:val="00AD66F0"/>
    <w:rsid w:val="00C176C6"/>
    <w:rsid w:val="00C9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176C6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C1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C176C6"/>
    <w:rPr>
      <w:sz w:val="18"/>
      <w:szCs w:val="18"/>
    </w:rPr>
  </w:style>
  <w:style w:type="paragraph" w:styleId="a5">
    <w:name w:val="footer"/>
    <w:basedOn w:val="a"/>
    <w:link w:val="Char0"/>
    <w:unhideWhenUsed/>
    <w:rsid w:val="00C176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C176C6"/>
    <w:rPr>
      <w:sz w:val="18"/>
      <w:szCs w:val="18"/>
    </w:rPr>
  </w:style>
  <w:style w:type="character" w:styleId="a6">
    <w:name w:val="page number"/>
    <w:basedOn w:val="a1"/>
    <w:rsid w:val="00C176C6"/>
  </w:style>
  <w:style w:type="paragraph" w:styleId="a0">
    <w:name w:val="table of figures"/>
    <w:basedOn w:val="a"/>
    <w:next w:val="a"/>
    <w:uiPriority w:val="99"/>
    <w:semiHidden/>
    <w:unhideWhenUsed/>
    <w:rsid w:val="00C176C6"/>
    <w:pPr>
      <w:ind w:leftChars="200" w:left="200" w:hangingChars="200" w:hanging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1020</Characters>
  <Application>Microsoft Office Word</Application>
  <DocSecurity>0</DocSecurity>
  <Lines>8</Lines>
  <Paragraphs>2</Paragraphs>
  <ScaleCrop>false</ScaleCrop>
  <Company>china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2023-07-12T03:07:00Z</dcterms:created>
  <dcterms:modified xsi:type="dcterms:W3CDTF">2023-07-12T03:09:00Z</dcterms:modified>
</cp:coreProperties>
</file>