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年度五马坪景区管护管理经费</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负责五马坪景区范围内自然资源、生态系统及珍稀野生动植物保护管理，对管护范围内的森林资源和设施进行日常巡护。2022年，项目计划巡山护林，每月巡护不少于22次，管护期内任务完成率达到100%，巡护范围为五马坪景区，面积覆盖率≥96%，实现五马坪景区内自然资源、生态系统及野生动植物等得到有效管护，提高社会关注度，社会满意度达95%以上。</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1、资金计划及到位。沐川县人民政府常务会议纪要（沐府纪常（2019）10号）同意每年五马坪景区管护管理经费23.2万元纳入年初预算。2022年，项目下达资金预算23.2万元，此项目资金全部来源于县本级财政资金。</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2、资金使用。截止评价时点项目资金的实际支出23.1万元，资金开支范围、标准及支付进度严格按照规定，支付依据合规合法，资金支付与预算相符。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23.2万元，经费主要用于五马坪管护站的日常运转，资金实际支付为23.1万元，资金使用率99.57%，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2022年沐川县林业局完成五马坪景区范围内自然资源、生态系统及珍稀野生动植物保护管理。</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2022年全年沐川县林业局完成巡护265次；巡护范围面积覆盖率≥97%，社会满意度达95%以上，项目经费共使用23.1万元，包括办公费用、交通费用、电费、维护（修）费用等，控制在预算成本内。</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项目实施后，五马坪景区的生态资源得到了有效的保护，在重要节点对景区内的野生动物加强巡护，未发现野生动物异常死亡现象，管护区生态环境良好，为景区吸引了更多的游客。</w:t>
      </w:r>
    </w:p>
    <w:p>
      <w:pPr>
        <w:pStyle w:val="3"/>
        <w:spacing w:before="0" w:after="0" w:line="360" w:lineRule="auto"/>
        <w:rPr>
          <w:rFonts w:eastAsia="黑体"/>
          <w:sz w:val="32"/>
        </w:rPr>
      </w:pPr>
      <w:r>
        <w:rPr>
          <w:rFonts w:eastAsia="黑体"/>
          <w:sz w:val="32"/>
        </w:rPr>
        <w:t>三、偏离绩效目标的原因和下一步改进措施</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8"/>
        <w:spacing w:line="360" w:lineRule="auto"/>
        <w:ind w:firstLine="643" w:firstLineChars="200"/>
        <w:jc w:val="both"/>
        <w:rPr>
          <w:rFonts w:ascii="Times New Roman" w:hAnsi="Times New Roman" w:eastAsia="仿宋_GB2312" w:cs="Times New Roman"/>
          <w:b/>
          <w:bCs/>
          <w:sz w:val="32"/>
          <w:szCs w:val="32"/>
        </w:rPr>
      </w:pP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1.2022年度五马坪景区管护管理经费项目绩效目标自评表</w:t>
      </w:r>
    </w:p>
    <w:p>
      <w:pPr>
        <w:pStyle w:val="8"/>
        <w:spacing w:line="360" w:lineRule="auto"/>
        <w:jc w:val="both"/>
        <w:rPr>
          <w:rFonts w:hint="eastAsia"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2.2022年度五马坪景区管护管理经费项目支出绩效评价</w:t>
      </w:r>
      <w:r>
        <w:rPr>
          <w:rFonts w:hint="eastAsia" w:ascii="Times New Roman" w:hAnsi="Times New Roman" w:eastAsia="仿宋_GB2312" w:cs="Times New Roman"/>
          <w:b/>
          <w:bCs/>
          <w:sz w:val="32"/>
          <w:szCs w:val="32"/>
        </w:rPr>
        <w:t>自评得分表</w:t>
      </w:r>
    </w:p>
    <w:p>
      <w:pPr>
        <w:pStyle w:val="8"/>
        <w:spacing w:line="360" w:lineRule="auto"/>
        <w:ind w:right="320" w:firstLine="1600" w:firstLineChars="500"/>
        <w:jc w:val="right"/>
        <w:rPr>
          <w:rFonts w:ascii="Times New Roman" w:hAnsi="Times New Roman" w:eastAsia="仿宋_GB2312" w:cs="Times New Roman"/>
          <w:sz w:val="32"/>
          <w:szCs w:val="32"/>
        </w:rPr>
      </w:pPr>
    </w:p>
    <w:p>
      <w:pPr>
        <w:pStyle w:val="8"/>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8"/>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7月13日</w:t>
      </w:r>
    </w:p>
    <w:p>
      <w:pPr>
        <w:rPr>
          <w:sz w:val="21"/>
          <w:szCs w:val="21"/>
        </w:rPr>
      </w:pPr>
      <w:r>
        <w:rPr>
          <w:sz w:val="21"/>
          <w:szCs w:val="21"/>
        </w:rP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2022年度五马坪景区管护管理经费项目绩效目标自评表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496"/>
        <w:gridCol w:w="1029"/>
        <w:gridCol w:w="1254"/>
        <w:gridCol w:w="1277"/>
        <w:gridCol w:w="1277"/>
        <w:gridCol w:w="1133"/>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76" w:type="pct"/>
            <w:gridSpan w:val="5"/>
            <w:vAlign w:val="center"/>
          </w:tcPr>
          <w:p>
            <w:pPr>
              <w:widowControl/>
              <w:spacing w:line="200" w:lineRule="exact"/>
              <w:jc w:val="center"/>
              <w:rPr>
                <w:color w:val="000000"/>
                <w:sz w:val="20"/>
                <w:szCs w:val="20"/>
              </w:rPr>
            </w:pPr>
            <w:r>
              <w:rPr>
                <w:color w:val="000000"/>
                <w:sz w:val="20"/>
                <w:szCs w:val="20"/>
              </w:rPr>
              <w:t>五马坪景区管护管理经费项目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84" w:type="pct"/>
            <w:gridSpan w:val="2"/>
            <w:vAlign w:val="center"/>
          </w:tcPr>
          <w:p>
            <w:pPr>
              <w:widowControl/>
              <w:spacing w:line="200" w:lineRule="exact"/>
              <w:jc w:val="center"/>
              <w:rPr>
                <w:color w:val="000000"/>
                <w:sz w:val="20"/>
                <w:szCs w:val="20"/>
              </w:rPr>
            </w:pPr>
            <w:r>
              <w:rPr>
                <w:color w:val="000000"/>
                <w:sz w:val="20"/>
                <w:szCs w:val="20"/>
              </w:rPr>
              <w:t>林业局</w:t>
            </w:r>
          </w:p>
        </w:tc>
        <w:tc>
          <w:tcPr>
            <w:tcW w:w="749"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3"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736" w:type="pct"/>
            <w:vAlign w:val="center"/>
          </w:tcPr>
          <w:p>
            <w:pPr>
              <w:widowControl/>
              <w:spacing w:line="200" w:lineRule="exact"/>
              <w:jc w:val="center"/>
              <w:rPr>
                <w:color w:val="000000"/>
                <w:sz w:val="20"/>
                <w:szCs w:val="20"/>
              </w:rPr>
            </w:pPr>
          </w:p>
        </w:tc>
        <w:tc>
          <w:tcPr>
            <w:tcW w:w="749"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749" w:type="pct"/>
            <w:vAlign w:val="center"/>
          </w:tcPr>
          <w:p>
            <w:pPr>
              <w:widowControl/>
              <w:spacing w:line="200" w:lineRule="exact"/>
              <w:jc w:val="center"/>
              <w:rPr>
                <w:color w:val="000000"/>
                <w:sz w:val="20"/>
                <w:szCs w:val="20"/>
              </w:rPr>
            </w:pPr>
            <w:r>
              <w:rPr>
                <w:color w:val="000000"/>
                <w:sz w:val="20"/>
                <w:szCs w:val="20"/>
              </w:rPr>
              <w:t>23.2</w:t>
            </w:r>
          </w:p>
        </w:tc>
        <w:tc>
          <w:tcPr>
            <w:tcW w:w="1414" w:type="pct"/>
            <w:gridSpan w:val="2"/>
            <w:vAlign w:val="center"/>
          </w:tcPr>
          <w:p>
            <w:pPr>
              <w:widowControl/>
              <w:spacing w:line="200" w:lineRule="exact"/>
              <w:jc w:val="center"/>
              <w:rPr>
                <w:color w:val="000000"/>
                <w:sz w:val="20"/>
                <w:szCs w:val="20"/>
              </w:rPr>
            </w:pPr>
            <w:r>
              <w:rPr>
                <w:color w:val="000000"/>
                <w:sz w:val="20"/>
                <w:szCs w:val="20"/>
              </w:rPr>
              <w:t>23.1</w:t>
            </w:r>
          </w:p>
        </w:tc>
        <w:tc>
          <w:tcPr>
            <w:tcW w:w="778" w:type="pct"/>
            <w:vAlign w:val="center"/>
          </w:tcPr>
          <w:p>
            <w:pPr>
              <w:widowControl/>
              <w:spacing w:line="200" w:lineRule="exact"/>
              <w:jc w:val="center"/>
              <w:rPr>
                <w:color w:val="000000"/>
                <w:sz w:val="20"/>
                <w:szCs w:val="20"/>
              </w:rPr>
            </w:pPr>
            <w:r>
              <w:rPr>
                <w:color w:val="000000"/>
                <w:sz w:val="20"/>
                <w:szCs w:val="20"/>
              </w:rPr>
              <w:t>99.57%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其中：中央、省补助</w:t>
            </w:r>
          </w:p>
        </w:tc>
        <w:tc>
          <w:tcPr>
            <w:tcW w:w="749" w:type="pct"/>
            <w:vAlign w:val="center"/>
          </w:tcPr>
          <w:p>
            <w:pPr>
              <w:widowControl/>
              <w:spacing w:line="200" w:lineRule="exact"/>
              <w:jc w:val="center"/>
              <w:rPr>
                <w:color w:val="000000"/>
                <w:sz w:val="20"/>
                <w:szCs w:val="20"/>
              </w:rPr>
            </w:pPr>
          </w:p>
        </w:tc>
        <w:tc>
          <w:tcPr>
            <w:tcW w:w="1414"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市级财政资</w:t>
            </w:r>
          </w:p>
        </w:tc>
        <w:tc>
          <w:tcPr>
            <w:tcW w:w="749" w:type="pct"/>
            <w:vAlign w:val="center"/>
          </w:tcPr>
          <w:p>
            <w:pPr>
              <w:widowControl/>
              <w:spacing w:line="200" w:lineRule="exact"/>
              <w:jc w:val="center"/>
              <w:rPr>
                <w:color w:val="000000"/>
                <w:sz w:val="20"/>
                <w:szCs w:val="20"/>
              </w:rPr>
            </w:pPr>
          </w:p>
        </w:tc>
        <w:tc>
          <w:tcPr>
            <w:tcW w:w="1414"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749" w:type="pct"/>
            <w:vAlign w:val="center"/>
          </w:tcPr>
          <w:p>
            <w:pPr>
              <w:widowControl/>
              <w:spacing w:line="200" w:lineRule="exact"/>
              <w:jc w:val="center"/>
              <w:rPr>
                <w:color w:val="000000"/>
                <w:sz w:val="20"/>
                <w:szCs w:val="20"/>
              </w:rPr>
            </w:pPr>
            <w:r>
              <w:rPr>
                <w:color w:val="000000"/>
                <w:sz w:val="20"/>
                <w:szCs w:val="20"/>
              </w:rPr>
              <w:t>23.2</w:t>
            </w:r>
          </w:p>
        </w:tc>
        <w:tc>
          <w:tcPr>
            <w:tcW w:w="1414" w:type="pct"/>
            <w:gridSpan w:val="2"/>
            <w:vAlign w:val="center"/>
          </w:tcPr>
          <w:p>
            <w:pPr>
              <w:widowControl/>
              <w:spacing w:line="200" w:lineRule="exact"/>
              <w:jc w:val="center"/>
              <w:rPr>
                <w:color w:val="000000"/>
                <w:sz w:val="20"/>
                <w:szCs w:val="20"/>
              </w:rPr>
            </w:pPr>
            <w:r>
              <w:rPr>
                <w:color w:val="000000"/>
                <w:sz w:val="20"/>
                <w:szCs w:val="20"/>
              </w:rPr>
              <w:t>23.1</w:t>
            </w:r>
          </w:p>
        </w:tc>
        <w:tc>
          <w:tcPr>
            <w:tcW w:w="778" w:type="pct"/>
            <w:vAlign w:val="center"/>
          </w:tcPr>
          <w:p>
            <w:pPr>
              <w:widowControl/>
              <w:spacing w:line="200" w:lineRule="exact"/>
              <w:jc w:val="center"/>
              <w:rPr>
                <w:color w:val="000000"/>
                <w:sz w:val="20"/>
                <w:szCs w:val="20"/>
              </w:rPr>
            </w:pPr>
            <w:r>
              <w:rPr>
                <w:color w:val="000000"/>
                <w:sz w:val="20"/>
                <w:szCs w:val="20"/>
              </w:rPr>
              <w:t>99.57%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其他资金</w:t>
            </w:r>
          </w:p>
        </w:tc>
        <w:tc>
          <w:tcPr>
            <w:tcW w:w="749" w:type="pct"/>
            <w:vAlign w:val="center"/>
          </w:tcPr>
          <w:p>
            <w:pPr>
              <w:widowControl/>
              <w:spacing w:line="200" w:lineRule="exact"/>
              <w:jc w:val="center"/>
              <w:rPr>
                <w:color w:val="000000"/>
                <w:sz w:val="20"/>
                <w:szCs w:val="20"/>
              </w:rPr>
            </w:pPr>
          </w:p>
        </w:tc>
        <w:tc>
          <w:tcPr>
            <w:tcW w:w="1414"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37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92"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jc w:val="center"/>
        </w:trPr>
        <w:tc>
          <w:tcPr>
            <w:tcW w:w="429" w:type="pct"/>
            <w:vMerge w:val="continue"/>
            <w:vAlign w:val="center"/>
          </w:tcPr>
          <w:p>
            <w:pPr>
              <w:widowControl/>
              <w:spacing w:line="200" w:lineRule="exact"/>
              <w:jc w:val="center"/>
              <w:rPr>
                <w:color w:val="000000"/>
                <w:sz w:val="20"/>
                <w:szCs w:val="20"/>
              </w:rPr>
            </w:pPr>
          </w:p>
        </w:tc>
        <w:tc>
          <w:tcPr>
            <w:tcW w:w="2379" w:type="pct"/>
            <w:gridSpan w:val="4"/>
            <w:vAlign w:val="center"/>
          </w:tcPr>
          <w:p>
            <w:pPr>
              <w:widowControl/>
              <w:spacing w:line="200" w:lineRule="exact"/>
              <w:rPr>
                <w:color w:val="000000"/>
                <w:sz w:val="20"/>
                <w:szCs w:val="20"/>
              </w:rPr>
            </w:pPr>
            <w:r>
              <w:rPr>
                <w:color w:val="000000"/>
                <w:sz w:val="20"/>
                <w:szCs w:val="20"/>
              </w:rPr>
              <w:t>负责五马坪景区范围内自然资源、生态系统及珍稀野生动植物保护管理，对管护范围内的森林资源和设施进行日常巡护。</w:t>
            </w:r>
          </w:p>
        </w:tc>
        <w:tc>
          <w:tcPr>
            <w:tcW w:w="2192" w:type="pct"/>
            <w:gridSpan w:val="3"/>
            <w:vAlign w:val="center"/>
          </w:tcPr>
          <w:p>
            <w:pPr>
              <w:widowControl/>
              <w:spacing w:line="200" w:lineRule="exact"/>
              <w:rPr>
                <w:color w:val="000000"/>
                <w:sz w:val="20"/>
                <w:szCs w:val="20"/>
              </w:rPr>
            </w:pPr>
            <w:r>
              <w:rPr>
                <w:color w:val="000000"/>
                <w:sz w:val="20"/>
                <w:szCs w:val="20"/>
              </w:rPr>
              <w:t>完成五马坪景区范围内自然资源、生态系统及珍稀野生动植物保护管理，对管护范围内的森林资源和设施进行日常巡护。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84"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49"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65"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84" w:type="pct"/>
            <w:gridSpan w:val="2"/>
            <w:vAlign w:val="center"/>
          </w:tcPr>
          <w:p>
            <w:pPr>
              <w:widowControl/>
              <w:spacing w:line="200" w:lineRule="exact"/>
              <w:jc w:val="center"/>
              <w:rPr>
                <w:color w:val="000000"/>
                <w:sz w:val="20"/>
                <w:szCs w:val="20"/>
              </w:rPr>
            </w:pPr>
            <w:r>
              <w:rPr>
                <w:color w:val="000000"/>
                <w:sz w:val="20"/>
                <w:szCs w:val="20"/>
              </w:rPr>
              <w:t>每月巡护次数</w:t>
            </w:r>
          </w:p>
        </w:tc>
        <w:tc>
          <w:tcPr>
            <w:tcW w:w="749" w:type="pct"/>
            <w:vAlign w:val="center"/>
          </w:tcPr>
          <w:p>
            <w:pPr>
              <w:widowControl/>
              <w:spacing w:line="200" w:lineRule="exact"/>
              <w:jc w:val="center"/>
              <w:rPr>
                <w:color w:val="000000"/>
                <w:sz w:val="20"/>
                <w:szCs w:val="20"/>
              </w:rPr>
            </w:pPr>
            <w:r>
              <w:rPr>
                <w:color w:val="000000"/>
                <w:sz w:val="20"/>
                <w:szCs w:val="20"/>
              </w:rPr>
              <w:t>≥22次</w:t>
            </w:r>
          </w:p>
        </w:tc>
        <w:tc>
          <w:tcPr>
            <w:tcW w:w="665" w:type="pct"/>
            <w:vAlign w:val="center"/>
          </w:tcPr>
          <w:p>
            <w:pPr>
              <w:widowControl/>
              <w:spacing w:line="200" w:lineRule="exact"/>
              <w:jc w:val="center"/>
              <w:rPr>
                <w:color w:val="000000"/>
                <w:sz w:val="20"/>
                <w:szCs w:val="20"/>
              </w:rPr>
            </w:pPr>
            <w:r>
              <w:rPr>
                <w:color w:val="000000"/>
                <w:sz w:val="20"/>
                <w:szCs w:val="20"/>
              </w:rPr>
              <w:t>≥22次</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84" w:type="pct"/>
            <w:gridSpan w:val="2"/>
            <w:vAlign w:val="center"/>
          </w:tcPr>
          <w:p>
            <w:pPr>
              <w:widowControl/>
              <w:spacing w:line="200" w:lineRule="exact"/>
              <w:jc w:val="center"/>
              <w:rPr>
                <w:color w:val="000000"/>
                <w:sz w:val="20"/>
                <w:szCs w:val="20"/>
              </w:rPr>
            </w:pPr>
            <w:r>
              <w:rPr>
                <w:color w:val="000000"/>
                <w:sz w:val="20"/>
                <w:szCs w:val="20"/>
              </w:rPr>
              <w:t>巡护面积覆盖率</w:t>
            </w:r>
          </w:p>
        </w:tc>
        <w:tc>
          <w:tcPr>
            <w:tcW w:w="749" w:type="pct"/>
            <w:vAlign w:val="center"/>
          </w:tcPr>
          <w:p>
            <w:pPr>
              <w:widowControl/>
              <w:spacing w:line="200" w:lineRule="exact"/>
              <w:jc w:val="center"/>
              <w:rPr>
                <w:color w:val="000000"/>
                <w:sz w:val="20"/>
                <w:szCs w:val="20"/>
              </w:rPr>
            </w:pPr>
            <w:r>
              <w:rPr>
                <w:color w:val="000000"/>
                <w:sz w:val="20"/>
                <w:szCs w:val="20"/>
              </w:rPr>
              <w:t>≥96%</w:t>
            </w:r>
          </w:p>
        </w:tc>
        <w:tc>
          <w:tcPr>
            <w:tcW w:w="665" w:type="pct"/>
            <w:vAlign w:val="center"/>
          </w:tcPr>
          <w:p>
            <w:pPr>
              <w:widowControl/>
              <w:spacing w:line="200" w:lineRule="exact"/>
              <w:jc w:val="center"/>
              <w:rPr>
                <w:color w:val="000000"/>
                <w:sz w:val="20"/>
                <w:szCs w:val="20"/>
              </w:rPr>
            </w:pPr>
            <w:r>
              <w:rPr>
                <w:color w:val="000000"/>
                <w:sz w:val="20"/>
                <w:szCs w:val="20"/>
              </w:rPr>
              <w:t>97%</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84" w:type="pct"/>
            <w:gridSpan w:val="2"/>
            <w:vAlign w:val="center"/>
          </w:tcPr>
          <w:p>
            <w:pPr>
              <w:widowControl/>
              <w:spacing w:line="200" w:lineRule="exact"/>
              <w:jc w:val="center"/>
              <w:rPr>
                <w:color w:val="000000"/>
                <w:sz w:val="20"/>
                <w:szCs w:val="20"/>
              </w:rPr>
            </w:pPr>
            <w:r>
              <w:rPr>
                <w:color w:val="000000"/>
                <w:sz w:val="20"/>
                <w:szCs w:val="20"/>
              </w:rPr>
              <w:t>管护当期完成任务率</w:t>
            </w:r>
          </w:p>
        </w:tc>
        <w:tc>
          <w:tcPr>
            <w:tcW w:w="749" w:type="pct"/>
            <w:vAlign w:val="center"/>
          </w:tcPr>
          <w:p>
            <w:pPr>
              <w:widowControl/>
              <w:spacing w:line="200" w:lineRule="exact"/>
              <w:jc w:val="center"/>
              <w:rPr>
                <w:color w:val="000000"/>
                <w:sz w:val="20"/>
                <w:szCs w:val="20"/>
              </w:rPr>
            </w:pPr>
            <w:r>
              <w:rPr>
                <w:color w:val="000000"/>
                <w:sz w:val="20"/>
                <w:szCs w:val="20"/>
              </w:rPr>
              <w:t>＝100%</w:t>
            </w:r>
          </w:p>
        </w:tc>
        <w:tc>
          <w:tcPr>
            <w:tcW w:w="665" w:type="pct"/>
            <w:vAlign w:val="center"/>
          </w:tcPr>
          <w:p>
            <w:pPr>
              <w:widowControl/>
              <w:spacing w:line="200" w:lineRule="exact"/>
              <w:jc w:val="center"/>
              <w:rPr>
                <w:color w:val="000000"/>
                <w:sz w:val="20"/>
                <w:szCs w:val="20"/>
              </w:rPr>
            </w:pPr>
            <w:r>
              <w:rPr>
                <w:color w:val="000000"/>
                <w:sz w:val="20"/>
                <w:szCs w:val="20"/>
              </w:rPr>
              <w:t>＝100%</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84" w:type="pct"/>
            <w:gridSpan w:val="2"/>
            <w:vAlign w:val="center"/>
          </w:tcPr>
          <w:p>
            <w:pPr>
              <w:widowControl/>
              <w:spacing w:line="200" w:lineRule="exact"/>
              <w:jc w:val="center"/>
              <w:rPr>
                <w:color w:val="000000"/>
                <w:sz w:val="20"/>
                <w:szCs w:val="20"/>
              </w:rPr>
            </w:pPr>
            <w:r>
              <w:rPr>
                <w:color w:val="000000"/>
                <w:sz w:val="20"/>
                <w:szCs w:val="20"/>
              </w:rPr>
              <w:t>日常运转费用</w:t>
            </w:r>
          </w:p>
        </w:tc>
        <w:tc>
          <w:tcPr>
            <w:tcW w:w="749" w:type="pct"/>
            <w:vAlign w:val="center"/>
          </w:tcPr>
          <w:p>
            <w:pPr>
              <w:widowControl/>
              <w:spacing w:line="200" w:lineRule="exact"/>
              <w:jc w:val="center"/>
              <w:rPr>
                <w:color w:val="000000"/>
                <w:sz w:val="20"/>
                <w:szCs w:val="20"/>
              </w:rPr>
            </w:pPr>
            <w:r>
              <w:rPr>
                <w:color w:val="000000"/>
                <w:sz w:val="20"/>
                <w:szCs w:val="20"/>
              </w:rPr>
              <w:t>≤23.2万元</w:t>
            </w:r>
          </w:p>
        </w:tc>
        <w:tc>
          <w:tcPr>
            <w:tcW w:w="665" w:type="pct"/>
            <w:vAlign w:val="center"/>
          </w:tcPr>
          <w:p>
            <w:pPr>
              <w:widowControl/>
              <w:spacing w:line="200" w:lineRule="exact"/>
              <w:jc w:val="center"/>
              <w:rPr>
                <w:color w:val="000000"/>
                <w:sz w:val="20"/>
                <w:szCs w:val="20"/>
              </w:rPr>
            </w:pPr>
            <w:r>
              <w:rPr>
                <w:color w:val="000000"/>
                <w:sz w:val="20"/>
                <w:szCs w:val="20"/>
              </w:rPr>
              <w:t>23.1万元</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4" w:type="pct"/>
            <w:vAlign w:val="center"/>
          </w:tcPr>
          <w:p>
            <w:pPr>
              <w:widowControl/>
              <w:spacing w:line="200" w:lineRule="exact"/>
              <w:jc w:val="center"/>
              <w:textAlignment w:val="center"/>
              <w:rPr>
                <w:color w:val="000000"/>
                <w:kern w:val="0"/>
                <w:sz w:val="20"/>
                <w:szCs w:val="20"/>
              </w:rPr>
            </w:pPr>
            <w:r>
              <w:rPr>
                <w:color w:val="000000"/>
                <w:kern w:val="0"/>
                <w:sz w:val="20"/>
                <w:szCs w:val="20"/>
              </w:rPr>
              <w:t>经济效益</w:t>
            </w:r>
          </w:p>
          <w:p>
            <w:pPr>
              <w:widowControl/>
              <w:spacing w:line="200" w:lineRule="exact"/>
              <w:jc w:val="center"/>
              <w:textAlignment w:val="center"/>
              <w:rPr>
                <w:color w:val="000000"/>
                <w:sz w:val="20"/>
                <w:szCs w:val="20"/>
              </w:rPr>
            </w:pPr>
            <w:r>
              <w:rPr>
                <w:color w:val="000000"/>
                <w:kern w:val="0"/>
                <w:sz w:val="20"/>
                <w:szCs w:val="20"/>
              </w:rPr>
              <w:t>指标</w:t>
            </w:r>
          </w:p>
        </w:tc>
        <w:tc>
          <w:tcPr>
            <w:tcW w:w="1484" w:type="pct"/>
            <w:gridSpan w:val="2"/>
            <w:vAlign w:val="center"/>
          </w:tcPr>
          <w:p>
            <w:pPr>
              <w:widowControl/>
              <w:spacing w:line="200" w:lineRule="exact"/>
              <w:jc w:val="center"/>
              <w:rPr>
                <w:color w:val="000000"/>
                <w:sz w:val="20"/>
                <w:szCs w:val="20"/>
              </w:rPr>
            </w:pPr>
            <w:r>
              <w:rPr>
                <w:color w:val="000000"/>
                <w:sz w:val="20"/>
                <w:szCs w:val="20"/>
              </w:rPr>
              <w:t>吸引游客，增加景区收入</w:t>
            </w:r>
          </w:p>
        </w:tc>
        <w:tc>
          <w:tcPr>
            <w:tcW w:w="749" w:type="pct"/>
            <w:vAlign w:val="center"/>
          </w:tcPr>
          <w:p>
            <w:pPr>
              <w:widowControl/>
              <w:spacing w:line="200" w:lineRule="exact"/>
              <w:jc w:val="center"/>
              <w:rPr>
                <w:color w:val="000000"/>
                <w:sz w:val="20"/>
                <w:szCs w:val="20"/>
              </w:rPr>
            </w:pPr>
            <w:r>
              <w:rPr>
                <w:color w:val="000000"/>
                <w:sz w:val="20"/>
                <w:szCs w:val="20"/>
              </w:rPr>
              <w:t>优</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84" w:type="pct"/>
            <w:gridSpan w:val="2"/>
            <w:vAlign w:val="center"/>
          </w:tcPr>
          <w:p>
            <w:pPr>
              <w:widowControl/>
              <w:spacing w:line="200" w:lineRule="exact"/>
              <w:jc w:val="center"/>
              <w:rPr>
                <w:color w:val="000000"/>
                <w:sz w:val="20"/>
                <w:szCs w:val="20"/>
              </w:rPr>
            </w:pPr>
            <w:r>
              <w:rPr>
                <w:color w:val="000000"/>
                <w:sz w:val="20"/>
                <w:szCs w:val="20"/>
              </w:rPr>
              <w:t>改善景区生态环境</w:t>
            </w:r>
          </w:p>
        </w:tc>
        <w:tc>
          <w:tcPr>
            <w:tcW w:w="749" w:type="pct"/>
            <w:vAlign w:val="center"/>
          </w:tcPr>
          <w:p>
            <w:pPr>
              <w:widowControl/>
              <w:spacing w:line="200" w:lineRule="exact"/>
              <w:jc w:val="center"/>
              <w:rPr>
                <w:color w:val="000000"/>
                <w:sz w:val="20"/>
                <w:szCs w:val="20"/>
              </w:rPr>
            </w:pPr>
            <w:r>
              <w:rPr>
                <w:color w:val="000000"/>
                <w:sz w:val="20"/>
                <w:szCs w:val="20"/>
              </w:rPr>
              <w:t>优</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rPr>
                <w:color w:val="000000"/>
                <w:sz w:val="20"/>
                <w:szCs w:val="20"/>
              </w:rPr>
            </w:pPr>
            <w:r>
              <w:rPr>
                <w:color w:val="000000"/>
                <w:sz w:val="20"/>
                <w:szCs w:val="20"/>
              </w:rPr>
              <w:t>可持续影响指标</w:t>
            </w:r>
          </w:p>
        </w:tc>
        <w:tc>
          <w:tcPr>
            <w:tcW w:w="1484" w:type="pct"/>
            <w:gridSpan w:val="2"/>
            <w:vAlign w:val="center"/>
          </w:tcPr>
          <w:p>
            <w:pPr>
              <w:widowControl/>
              <w:spacing w:line="200" w:lineRule="exact"/>
              <w:jc w:val="center"/>
              <w:rPr>
                <w:color w:val="000000"/>
                <w:sz w:val="20"/>
                <w:szCs w:val="20"/>
              </w:rPr>
            </w:pPr>
            <w:r>
              <w:rPr>
                <w:color w:val="000000"/>
                <w:sz w:val="20"/>
                <w:szCs w:val="20"/>
              </w:rPr>
              <w:t>生态资源丰富，促进生物多样性</w:t>
            </w:r>
          </w:p>
        </w:tc>
        <w:tc>
          <w:tcPr>
            <w:tcW w:w="749" w:type="pct"/>
            <w:vAlign w:val="center"/>
          </w:tcPr>
          <w:p>
            <w:pPr>
              <w:widowControl/>
              <w:spacing w:line="200" w:lineRule="exact"/>
              <w:jc w:val="center"/>
              <w:rPr>
                <w:color w:val="000000"/>
                <w:sz w:val="20"/>
                <w:szCs w:val="20"/>
              </w:rPr>
            </w:pPr>
            <w:r>
              <w:rPr>
                <w:color w:val="000000"/>
                <w:sz w:val="20"/>
                <w:szCs w:val="20"/>
              </w:rPr>
              <w:t>优</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w:t>
            </w:r>
          </w:p>
        </w:tc>
        <w:tc>
          <w:tcPr>
            <w:tcW w:w="1484" w:type="pct"/>
            <w:gridSpan w:val="2"/>
            <w:vAlign w:val="center"/>
          </w:tcPr>
          <w:p>
            <w:pPr>
              <w:widowControl/>
              <w:spacing w:line="200" w:lineRule="exact"/>
              <w:jc w:val="center"/>
              <w:rPr>
                <w:color w:val="000000"/>
                <w:sz w:val="20"/>
                <w:szCs w:val="20"/>
              </w:rPr>
            </w:pPr>
          </w:p>
        </w:tc>
        <w:tc>
          <w:tcPr>
            <w:tcW w:w="749" w:type="pct"/>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04"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84" w:type="pct"/>
            <w:gridSpan w:val="2"/>
            <w:vAlign w:val="center"/>
          </w:tcPr>
          <w:p>
            <w:pPr>
              <w:widowControl/>
              <w:spacing w:line="200" w:lineRule="exact"/>
              <w:jc w:val="center"/>
              <w:rPr>
                <w:color w:val="000000"/>
                <w:sz w:val="20"/>
                <w:szCs w:val="20"/>
              </w:rPr>
            </w:pPr>
            <w:r>
              <w:rPr>
                <w:color w:val="000000"/>
                <w:sz w:val="20"/>
                <w:szCs w:val="20"/>
              </w:rPr>
              <w:t>景区群众满意度</w:t>
            </w:r>
          </w:p>
        </w:tc>
        <w:tc>
          <w:tcPr>
            <w:tcW w:w="749" w:type="pct"/>
            <w:vAlign w:val="center"/>
          </w:tcPr>
          <w:p>
            <w:pPr>
              <w:widowControl/>
              <w:spacing w:line="200" w:lineRule="exact"/>
              <w:jc w:val="center"/>
              <w:rPr>
                <w:color w:val="000000"/>
                <w:sz w:val="20"/>
                <w:szCs w:val="20"/>
              </w:rPr>
            </w:pPr>
            <w:r>
              <w:rPr>
                <w:color w:val="000000"/>
                <w:sz w:val="20"/>
                <w:szCs w:val="20"/>
              </w:rPr>
              <w:t>≥96%</w:t>
            </w:r>
          </w:p>
        </w:tc>
        <w:tc>
          <w:tcPr>
            <w:tcW w:w="665" w:type="pct"/>
            <w:vAlign w:val="center"/>
          </w:tcPr>
          <w:p>
            <w:pPr>
              <w:widowControl/>
              <w:spacing w:line="200" w:lineRule="exact"/>
              <w:jc w:val="center"/>
              <w:rPr>
                <w:color w:val="000000"/>
                <w:sz w:val="20"/>
                <w:szCs w:val="20"/>
              </w:rPr>
            </w:pPr>
            <w:r>
              <w:rPr>
                <w:color w:val="000000"/>
                <w:sz w:val="20"/>
                <w:szCs w:val="20"/>
              </w:rPr>
              <w:t>≥96%</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1"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2022年度五马坪景区管护管理经费项目支出绩效评价</w:t>
      </w:r>
      <w:r>
        <w:rPr>
          <w:rFonts w:hint="eastAsia" w:eastAsia="方正公文楷体"/>
          <w:color w:val="000000"/>
          <w:kern w:val="0"/>
          <w:sz w:val="24"/>
          <w:szCs w:val="24"/>
        </w:rPr>
        <w:t>自评得分表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1402"/>
        <w:gridCol w:w="1140"/>
        <w:gridCol w:w="1171"/>
        <w:gridCol w:w="1777"/>
        <w:gridCol w:w="1128"/>
        <w:gridCol w:w="781"/>
        <w:gridCol w:w="259"/>
        <w:gridCol w:w="325"/>
        <w:gridCol w:w="506"/>
        <w:gridCol w:w="209"/>
        <w:gridCol w:w="400"/>
        <w:gridCol w:w="615"/>
        <w:gridCol w:w="421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8"/>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7"/>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6"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6"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gridSpan w:val="2"/>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环境改善情况</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景区生态环境改善和维持情况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33"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333"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325"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考察项目实施后对景区生态环境的维护和改善情况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8" w:type="pct"/>
            <w:gridSpan w:val="1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8"/>
        <w:rPr>
          <w:rFonts w:hint="eastAsia"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0"/>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061FF4A-66CE-4602-8BAF-4D578AFF89FF}" w:val="KUr9E1jDwoctlTxO78vqBJIM23/+6g0CQSWey4p=PHafNzhkLRYZiAVun5bsmFdXG"/>
    <w:docVar w:name="commondata" w:val="eyJoZGlkIjoiZjJiYzRjZDg4ODIxMmZkMzVjYzYxNzIzMDEwYjJjY2IifQ=="/>
    <w:docVar w:name="DocumentID" w:val="{AE45CE4D-F3EB-477C-BB12-ACE84C718FF4}"/>
  </w:docVars>
  <w:rsids>
    <w:rsidRoot w:val="0B0634F0"/>
    <w:rsid w:val="000727A5"/>
    <w:rsid w:val="001801E8"/>
    <w:rsid w:val="00466D2F"/>
    <w:rsid w:val="00EA1231"/>
    <w:rsid w:val="01E3703A"/>
    <w:rsid w:val="0B0634F0"/>
    <w:rsid w:val="2101264B"/>
    <w:rsid w:val="26D0218B"/>
    <w:rsid w:val="37F53D80"/>
    <w:rsid w:val="39EE3FA9"/>
    <w:rsid w:val="4AB4478A"/>
    <w:rsid w:val="6DED6A5F"/>
    <w:rsid w:val="6E881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5"/>
    <w:qFormat/>
    <w:uiPriority w:val="0"/>
    <w:pPr>
      <w:keepNext/>
      <w:keepLines/>
      <w:spacing w:before="340" w:after="330" w:line="576" w:lineRule="auto"/>
      <w:outlineLvl w:val="0"/>
    </w:pPr>
    <w:rPr>
      <w:b/>
      <w:kern w:val="44"/>
      <w:sz w:val="44"/>
    </w:rPr>
  </w:style>
  <w:style w:type="paragraph" w:styleId="4">
    <w:name w:val="heading 2"/>
    <w:basedOn w:val="1"/>
    <w:next w:val="1"/>
    <w:link w:val="16"/>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font01"/>
    <w:basedOn w:val="12"/>
    <w:qFormat/>
    <w:uiPriority w:val="0"/>
    <w:rPr>
      <w:rFonts w:hint="eastAsia" w:ascii="宋体" w:hAnsi="宋体" w:eastAsia="宋体" w:cs="宋体"/>
      <w:color w:val="000000"/>
      <w:sz w:val="16"/>
      <w:szCs w:val="16"/>
      <w:u w:val="none"/>
    </w:rPr>
  </w:style>
  <w:style w:type="character" w:customStyle="1" w:styleId="15">
    <w:name w:val="标题 1 字符"/>
    <w:link w:val="3"/>
    <w:qFormat/>
    <w:uiPriority w:val="0"/>
    <w:rPr>
      <w:b/>
      <w:kern w:val="44"/>
      <w:sz w:val="44"/>
    </w:rPr>
  </w:style>
  <w:style w:type="character" w:customStyle="1" w:styleId="16">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2084</Words>
  <Characters>2211</Characters>
  <Lines>368</Lines>
  <Paragraphs>286</Paragraphs>
  <TotalTime>4</TotalTime>
  <ScaleCrop>false</ScaleCrop>
  <LinksUpToDate>false</LinksUpToDate>
  <CharactersWithSpaces>4009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2023-11-28T06:51:57Z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