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val="0"/>
        <w:overflowPunct w:val="0"/>
        <w:spacing w:line="700" w:lineRule="exact"/>
        <w:jc w:val="center"/>
        <w:rPr>
          <w:rFonts w:eastAsia="方正小标宋简体"/>
          <w:spacing w:val="1"/>
          <w:sz w:val="36"/>
          <w:szCs w:val="36"/>
        </w:rPr>
      </w:pPr>
      <w:r>
        <w:rPr>
          <w:rFonts w:eastAsia="方正小标宋简体"/>
          <w:spacing w:val="1"/>
          <w:sz w:val="36"/>
          <w:szCs w:val="36"/>
        </w:rPr>
        <w:t>沐川县林业局</w:t>
      </w:r>
    </w:p>
    <w:p>
      <w:pPr>
        <w:kinsoku w:val="0"/>
        <w:overflowPunct w:val="0"/>
        <w:spacing w:line="700" w:lineRule="exact"/>
        <w:jc w:val="center"/>
        <w:rPr>
          <w:rFonts w:eastAsia="方正小标宋简体"/>
          <w:spacing w:val="1"/>
          <w:sz w:val="36"/>
          <w:szCs w:val="36"/>
        </w:rPr>
      </w:pPr>
      <w:r>
        <w:rPr>
          <w:rFonts w:eastAsia="方正小标宋简体"/>
          <w:b/>
          <w:bCs/>
          <w:spacing w:val="1"/>
          <w:sz w:val="36"/>
          <w:szCs w:val="36"/>
        </w:rPr>
        <w:t>2022</w:t>
      </w:r>
      <w:r>
        <w:rPr>
          <w:rFonts w:eastAsia="方正小标宋简体"/>
          <w:spacing w:val="1"/>
          <w:sz w:val="36"/>
          <w:szCs w:val="36"/>
        </w:rPr>
        <w:t>年度古树名木保护经费</w:t>
      </w:r>
    </w:p>
    <w:p>
      <w:pPr>
        <w:kinsoku w:val="0"/>
        <w:overflowPunct w:val="0"/>
        <w:spacing w:line="700" w:lineRule="exact"/>
        <w:jc w:val="center"/>
        <w:rPr>
          <w:rFonts w:eastAsia="方正公文小标宋"/>
          <w:spacing w:val="1"/>
          <w:sz w:val="36"/>
          <w:szCs w:val="36"/>
        </w:rPr>
      </w:pPr>
      <w:r>
        <w:rPr>
          <w:rFonts w:eastAsia="方正小标宋简体"/>
          <w:spacing w:val="1"/>
          <w:sz w:val="36"/>
          <w:szCs w:val="36"/>
        </w:rPr>
        <w:t>项目支出绩效自评报告</w:t>
      </w:r>
    </w:p>
    <w:p>
      <w:pPr>
        <w:pStyle w:val="3"/>
        <w:spacing w:before="0" w:after="0" w:line="360" w:lineRule="auto"/>
        <w:rPr>
          <w:rFonts w:eastAsia="黑体"/>
          <w:sz w:val="32"/>
        </w:rPr>
      </w:pPr>
      <w:r>
        <w:rPr>
          <w:rFonts w:eastAsia="黑体"/>
          <w:sz w:val="32"/>
        </w:rPr>
        <w:t>一、项目基本情况</w:t>
      </w:r>
    </w:p>
    <w:p>
      <w:pPr>
        <w:pStyle w:val="4"/>
        <w:spacing w:before="0" w:after="0" w:line="360" w:lineRule="auto"/>
        <w:rPr>
          <w:rFonts w:ascii="Times New Roman" w:hAnsi="Times New Roman" w:eastAsia="楷体"/>
          <w:b w:val="0"/>
          <w:bCs/>
        </w:rPr>
      </w:pPr>
      <w:r>
        <w:rPr>
          <w:rFonts w:ascii="Times New Roman" w:hAnsi="Times New Roman" w:eastAsia="楷体"/>
          <w:b w:val="0"/>
          <w:bCs/>
        </w:rPr>
        <w:t>（一）绩效目标情况</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该项目的总体绩效目标为完成113株名木古树保护，完成古树名木的调查、认定、抢救、复壮、养护及宣传，切实做好古树名木保护工作。2022年，项目计划完成古树名木管护和排危113株，加强古树名木保护宣传教育，完成宣传教育2次，全年完成森林病虫害防治至少1次，每季度开展1次对全县的古树名木进行监督检查，已挂牌古树名木保护覆盖率达到100%，项目区群众满意度达到96%，确保全县不发生大面积的林业有害生物危害。</w:t>
      </w:r>
    </w:p>
    <w:p>
      <w:pPr>
        <w:pStyle w:val="4"/>
        <w:spacing w:before="0" w:after="0" w:line="360" w:lineRule="auto"/>
        <w:rPr>
          <w:rFonts w:ascii="Times New Roman" w:hAnsi="Times New Roman" w:eastAsia="楷体"/>
          <w:b w:val="0"/>
          <w:bCs/>
        </w:rPr>
      </w:pPr>
      <w:r>
        <w:rPr>
          <w:rFonts w:ascii="Times New Roman" w:hAnsi="Times New Roman" w:eastAsia="楷体"/>
          <w:b w:val="0"/>
          <w:bCs/>
        </w:rPr>
        <w:t>（二）资金安排情况</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1、资金计划及到位。根据《四川省绿化委员会四川省林业和草原局 四川省住房和城乡建设厅关于印发〈四川省古树名木保护三年行动方案〉的通知》(川绿委〔2020〕1号)和《乐山市绿化委员会办公室关于进一步加强古树名木保护工作的通知》(乐市绿委办(2021)3号)文件精神，要求各级人民政府将古树名木保护资金列入同级财政预算，保障古树名木调查、认定、抢救、复壮、养护、宣传等经费。</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2022年，项目下达资金批复预算6.21万元，此项目资金全部来源于县本级财政资金。</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2、资金使用。截止评价时点项目资金的实际支出3.93万元，资金开支范围、标准及支付进度严格按照规定，支付依据合规合法，资金支付与预算相符。</w:t>
      </w:r>
    </w:p>
    <w:p>
      <w:pPr>
        <w:pStyle w:val="3"/>
        <w:spacing w:before="0" w:after="0" w:line="360" w:lineRule="auto"/>
        <w:rPr>
          <w:rFonts w:eastAsia="黑体"/>
          <w:sz w:val="32"/>
        </w:rPr>
      </w:pPr>
      <w:r>
        <w:rPr>
          <w:rFonts w:eastAsia="黑体"/>
          <w:sz w:val="32"/>
        </w:rPr>
        <w:t>二、绩效目标完成情况分析</w:t>
      </w:r>
    </w:p>
    <w:p>
      <w:pPr>
        <w:pStyle w:val="4"/>
        <w:spacing w:before="0" w:after="0" w:line="360" w:lineRule="auto"/>
        <w:rPr>
          <w:rFonts w:ascii="Times New Roman" w:hAnsi="Times New Roman" w:eastAsia="楷体"/>
          <w:b w:val="0"/>
          <w:bCs/>
        </w:rPr>
      </w:pPr>
      <w:r>
        <w:rPr>
          <w:rFonts w:ascii="Times New Roman" w:hAnsi="Times New Roman" w:eastAsia="楷体"/>
          <w:b w:val="0"/>
          <w:bCs/>
        </w:rPr>
        <w:t>（一）预算执行进度情况分析</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项目预算批复资金为6.21万元，资金实际支付为3.93万元，资金使用率63.3%，该项目实施按照据实审批报销，资金支出在项目支出控制额度内，按照厉行节约、从严从紧的要求进行支出。</w:t>
      </w:r>
    </w:p>
    <w:p>
      <w:pPr>
        <w:pStyle w:val="4"/>
        <w:spacing w:before="0" w:after="0" w:line="360" w:lineRule="auto"/>
        <w:rPr>
          <w:rFonts w:ascii="Times New Roman" w:hAnsi="Times New Roman" w:eastAsia="楷体"/>
          <w:b w:val="0"/>
          <w:bCs/>
        </w:rPr>
      </w:pPr>
      <w:r>
        <w:rPr>
          <w:rFonts w:ascii="Times New Roman" w:hAnsi="Times New Roman" w:eastAsia="楷体"/>
          <w:b w:val="0"/>
          <w:bCs/>
        </w:rPr>
        <w:t>（二）总体绩效目标完成情况分析</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2022年沐川县林业局完成113株古树名木的管护与排危，完成古树名木的调查、认定、抢救、复壮、养护及宣传。</w:t>
      </w:r>
    </w:p>
    <w:p>
      <w:pPr>
        <w:pStyle w:val="4"/>
        <w:spacing w:before="0" w:after="0" w:line="360" w:lineRule="auto"/>
        <w:rPr>
          <w:rFonts w:ascii="Times New Roman" w:hAnsi="Times New Roman" w:eastAsia="楷体"/>
          <w:b w:val="0"/>
          <w:bCs/>
        </w:rPr>
      </w:pPr>
      <w:r>
        <w:rPr>
          <w:rFonts w:ascii="Times New Roman" w:hAnsi="Times New Roman" w:eastAsia="楷体"/>
          <w:b w:val="0"/>
          <w:bCs/>
        </w:rPr>
        <w:t>（三）绩效指标完成情况分析</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全年沐川县林业局完成古树名木管护和排危113株，其中：一级古树2株，二级古树11株，三级古树100株，完成率100%；完成宣传教育3次，完成率150%；完成森林病虫害防治1次，完成率100%，每季度至少开展1次对全县的古树名木进行监督检查，完成率100%；已挂牌古树名木保护覆盖率达到100%；项目区群众满意度达到96%；绩效目标按时完成，项目经费共使用3.93万元，包括差旅费、委托业务费等、古树保护经费开支等，控制在预算成本内。</w:t>
      </w:r>
    </w:p>
    <w:p>
      <w:pPr>
        <w:pStyle w:val="4"/>
        <w:spacing w:before="0" w:after="0" w:line="360" w:lineRule="auto"/>
        <w:rPr>
          <w:rFonts w:ascii="Times New Roman" w:hAnsi="Times New Roman" w:eastAsia="楷体"/>
          <w:b w:val="0"/>
          <w:bCs/>
        </w:rPr>
      </w:pPr>
      <w:r>
        <w:rPr>
          <w:rFonts w:ascii="Times New Roman" w:hAnsi="Times New Roman" w:eastAsia="楷体"/>
          <w:b w:val="0"/>
          <w:bCs/>
        </w:rPr>
        <w:t>（四）项目效益分析</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项目通过对古树名木保护的宣传教育，增强了市民保护古树的意识，项目的实施倡导更多的群众参与到保护、救助古树中来，古树名木这个活标本得到了保护，沐川的生态环境得到了有效的改善。</w:t>
      </w:r>
    </w:p>
    <w:p>
      <w:pPr>
        <w:pStyle w:val="3"/>
        <w:spacing w:before="0" w:after="0" w:line="360" w:lineRule="auto"/>
        <w:rPr>
          <w:rFonts w:eastAsia="黑体"/>
          <w:sz w:val="32"/>
        </w:rPr>
      </w:pPr>
      <w:r>
        <w:rPr>
          <w:rFonts w:eastAsia="黑体"/>
          <w:sz w:val="32"/>
        </w:rPr>
        <w:t>三、偏离绩效目标的原因和下一步改进措施</w:t>
      </w:r>
    </w:p>
    <w:p>
      <w:pPr>
        <w:pStyle w:val="8"/>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绩效目标基本完成。</w:t>
      </w:r>
    </w:p>
    <w:p>
      <w:pPr>
        <w:pStyle w:val="3"/>
        <w:spacing w:before="0" w:after="0" w:line="360" w:lineRule="auto"/>
        <w:rPr>
          <w:rFonts w:eastAsia="黑体"/>
          <w:sz w:val="32"/>
        </w:rPr>
      </w:pPr>
      <w:r>
        <w:rPr>
          <w:rFonts w:eastAsia="黑体"/>
          <w:sz w:val="32"/>
        </w:rPr>
        <w:t>四、绩效自评结果拟应用和公开情况</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2022年度项目自评得分为96.5分，该项目为长期每年开展项目，2023年建议继续预算此项目，每年绩效目标与预算同步批复、同步公开。</w:t>
      </w:r>
    </w:p>
    <w:p>
      <w:pPr>
        <w:pStyle w:val="3"/>
        <w:spacing w:before="0" w:after="0" w:line="360" w:lineRule="auto"/>
        <w:rPr>
          <w:rFonts w:eastAsia="黑体"/>
          <w:sz w:val="32"/>
        </w:rPr>
      </w:pPr>
      <w:r>
        <w:rPr>
          <w:rFonts w:eastAsia="黑体"/>
          <w:sz w:val="32"/>
        </w:rPr>
        <w:t>五、其他需要说明的问题</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无</w:t>
      </w:r>
    </w:p>
    <w:p>
      <w:pPr>
        <w:pStyle w:val="8"/>
        <w:spacing w:line="360" w:lineRule="auto"/>
        <w:ind w:firstLine="643" w:firstLineChars="200"/>
        <w:jc w:val="both"/>
        <w:rPr>
          <w:rFonts w:ascii="Times New Roman" w:hAnsi="Times New Roman" w:eastAsia="仿宋_GB2312" w:cs="Times New Roman"/>
          <w:b/>
          <w:bCs/>
          <w:sz w:val="32"/>
          <w:szCs w:val="32"/>
        </w:rPr>
      </w:pPr>
    </w:p>
    <w:p>
      <w:pPr>
        <w:pStyle w:val="8"/>
        <w:spacing w:line="360" w:lineRule="auto"/>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附件：1.2022年度古树名木保护经费项目绩效目标自评表</w:t>
      </w:r>
    </w:p>
    <w:p>
      <w:pPr>
        <w:pStyle w:val="8"/>
        <w:spacing w:line="360" w:lineRule="auto"/>
        <w:ind w:left="960" w:leftChars="300"/>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2.2022年度古树名木保护经费项目支出绩效评价</w:t>
      </w:r>
      <w:r>
        <w:rPr>
          <w:rFonts w:hint="eastAsia" w:ascii="Times New Roman" w:hAnsi="Times New Roman" w:eastAsia="仿宋_GB2312" w:cs="Times New Roman"/>
          <w:b/>
          <w:bCs/>
          <w:sz w:val="32"/>
          <w:szCs w:val="32"/>
        </w:rPr>
        <w:t>自评得分表</w:t>
      </w:r>
    </w:p>
    <w:p>
      <w:pPr>
        <w:pStyle w:val="2"/>
        <w:ind w:right="320"/>
        <w:jc w:val="right"/>
      </w:pPr>
      <w:r>
        <w:t>沐川县林</w:t>
      </w:r>
      <w:bookmarkStart w:id="0" w:name="_GoBack"/>
      <w:bookmarkEnd w:id="0"/>
      <w:r>
        <w:t>业局</w:t>
      </w:r>
    </w:p>
    <w:p>
      <w:pPr>
        <w:pStyle w:val="8"/>
        <w:spacing w:line="360" w:lineRule="auto"/>
        <w:ind w:firstLine="1600" w:firstLineChars="500"/>
        <w:jc w:val="right"/>
        <w:rPr>
          <w:rFonts w:ascii="Times New Roman" w:hAnsi="Times New Roman" w:eastAsia="仿宋_GB2312" w:cs="Times New Roman"/>
          <w:b/>
          <w:bCs/>
          <w:sz w:val="32"/>
          <w:szCs w:val="32"/>
        </w:rPr>
      </w:pPr>
      <w:r>
        <w:rPr>
          <w:rFonts w:ascii="Times New Roman" w:hAnsi="Times New Roman" w:eastAsia="仿宋_GB2312" w:cs="Times New Roman"/>
          <w:sz w:val="32"/>
          <w:szCs w:val="32"/>
        </w:rPr>
        <w:t>2023年7月12日</w:t>
      </w:r>
    </w:p>
    <w:p>
      <w:pPr>
        <w:widowControl/>
        <w:jc w:val="left"/>
        <w:rPr>
          <w:b/>
          <w:kern w:val="44"/>
          <w:sz w:val="44"/>
        </w:rPr>
      </w:pPr>
      <w:r>
        <w:br w:type="page"/>
      </w:r>
    </w:p>
    <w:p>
      <w:pPr>
        <w:pStyle w:val="3"/>
        <w:spacing w:before="0" w:after="0" w:line="360" w:lineRule="auto"/>
        <w:rPr>
          <w:rFonts w:eastAsia="黑体"/>
          <w:sz w:val="32"/>
        </w:rPr>
      </w:pPr>
      <w:r>
        <w:rPr>
          <w:rFonts w:eastAsia="黑体"/>
          <w:sz w:val="32"/>
        </w:rPr>
        <w:t>附件1</w:t>
      </w:r>
    </w:p>
    <w:p>
      <w:pPr>
        <w:jc w:val="center"/>
        <w:rPr>
          <w:rFonts w:eastAsia="方正公文楷体"/>
          <w:sz w:val="24"/>
          <w:szCs w:val="24"/>
        </w:rPr>
      </w:pPr>
      <w:r>
        <w:rPr>
          <w:rFonts w:eastAsia="方正公文楷体"/>
          <w:color w:val="000000"/>
          <w:kern w:val="0"/>
          <w:sz w:val="24"/>
          <w:szCs w:val="24"/>
        </w:rPr>
        <w:t>2022年度古树名木保护经费项目绩效目标自评表</w:t>
      </w: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6"/>
        <w:gridCol w:w="498"/>
        <w:gridCol w:w="1132"/>
        <w:gridCol w:w="1382"/>
        <w:gridCol w:w="1171"/>
        <w:gridCol w:w="1133"/>
        <w:gridCol w:w="1137"/>
        <w:gridCol w:w="13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5000" w:type="pct"/>
            <w:gridSpan w:val="8"/>
          </w:tcPr>
          <w:p>
            <w:pPr>
              <w:widowControl/>
              <w:spacing w:line="320" w:lineRule="exact"/>
              <w:jc w:val="center"/>
              <w:textAlignment w:val="top"/>
              <w:rPr>
                <w:rFonts w:eastAsia="宋体"/>
                <w:color w:val="000000"/>
                <w:sz w:val="22"/>
                <w:szCs w:val="22"/>
              </w:rPr>
            </w:pPr>
            <w:r>
              <w:rPr>
                <w:rFonts w:eastAsia="宋体"/>
                <w:color w:val="000000"/>
                <w:kern w:val="0"/>
                <w:sz w:val="22"/>
                <w:szCs w:val="22"/>
              </w:rPr>
              <w:t>（2022年度）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1394" w:type="pct"/>
            <w:gridSpan w:val="3"/>
            <w:vAlign w:val="center"/>
          </w:tcPr>
          <w:p>
            <w:pPr>
              <w:widowControl/>
              <w:spacing w:line="200" w:lineRule="exact"/>
              <w:jc w:val="center"/>
              <w:textAlignment w:val="center"/>
              <w:rPr>
                <w:color w:val="000000"/>
                <w:sz w:val="20"/>
                <w:szCs w:val="20"/>
              </w:rPr>
            </w:pPr>
            <w:r>
              <w:rPr>
                <w:color w:val="000000"/>
                <w:kern w:val="0"/>
                <w:sz w:val="20"/>
                <w:szCs w:val="20"/>
              </w:rPr>
              <w:t>项目（政策）名称</w:t>
            </w:r>
          </w:p>
        </w:tc>
        <w:tc>
          <w:tcPr>
            <w:tcW w:w="3606" w:type="pct"/>
            <w:gridSpan w:val="5"/>
            <w:vAlign w:val="center"/>
          </w:tcPr>
          <w:p>
            <w:pPr>
              <w:widowControl/>
              <w:spacing w:line="200" w:lineRule="exact"/>
              <w:jc w:val="center"/>
              <w:rPr>
                <w:color w:val="000000"/>
                <w:sz w:val="20"/>
                <w:szCs w:val="20"/>
              </w:rPr>
            </w:pPr>
            <w:r>
              <w:rPr>
                <w:color w:val="000000"/>
                <w:sz w:val="20"/>
                <w:szCs w:val="20"/>
              </w:rPr>
              <w:t>古树名木保护经费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1394" w:type="pct"/>
            <w:gridSpan w:val="3"/>
            <w:vAlign w:val="center"/>
          </w:tcPr>
          <w:p>
            <w:pPr>
              <w:widowControl/>
              <w:spacing w:line="200" w:lineRule="exact"/>
              <w:jc w:val="center"/>
              <w:textAlignment w:val="center"/>
              <w:rPr>
                <w:color w:val="000000"/>
                <w:sz w:val="20"/>
                <w:szCs w:val="20"/>
              </w:rPr>
            </w:pPr>
            <w:r>
              <w:rPr>
                <w:color w:val="000000"/>
                <w:kern w:val="0"/>
                <w:sz w:val="20"/>
                <w:szCs w:val="20"/>
              </w:rPr>
              <w:t>项目主管部门</w:t>
            </w:r>
          </w:p>
        </w:tc>
        <w:tc>
          <w:tcPr>
            <w:tcW w:w="1497" w:type="pct"/>
            <w:gridSpan w:val="2"/>
            <w:vAlign w:val="center"/>
          </w:tcPr>
          <w:p>
            <w:pPr>
              <w:widowControl/>
              <w:spacing w:line="200" w:lineRule="exact"/>
              <w:jc w:val="center"/>
              <w:rPr>
                <w:color w:val="000000"/>
                <w:sz w:val="20"/>
                <w:szCs w:val="20"/>
              </w:rPr>
            </w:pPr>
            <w:r>
              <w:rPr>
                <w:color w:val="000000"/>
                <w:sz w:val="20"/>
                <w:szCs w:val="20"/>
              </w:rPr>
              <w:t>林业局</w:t>
            </w:r>
          </w:p>
        </w:tc>
        <w:tc>
          <w:tcPr>
            <w:tcW w:w="665" w:type="pct"/>
            <w:vAlign w:val="center"/>
          </w:tcPr>
          <w:p>
            <w:pPr>
              <w:widowControl/>
              <w:spacing w:line="200" w:lineRule="exact"/>
              <w:jc w:val="center"/>
              <w:textAlignment w:val="center"/>
              <w:rPr>
                <w:color w:val="000000"/>
                <w:kern w:val="0"/>
                <w:sz w:val="20"/>
                <w:szCs w:val="20"/>
              </w:rPr>
            </w:pPr>
            <w:r>
              <w:rPr>
                <w:color w:val="000000"/>
                <w:kern w:val="0"/>
                <w:sz w:val="20"/>
                <w:szCs w:val="20"/>
              </w:rPr>
              <w:t>资金使用单位</w:t>
            </w:r>
          </w:p>
        </w:tc>
        <w:tc>
          <w:tcPr>
            <w:tcW w:w="1443" w:type="pct"/>
            <w:gridSpan w:val="2"/>
            <w:vAlign w:val="center"/>
          </w:tcPr>
          <w:p>
            <w:pPr>
              <w:widowControl/>
              <w:spacing w:line="200" w:lineRule="exact"/>
              <w:jc w:val="center"/>
              <w:rPr>
                <w:color w:val="000000"/>
                <w:sz w:val="20"/>
                <w:szCs w:val="20"/>
              </w:rPr>
            </w:pPr>
            <w:r>
              <w:rPr>
                <w:color w:val="000000"/>
                <w:sz w:val="20"/>
                <w:szCs w:val="20"/>
              </w:rPr>
              <w:t>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1394" w:type="pct"/>
            <w:gridSpan w:val="3"/>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项目资金</w:t>
            </w:r>
          </w:p>
          <w:p>
            <w:pPr>
              <w:widowControl/>
              <w:spacing w:line="200" w:lineRule="exact"/>
              <w:jc w:val="center"/>
              <w:textAlignment w:val="center"/>
              <w:rPr>
                <w:color w:val="000000"/>
                <w:sz w:val="20"/>
                <w:szCs w:val="20"/>
              </w:rPr>
            </w:pPr>
            <w:r>
              <w:rPr>
                <w:color w:val="000000"/>
                <w:kern w:val="0"/>
                <w:sz w:val="20"/>
                <w:szCs w:val="20"/>
              </w:rPr>
              <w:t>（万元）</w:t>
            </w:r>
          </w:p>
        </w:tc>
        <w:tc>
          <w:tcPr>
            <w:tcW w:w="811" w:type="pct"/>
            <w:vAlign w:val="center"/>
          </w:tcPr>
          <w:p>
            <w:pPr>
              <w:widowControl/>
              <w:spacing w:line="200" w:lineRule="exact"/>
              <w:jc w:val="center"/>
              <w:rPr>
                <w:color w:val="000000"/>
                <w:sz w:val="20"/>
                <w:szCs w:val="20"/>
              </w:rPr>
            </w:pPr>
          </w:p>
        </w:tc>
        <w:tc>
          <w:tcPr>
            <w:tcW w:w="686" w:type="pct"/>
            <w:vAlign w:val="center"/>
          </w:tcPr>
          <w:p>
            <w:pPr>
              <w:widowControl/>
              <w:spacing w:line="200" w:lineRule="exact"/>
              <w:jc w:val="center"/>
              <w:textAlignment w:val="center"/>
              <w:rPr>
                <w:color w:val="000000"/>
                <w:sz w:val="20"/>
                <w:szCs w:val="20"/>
              </w:rPr>
            </w:pPr>
            <w:r>
              <w:rPr>
                <w:color w:val="000000"/>
                <w:kern w:val="0"/>
                <w:sz w:val="20"/>
                <w:szCs w:val="20"/>
              </w:rPr>
              <w:t>全年预算数</w:t>
            </w:r>
          </w:p>
        </w:tc>
        <w:tc>
          <w:tcPr>
            <w:tcW w:w="1332" w:type="pct"/>
            <w:gridSpan w:val="2"/>
            <w:vAlign w:val="center"/>
          </w:tcPr>
          <w:p>
            <w:pPr>
              <w:widowControl/>
              <w:spacing w:line="200" w:lineRule="exact"/>
              <w:jc w:val="center"/>
              <w:textAlignment w:val="center"/>
              <w:rPr>
                <w:color w:val="000000"/>
                <w:sz w:val="20"/>
                <w:szCs w:val="20"/>
              </w:rPr>
            </w:pPr>
            <w:r>
              <w:rPr>
                <w:color w:val="000000"/>
                <w:kern w:val="0"/>
                <w:sz w:val="20"/>
                <w:szCs w:val="20"/>
              </w:rPr>
              <w:t>全年执行数</w:t>
            </w:r>
          </w:p>
        </w:tc>
        <w:tc>
          <w:tcPr>
            <w:tcW w:w="776" w:type="pct"/>
            <w:vAlign w:val="center"/>
          </w:tcPr>
          <w:p>
            <w:pPr>
              <w:widowControl/>
              <w:spacing w:line="200" w:lineRule="exact"/>
              <w:jc w:val="center"/>
              <w:textAlignment w:val="center"/>
              <w:rPr>
                <w:color w:val="000000"/>
                <w:sz w:val="20"/>
                <w:szCs w:val="20"/>
              </w:rPr>
            </w:pPr>
            <w:r>
              <w:rPr>
                <w:color w:val="000000"/>
                <w:kern w:val="0"/>
                <w:sz w:val="20"/>
                <w:szCs w:val="20"/>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1394" w:type="pct"/>
            <w:gridSpan w:val="3"/>
            <w:vMerge w:val="continue"/>
            <w:vAlign w:val="center"/>
          </w:tcPr>
          <w:p>
            <w:pPr>
              <w:widowControl/>
              <w:spacing w:line="200" w:lineRule="exact"/>
              <w:jc w:val="center"/>
              <w:rPr>
                <w:color w:val="000000"/>
                <w:sz w:val="20"/>
                <w:szCs w:val="20"/>
              </w:rPr>
            </w:pPr>
          </w:p>
        </w:tc>
        <w:tc>
          <w:tcPr>
            <w:tcW w:w="811" w:type="pct"/>
            <w:vAlign w:val="center"/>
          </w:tcPr>
          <w:p>
            <w:pPr>
              <w:widowControl/>
              <w:spacing w:line="200" w:lineRule="exact"/>
              <w:jc w:val="center"/>
              <w:textAlignment w:val="center"/>
              <w:rPr>
                <w:color w:val="000000"/>
                <w:sz w:val="20"/>
                <w:szCs w:val="20"/>
              </w:rPr>
            </w:pPr>
            <w:r>
              <w:rPr>
                <w:color w:val="000000"/>
                <w:kern w:val="0"/>
                <w:sz w:val="20"/>
                <w:szCs w:val="20"/>
              </w:rPr>
              <w:t>年度资金总额：</w:t>
            </w:r>
          </w:p>
        </w:tc>
        <w:tc>
          <w:tcPr>
            <w:tcW w:w="686" w:type="pct"/>
            <w:vAlign w:val="center"/>
          </w:tcPr>
          <w:p>
            <w:pPr>
              <w:widowControl/>
              <w:spacing w:line="200" w:lineRule="exact"/>
              <w:jc w:val="center"/>
              <w:rPr>
                <w:color w:val="000000"/>
                <w:sz w:val="20"/>
                <w:szCs w:val="20"/>
              </w:rPr>
            </w:pPr>
            <w:r>
              <w:rPr>
                <w:color w:val="000000"/>
                <w:sz w:val="20"/>
                <w:szCs w:val="20"/>
              </w:rPr>
              <w:t>6.21</w:t>
            </w:r>
          </w:p>
        </w:tc>
        <w:tc>
          <w:tcPr>
            <w:tcW w:w="1332" w:type="pct"/>
            <w:gridSpan w:val="2"/>
            <w:vAlign w:val="center"/>
          </w:tcPr>
          <w:p>
            <w:pPr>
              <w:widowControl/>
              <w:spacing w:line="200" w:lineRule="exact"/>
              <w:jc w:val="center"/>
              <w:rPr>
                <w:color w:val="000000"/>
                <w:sz w:val="20"/>
                <w:szCs w:val="20"/>
              </w:rPr>
            </w:pPr>
            <w:r>
              <w:rPr>
                <w:color w:val="000000"/>
                <w:sz w:val="20"/>
                <w:szCs w:val="20"/>
              </w:rPr>
              <w:t>3.93</w:t>
            </w:r>
          </w:p>
        </w:tc>
        <w:tc>
          <w:tcPr>
            <w:tcW w:w="776" w:type="pct"/>
            <w:vAlign w:val="center"/>
          </w:tcPr>
          <w:p>
            <w:pPr>
              <w:widowControl/>
              <w:spacing w:line="200" w:lineRule="exact"/>
              <w:jc w:val="center"/>
              <w:rPr>
                <w:color w:val="000000"/>
                <w:sz w:val="20"/>
                <w:szCs w:val="20"/>
              </w:rPr>
            </w:pPr>
            <w:r>
              <w:rPr>
                <w:color w:val="000000"/>
                <w:sz w:val="20"/>
                <w:szCs w:val="20"/>
              </w:rPr>
              <w:t>63.3%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1394" w:type="pct"/>
            <w:gridSpan w:val="3"/>
            <w:vMerge w:val="continue"/>
            <w:vAlign w:val="center"/>
          </w:tcPr>
          <w:p>
            <w:pPr>
              <w:widowControl/>
              <w:spacing w:line="200" w:lineRule="exact"/>
              <w:jc w:val="center"/>
              <w:rPr>
                <w:color w:val="000000"/>
                <w:sz w:val="20"/>
                <w:szCs w:val="20"/>
              </w:rPr>
            </w:pPr>
          </w:p>
        </w:tc>
        <w:tc>
          <w:tcPr>
            <w:tcW w:w="811" w:type="pct"/>
            <w:vAlign w:val="center"/>
          </w:tcPr>
          <w:p>
            <w:pPr>
              <w:widowControl/>
              <w:spacing w:line="200" w:lineRule="exact"/>
              <w:jc w:val="center"/>
              <w:textAlignment w:val="center"/>
              <w:rPr>
                <w:color w:val="000000"/>
                <w:sz w:val="20"/>
                <w:szCs w:val="20"/>
              </w:rPr>
            </w:pPr>
            <w:r>
              <w:rPr>
                <w:rStyle w:val="14"/>
                <w:rFonts w:hint="default" w:ascii="Times New Roman" w:hAnsi="Times New Roman" w:eastAsia="仿宋_GB2312" w:cs="Times New Roman"/>
                <w:sz w:val="20"/>
                <w:szCs w:val="20"/>
              </w:rPr>
              <w:t>其中：中央、省补助</w:t>
            </w:r>
          </w:p>
        </w:tc>
        <w:tc>
          <w:tcPr>
            <w:tcW w:w="686" w:type="pct"/>
            <w:vAlign w:val="center"/>
          </w:tcPr>
          <w:p>
            <w:pPr>
              <w:widowControl/>
              <w:spacing w:line="200" w:lineRule="exact"/>
              <w:jc w:val="center"/>
              <w:rPr>
                <w:color w:val="000000"/>
                <w:sz w:val="20"/>
                <w:szCs w:val="20"/>
              </w:rPr>
            </w:pPr>
          </w:p>
        </w:tc>
        <w:tc>
          <w:tcPr>
            <w:tcW w:w="1332" w:type="pct"/>
            <w:gridSpan w:val="2"/>
            <w:vAlign w:val="center"/>
          </w:tcPr>
          <w:p>
            <w:pPr>
              <w:widowControl/>
              <w:spacing w:line="200" w:lineRule="exact"/>
              <w:jc w:val="center"/>
              <w:rPr>
                <w:color w:val="000000"/>
                <w:sz w:val="20"/>
                <w:szCs w:val="20"/>
              </w:rPr>
            </w:pPr>
          </w:p>
        </w:tc>
        <w:tc>
          <w:tcPr>
            <w:tcW w:w="776"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1394" w:type="pct"/>
            <w:gridSpan w:val="3"/>
            <w:vMerge w:val="continue"/>
            <w:vAlign w:val="center"/>
          </w:tcPr>
          <w:p>
            <w:pPr>
              <w:widowControl/>
              <w:spacing w:line="200" w:lineRule="exact"/>
              <w:jc w:val="center"/>
              <w:rPr>
                <w:color w:val="000000"/>
                <w:sz w:val="20"/>
                <w:szCs w:val="20"/>
              </w:rPr>
            </w:pPr>
          </w:p>
        </w:tc>
        <w:tc>
          <w:tcPr>
            <w:tcW w:w="811" w:type="pct"/>
            <w:vAlign w:val="center"/>
          </w:tcPr>
          <w:p>
            <w:pPr>
              <w:widowControl/>
              <w:spacing w:line="200" w:lineRule="exact"/>
              <w:jc w:val="center"/>
              <w:textAlignment w:val="center"/>
              <w:rPr>
                <w:color w:val="000000"/>
                <w:sz w:val="20"/>
                <w:szCs w:val="20"/>
              </w:rPr>
            </w:pPr>
            <w:r>
              <w:rPr>
                <w:rStyle w:val="14"/>
                <w:rFonts w:hint="default" w:ascii="Times New Roman" w:hAnsi="Times New Roman" w:eastAsia="仿宋_GB2312" w:cs="Times New Roman"/>
                <w:sz w:val="20"/>
                <w:szCs w:val="20"/>
              </w:rPr>
              <w:t>市级财政资</w:t>
            </w:r>
          </w:p>
        </w:tc>
        <w:tc>
          <w:tcPr>
            <w:tcW w:w="686" w:type="pct"/>
            <w:vAlign w:val="center"/>
          </w:tcPr>
          <w:p>
            <w:pPr>
              <w:widowControl/>
              <w:spacing w:line="200" w:lineRule="exact"/>
              <w:jc w:val="center"/>
              <w:rPr>
                <w:color w:val="000000"/>
                <w:sz w:val="20"/>
                <w:szCs w:val="20"/>
              </w:rPr>
            </w:pPr>
          </w:p>
        </w:tc>
        <w:tc>
          <w:tcPr>
            <w:tcW w:w="1332" w:type="pct"/>
            <w:gridSpan w:val="2"/>
            <w:vAlign w:val="center"/>
          </w:tcPr>
          <w:p>
            <w:pPr>
              <w:widowControl/>
              <w:spacing w:line="200" w:lineRule="exact"/>
              <w:jc w:val="center"/>
              <w:rPr>
                <w:color w:val="000000"/>
                <w:sz w:val="20"/>
                <w:szCs w:val="20"/>
              </w:rPr>
            </w:pPr>
          </w:p>
        </w:tc>
        <w:tc>
          <w:tcPr>
            <w:tcW w:w="776"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1394" w:type="pct"/>
            <w:gridSpan w:val="3"/>
            <w:vMerge w:val="continue"/>
            <w:vAlign w:val="center"/>
          </w:tcPr>
          <w:p>
            <w:pPr>
              <w:widowControl/>
              <w:spacing w:line="200" w:lineRule="exact"/>
              <w:jc w:val="center"/>
              <w:rPr>
                <w:color w:val="000000"/>
                <w:sz w:val="20"/>
                <w:szCs w:val="20"/>
              </w:rPr>
            </w:pPr>
          </w:p>
        </w:tc>
        <w:tc>
          <w:tcPr>
            <w:tcW w:w="811" w:type="pct"/>
            <w:vAlign w:val="center"/>
          </w:tcPr>
          <w:p>
            <w:pPr>
              <w:widowControl/>
              <w:spacing w:line="200" w:lineRule="exact"/>
              <w:jc w:val="center"/>
              <w:textAlignment w:val="center"/>
              <w:rPr>
                <w:color w:val="000000"/>
                <w:sz w:val="20"/>
                <w:szCs w:val="20"/>
              </w:rPr>
            </w:pPr>
            <w:r>
              <w:rPr>
                <w:color w:val="000000"/>
                <w:kern w:val="0"/>
                <w:sz w:val="20"/>
                <w:szCs w:val="20"/>
              </w:rPr>
              <w:t>县级财政资</w:t>
            </w:r>
          </w:p>
        </w:tc>
        <w:tc>
          <w:tcPr>
            <w:tcW w:w="686" w:type="pct"/>
            <w:vAlign w:val="center"/>
          </w:tcPr>
          <w:p>
            <w:pPr>
              <w:widowControl/>
              <w:spacing w:line="200" w:lineRule="exact"/>
              <w:jc w:val="center"/>
              <w:rPr>
                <w:color w:val="000000"/>
                <w:sz w:val="20"/>
                <w:szCs w:val="20"/>
              </w:rPr>
            </w:pPr>
            <w:r>
              <w:rPr>
                <w:color w:val="000000"/>
                <w:sz w:val="20"/>
                <w:szCs w:val="20"/>
              </w:rPr>
              <w:t>6.21</w:t>
            </w:r>
          </w:p>
        </w:tc>
        <w:tc>
          <w:tcPr>
            <w:tcW w:w="1332" w:type="pct"/>
            <w:gridSpan w:val="2"/>
            <w:vAlign w:val="center"/>
          </w:tcPr>
          <w:p>
            <w:pPr>
              <w:widowControl/>
              <w:spacing w:line="200" w:lineRule="exact"/>
              <w:jc w:val="center"/>
              <w:rPr>
                <w:color w:val="000000"/>
                <w:sz w:val="20"/>
                <w:szCs w:val="20"/>
              </w:rPr>
            </w:pPr>
            <w:r>
              <w:rPr>
                <w:color w:val="000000"/>
                <w:sz w:val="20"/>
                <w:szCs w:val="20"/>
              </w:rPr>
              <w:t>3.93</w:t>
            </w:r>
          </w:p>
        </w:tc>
        <w:tc>
          <w:tcPr>
            <w:tcW w:w="776" w:type="pct"/>
            <w:vAlign w:val="center"/>
          </w:tcPr>
          <w:p>
            <w:pPr>
              <w:widowControl/>
              <w:spacing w:line="200" w:lineRule="exact"/>
              <w:jc w:val="center"/>
              <w:rPr>
                <w:color w:val="000000"/>
                <w:sz w:val="20"/>
                <w:szCs w:val="20"/>
              </w:rPr>
            </w:pPr>
            <w:r>
              <w:rPr>
                <w:color w:val="000000"/>
                <w:sz w:val="20"/>
                <w:szCs w:val="20"/>
              </w:rPr>
              <w:t>63.3%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1394" w:type="pct"/>
            <w:gridSpan w:val="3"/>
            <w:vMerge w:val="continue"/>
            <w:vAlign w:val="center"/>
          </w:tcPr>
          <w:p>
            <w:pPr>
              <w:widowControl/>
              <w:spacing w:line="200" w:lineRule="exact"/>
              <w:jc w:val="center"/>
              <w:rPr>
                <w:color w:val="000000"/>
                <w:sz w:val="20"/>
                <w:szCs w:val="20"/>
              </w:rPr>
            </w:pPr>
          </w:p>
        </w:tc>
        <w:tc>
          <w:tcPr>
            <w:tcW w:w="811" w:type="pct"/>
            <w:vAlign w:val="center"/>
          </w:tcPr>
          <w:p>
            <w:pPr>
              <w:widowControl/>
              <w:spacing w:line="200" w:lineRule="exact"/>
              <w:jc w:val="center"/>
              <w:textAlignment w:val="center"/>
              <w:rPr>
                <w:color w:val="000000"/>
                <w:sz w:val="20"/>
                <w:szCs w:val="20"/>
              </w:rPr>
            </w:pPr>
            <w:r>
              <w:rPr>
                <w:rStyle w:val="14"/>
                <w:rFonts w:hint="default" w:ascii="Times New Roman" w:hAnsi="Times New Roman" w:eastAsia="仿宋_GB2312" w:cs="Times New Roman"/>
                <w:sz w:val="20"/>
                <w:szCs w:val="20"/>
              </w:rPr>
              <w:t>其他资金</w:t>
            </w:r>
          </w:p>
        </w:tc>
        <w:tc>
          <w:tcPr>
            <w:tcW w:w="686" w:type="pct"/>
            <w:vAlign w:val="center"/>
          </w:tcPr>
          <w:p>
            <w:pPr>
              <w:widowControl/>
              <w:spacing w:line="200" w:lineRule="exact"/>
              <w:jc w:val="center"/>
              <w:rPr>
                <w:color w:val="000000"/>
                <w:sz w:val="20"/>
                <w:szCs w:val="20"/>
              </w:rPr>
            </w:pPr>
          </w:p>
        </w:tc>
        <w:tc>
          <w:tcPr>
            <w:tcW w:w="1332" w:type="pct"/>
            <w:gridSpan w:val="2"/>
            <w:vAlign w:val="center"/>
          </w:tcPr>
          <w:p>
            <w:pPr>
              <w:widowControl/>
              <w:spacing w:line="200" w:lineRule="exact"/>
              <w:jc w:val="center"/>
              <w:rPr>
                <w:color w:val="000000"/>
                <w:sz w:val="20"/>
                <w:szCs w:val="20"/>
              </w:rPr>
            </w:pPr>
          </w:p>
        </w:tc>
        <w:tc>
          <w:tcPr>
            <w:tcW w:w="776"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Merge w:val="restart"/>
            <w:vAlign w:val="center"/>
          </w:tcPr>
          <w:p>
            <w:pPr>
              <w:widowControl/>
              <w:spacing w:line="180" w:lineRule="exact"/>
              <w:jc w:val="center"/>
              <w:textAlignment w:val="center"/>
              <w:rPr>
                <w:color w:val="000000"/>
                <w:sz w:val="20"/>
                <w:szCs w:val="20"/>
              </w:rPr>
            </w:pPr>
            <w:r>
              <w:rPr>
                <w:color w:val="000000"/>
                <w:kern w:val="0"/>
                <w:sz w:val="20"/>
                <w:szCs w:val="20"/>
              </w:rPr>
              <w:t>总体目标完成情况</w:t>
            </w:r>
          </w:p>
        </w:tc>
        <w:tc>
          <w:tcPr>
            <w:tcW w:w="2454" w:type="pct"/>
            <w:gridSpan w:val="4"/>
            <w:vAlign w:val="center"/>
          </w:tcPr>
          <w:p>
            <w:pPr>
              <w:widowControl/>
              <w:spacing w:line="200" w:lineRule="exact"/>
              <w:jc w:val="center"/>
              <w:textAlignment w:val="center"/>
              <w:rPr>
                <w:color w:val="000000"/>
                <w:sz w:val="20"/>
                <w:szCs w:val="20"/>
              </w:rPr>
            </w:pPr>
            <w:r>
              <w:rPr>
                <w:color w:val="000000"/>
                <w:kern w:val="0"/>
                <w:sz w:val="20"/>
                <w:szCs w:val="20"/>
              </w:rPr>
              <w:t>总体目标</w:t>
            </w:r>
          </w:p>
        </w:tc>
        <w:tc>
          <w:tcPr>
            <w:tcW w:w="2109" w:type="pct"/>
            <w:gridSpan w:val="3"/>
            <w:vAlign w:val="center"/>
          </w:tcPr>
          <w:p>
            <w:pPr>
              <w:widowControl/>
              <w:spacing w:line="200" w:lineRule="exact"/>
              <w:jc w:val="center"/>
              <w:textAlignment w:val="center"/>
              <w:rPr>
                <w:color w:val="000000"/>
                <w:sz w:val="20"/>
                <w:szCs w:val="20"/>
              </w:rPr>
            </w:pPr>
            <w:r>
              <w:rPr>
                <w:color w:val="000000"/>
                <w:kern w:val="0"/>
                <w:sz w:val="20"/>
                <w:szCs w:val="20"/>
              </w:rPr>
              <w:t>全年实际完成情况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Merge w:val="continue"/>
            <w:vAlign w:val="center"/>
          </w:tcPr>
          <w:p>
            <w:pPr>
              <w:widowControl/>
              <w:spacing w:line="200" w:lineRule="exact"/>
              <w:jc w:val="center"/>
              <w:rPr>
                <w:color w:val="000000"/>
                <w:sz w:val="20"/>
                <w:szCs w:val="20"/>
              </w:rPr>
            </w:pPr>
          </w:p>
        </w:tc>
        <w:tc>
          <w:tcPr>
            <w:tcW w:w="2454" w:type="pct"/>
            <w:gridSpan w:val="4"/>
            <w:vAlign w:val="center"/>
          </w:tcPr>
          <w:p>
            <w:pPr>
              <w:widowControl/>
              <w:spacing w:line="200" w:lineRule="exact"/>
              <w:rPr>
                <w:color w:val="000000"/>
                <w:sz w:val="20"/>
                <w:szCs w:val="20"/>
              </w:rPr>
            </w:pPr>
            <w:r>
              <w:rPr>
                <w:color w:val="000000"/>
                <w:sz w:val="20"/>
                <w:szCs w:val="20"/>
              </w:rPr>
              <w:t>完成113株名木古树保护，完成古树名木的调查、认定、抢救、复壮、养护及宣传，切实做好古树名木保护工作。</w:t>
            </w:r>
          </w:p>
        </w:tc>
        <w:tc>
          <w:tcPr>
            <w:tcW w:w="2109" w:type="pct"/>
            <w:gridSpan w:val="3"/>
            <w:vAlign w:val="center"/>
          </w:tcPr>
          <w:p>
            <w:pPr>
              <w:widowControl/>
              <w:spacing w:line="200" w:lineRule="exact"/>
              <w:rPr>
                <w:color w:val="000000"/>
                <w:sz w:val="20"/>
                <w:szCs w:val="20"/>
              </w:rPr>
            </w:pPr>
            <w:r>
              <w:rPr>
                <w:color w:val="000000"/>
                <w:sz w:val="20"/>
                <w:szCs w:val="20"/>
              </w:rPr>
              <w:t>完成113株名木古树保护，完成古树名木的调查、认定、抢救、复壮、养护及宣传。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Merge w:val="restart"/>
            <w:textDirection w:val="tbRlV"/>
            <w:vAlign w:val="center"/>
          </w:tcPr>
          <w:p>
            <w:pPr>
              <w:widowControl/>
              <w:spacing w:line="200" w:lineRule="exact"/>
              <w:jc w:val="center"/>
              <w:textAlignment w:val="center"/>
              <w:rPr>
                <w:color w:val="000000"/>
                <w:sz w:val="20"/>
                <w:szCs w:val="20"/>
              </w:rPr>
            </w:pPr>
            <w:r>
              <w:rPr>
                <w:color w:val="000000"/>
                <w:kern w:val="0"/>
                <w:sz w:val="20"/>
                <w:szCs w:val="20"/>
              </w:rPr>
              <w:t>绩效指标</w:t>
            </w:r>
          </w:p>
        </w:tc>
        <w:tc>
          <w:tcPr>
            <w:tcW w:w="292" w:type="pct"/>
            <w:vAlign w:val="center"/>
          </w:tcPr>
          <w:p>
            <w:pPr>
              <w:widowControl/>
              <w:spacing w:line="180" w:lineRule="exact"/>
              <w:jc w:val="center"/>
              <w:textAlignment w:val="center"/>
              <w:rPr>
                <w:color w:val="000000"/>
                <w:kern w:val="0"/>
                <w:sz w:val="20"/>
                <w:szCs w:val="20"/>
              </w:rPr>
            </w:pPr>
            <w:r>
              <w:rPr>
                <w:color w:val="000000"/>
                <w:kern w:val="0"/>
                <w:sz w:val="20"/>
                <w:szCs w:val="20"/>
              </w:rPr>
              <w:t>一级</w:t>
            </w:r>
          </w:p>
          <w:p>
            <w:pPr>
              <w:widowControl/>
              <w:spacing w:line="180" w:lineRule="exact"/>
              <w:jc w:val="center"/>
              <w:textAlignment w:val="center"/>
              <w:rPr>
                <w:color w:val="000000"/>
                <w:sz w:val="20"/>
                <w:szCs w:val="20"/>
              </w:rPr>
            </w:pPr>
            <w:r>
              <w:rPr>
                <w:color w:val="000000"/>
                <w:kern w:val="0"/>
                <w:sz w:val="20"/>
                <w:szCs w:val="20"/>
              </w:rPr>
              <w:t>指标</w:t>
            </w:r>
          </w:p>
        </w:tc>
        <w:tc>
          <w:tcPr>
            <w:tcW w:w="664" w:type="pct"/>
            <w:vAlign w:val="center"/>
          </w:tcPr>
          <w:p>
            <w:pPr>
              <w:widowControl/>
              <w:spacing w:line="200" w:lineRule="exact"/>
              <w:jc w:val="center"/>
              <w:textAlignment w:val="center"/>
              <w:rPr>
                <w:color w:val="000000"/>
                <w:sz w:val="20"/>
                <w:szCs w:val="20"/>
              </w:rPr>
            </w:pPr>
            <w:r>
              <w:rPr>
                <w:color w:val="000000"/>
                <w:kern w:val="0"/>
                <w:sz w:val="20"/>
                <w:szCs w:val="20"/>
              </w:rPr>
              <w:t>二级指标</w:t>
            </w:r>
          </w:p>
        </w:tc>
        <w:tc>
          <w:tcPr>
            <w:tcW w:w="1497" w:type="pct"/>
            <w:gridSpan w:val="2"/>
            <w:vAlign w:val="center"/>
          </w:tcPr>
          <w:p>
            <w:pPr>
              <w:widowControl/>
              <w:spacing w:line="200" w:lineRule="exact"/>
              <w:jc w:val="center"/>
              <w:textAlignment w:val="center"/>
              <w:rPr>
                <w:color w:val="000000"/>
                <w:sz w:val="20"/>
                <w:szCs w:val="20"/>
              </w:rPr>
            </w:pPr>
            <w:r>
              <w:rPr>
                <w:color w:val="000000"/>
                <w:kern w:val="0"/>
                <w:sz w:val="20"/>
                <w:szCs w:val="20"/>
              </w:rPr>
              <w:t>三级指标</w:t>
            </w:r>
          </w:p>
        </w:tc>
        <w:tc>
          <w:tcPr>
            <w:tcW w:w="665" w:type="pct"/>
            <w:vAlign w:val="center"/>
          </w:tcPr>
          <w:p>
            <w:pPr>
              <w:widowControl/>
              <w:spacing w:line="200" w:lineRule="exact"/>
              <w:jc w:val="center"/>
              <w:textAlignment w:val="center"/>
              <w:rPr>
                <w:color w:val="000000"/>
                <w:sz w:val="20"/>
                <w:szCs w:val="20"/>
              </w:rPr>
            </w:pPr>
            <w:r>
              <w:rPr>
                <w:color w:val="000000"/>
                <w:kern w:val="0"/>
                <w:sz w:val="20"/>
                <w:szCs w:val="20"/>
              </w:rPr>
              <w:t>指标值</w:t>
            </w:r>
          </w:p>
        </w:tc>
        <w:tc>
          <w:tcPr>
            <w:tcW w:w="667" w:type="pct"/>
            <w:vAlign w:val="center"/>
          </w:tcPr>
          <w:p>
            <w:pPr>
              <w:widowControl/>
              <w:spacing w:line="200" w:lineRule="exact"/>
              <w:jc w:val="center"/>
              <w:textAlignment w:val="center"/>
              <w:rPr>
                <w:color w:val="000000"/>
                <w:sz w:val="20"/>
                <w:szCs w:val="20"/>
              </w:rPr>
            </w:pPr>
            <w:r>
              <w:rPr>
                <w:color w:val="000000"/>
                <w:kern w:val="0"/>
                <w:sz w:val="20"/>
                <w:szCs w:val="20"/>
              </w:rPr>
              <w:t>全年实际完成值</w:t>
            </w:r>
          </w:p>
        </w:tc>
        <w:tc>
          <w:tcPr>
            <w:tcW w:w="776" w:type="pct"/>
            <w:vAlign w:val="center"/>
          </w:tcPr>
          <w:p>
            <w:pPr>
              <w:widowControl/>
              <w:spacing w:line="200" w:lineRule="exact"/>
              <w:jc w:val="center"/>
              <w:textAlignment w:val="center"/>
              <w:rPr>
                <w:color w:val="000000"/>
                <w:sz w:val="20"/>
                <w:szCs w:val="20"/>
              </w:rPr>
            </w:pPr>
            <w:r>
              <w:rPr>
                <w:color w:val="000000"/>
                <w:kern w:val="0"/>
                <w:sz w:val="20"/>
                <w:szCs w:val="20"/>
              </w:rPr>
              <w:t>未完成原因和改进措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Merge w:val="continue"/>
            <w:textDirection w:val="tbRlV"/>
            <w:vAlign w:val="center"/>
          </w:tcPr>
          <w:p>
            <w:pPr>
              <w:widowControl/>
              <w:spacing w:line="200" w:lineRule="exact"/>
              <w:jc w:val="center"/>
              <w:rPr>
                <w:color w:val="000000"/>
                <w:sz w:val="20"/>
                <w:szCs w:val="20"/>
              </w:rPr>
            </w:pPr>
          </w:p>
        </w:tc>
        <w:tc>
          <w:tcPr>
            <w:tcW w:w="292"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产</w:t>
            </w:r>
          </w:p>
          <w:p>
            <w:pPr>
              <w:widowControl/>
              <w:spacing w:line="200" w:lineRule="exact"/>
              <w:jc w:val="center"/>
              <w:textAlignment w:val="center"/>
              <w:rPr>
                <w:color w:val="000000"/>
                <w:kern w:val="0"/>
                <w:sz w:val="20"/>
                <w:szCs w:val="20"/>
              </w:rPr>
            </w:pPr>
            <w:r>
              <w:rPr>
                <w:color w:val="000000"/>
                <w:kern w:val="0"/>
                <w:sz w:val="20"/>
                <w:szCs w:val="20"/>
              </w:rPr>
              <w:t>出</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64" w:type="pct"/>
            <w:vMerge w:val="restart"/>
            <w:vAlign w:val="center"/>
          </w:tcPr>
          <w:p>
            <w:pPr>
              <w:widowControl/>
              <w:spacing w:line="200" w:lineRule="exact"/>
              <w:jc w:val="center"/>
              <w:textAlignment w:val="center"/>
              <w:rPr>
                <w:color w:val="000000"/>
                <w:sz w:val="20"/>
                <w:szCs w:val="20"/>
              </w:rPr>
            </w:pPr>
            <w:r>
              <w:rPr>
                <w:color w:val="000000"/>
                <w:kern w:val="0"/>
                <w:sz w:val="20"/>
                <w:szCs w:val="20"/>
              </w:rPr>
              <w:t>数量指标</w:t>
            </w:r>
          </w:p>
        </w:tc>
        <w:tc>
          <w:tcPr>
            <w:tcW w:w="1497" w:type="pct"/>
            <w:gridSpan w:val="2"/>
            <w:vAlign w:val="center"/>
          </w:tcPr>
          <w:p>
            <w:pPr>
              <w:widowControl/>
              <w:spacing w:line="200" w:lineRule="exact"/>
              <w:jc w:val="center"/>
              <w:rPr>
                <w:color w:val="000000"/>
                <w:sz w:val="20"/>
                <w:szCs w:val="20"/>
              </w:rPr>
            </w:pPr>
            <w:r>
              <w:rPr>
                <w:color w:val="000000"/>
                <w:sz w:val="20"/>
                <w:szCs w:val="20"/>
              </w:rPr>
              <w:t>完成已挂牌古树名木保护</w:t>
            </w:r>
          </w:p>
        </w:tc>
        <w:tc>
          <w:tcPr>
            <w:tcW w:w="665" w:type="pct"/>
            <w:vAlign w:val="center"/>
          </w:tcPr>
          <w:p>
            <w:pPr>
              <w:widowControl/>
              <w:spacing w:line="200" w:lineRule="exact"/>
              <w:jc w:val="center"/>
              <w:rPr>
                <w:color w:val="000000"/>
                <w:sz w:val="20"/>
                <w:szCs w:val="20"/>
              </w:rPr>
            </w:pPr>
            <w:r>
              <w:rPr>
                <w:color w:val="000000"/>
                <w:sz w:val="20"/>
                <w:szCs w:val="20"/>
              </w:rPr>
              <w:t>＝113株</w:t>
            </w:r>
          </w:p>
        </w:tc>
        <w:tc>
          <w:tcPr>
            <w:tcW w:w="667" w:type="pct"/>
            <w:vAlign w:val="center"/>
          </w:tcPr>
          <w:p>
            <w:pPr>
              <w:widowControl/>
              <w:spacing w:line="200" w:lineRule="exact"/>
              <w:jc w:val="center"/>
              <w:rPr>
                <w:color w:val="000000"/>
                <w:sz w:val="20"/>
                <w:szCs w:val="20"/>
              </w:rPr>
            </w:pPr>
            <w:r>
              <w:rPr>
                <w:color w:val="000000"/>
                <w:sz w:val="20"/>
                <w:szCs w:val="20"/>
              </w:rPr>
              <w:t>113</w:t>
            </w:r>
          </w:p>
        </w:tc>
        <w:tc>
          <w:tcPr>
            <w:tcW w:w="776"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Merge w:val="continue"/>
            <w:textDirection w:val="tbRlV"/>
            <w:vAlign w:val="center"/>
          </w:tcPr>
          <w:p>
            <w:pPr>
              <w:widowControl/>
              <w:spacing w:line="200" w:lineRule="exact"/>
              <w:jc w:val="center"/>
              <w:rPr>
                <w:color w:val="000000"/>
                <w:sz w:val="20"/>
                <w:szCs w:val="20"/>
              </w:rPr>
            </w:pPr>
          </w:p>
        </w:tc>
        <w:tc>
          <w:tcPr>
            <w:tcW w:w="292" w:type="pct"/>
            <w:vMerge w:val="continue"/>
            <w:vAlign w:val="center"/>
          </w:tcPr>
          <w:p>
            <w:pPr>
              <w:widowControl/>
              <w:spacing w:line="200" w:lineRule="exact"/>
              <w:jc w:val="center"/>
              <w:rPr>
                <w:color w:val="000000"/>
                <w:sz w:val="20"/>
                <w:szCs w:val="20"/>
              </w:rPr>
            </w:pPr>
          </w:p>
        </w:tc>
        <w:tc>
          <w:tcPr>
            <w:tcW w:w="664" w:type="pct"/>
            <w:vMerge w:val="continue"/>
            <w:vAlign w:val="center"/>
          </w:tcPr>
          <w:p>
            <w:pPr>
              <w:widowControl/>
              <w:spacing w:line="200" w:lineRule="exact"/>
              <w:jc w:val="center"/>
              <w:rPr>
                <w:color w:val="000000"/>
                <w:sz w:val="20"/>
                <w:szCs w:val="20"/>
              </w:rPr>
            </w:pPr>
          </w:p>
        </w:tc>
        <w:tc>
          <w:tcPr>
            <w:tcW w:w="1497" w:type="pct"/>
            <w:gridSpan w:val="2"/>
            <w:vAlign w:val="center"/>
          </w:tcPr>
          <w:p>
            <w:pPr>
              <w:widowControl/>
              <w:spacing w:line="200" w:lineRule="exact"/>
              <w:jc w:val="center"/>
              <w:rPr>
                <w:color w:val="000000"/>
                <w:sz w:val="20"/>
                <w:szCs w:val="20"/>
              </w:rPr>
            </w:pPr>
            <w:r>
              <w:rPr>
                <w:color w:val="000000"/>
                <w:sz w:val="20"/>
                <w:szCs w:val="20"/>
              </w:rPr>
              <w:t>古树名木保护宣传教育</w:t>
            </w:r>
          </w:p>
        </w:tc>
        <w:tc>
          <w:tcPr>
            <w:tcW w:w="665" w:type="pct"/>
            <w:vAlign w:val="center"/>
          </w:tcPr>
          <w:p>
            <w:pPr>
              <w:widowControl/>
              <w:spacing w:line="200" w:lineRule="exact"/>
              <w:jc w:val="center"/>
              <w:rPr>
                <w:color w:val="000000"/>
                <w:sz w:val="20"/>
                <w:szCs w:val="20"/>
              </w:rPr>
            </w:pPr>
            <w:r>
              <w:rPr>
                <w:color w:val="000000"/>
                <w:sz w:val="20"/>
                <w:szCs w:val="20"/>
              </w:rPr>
              <w:t>≥2次</w:t>
            </w:r>
          </w:p>
        </w:tc>
        <w:tc>
          <w:tcPr>
            <w:tcW w:w="667" w:type="pct"/>
            <w:vAlign w:val="center"/>
          </w:tcPr>
          <w:p>
            <w:pPr>
              <w:widowControl/>
              <w:spacing w:line="200" w:lineRule="exact"/>
              <w:jc w:val="center"/>
              <w:rPr>
                <w:color w:val="000000"/>
                <w:sz w:val="20"/>
                <w:szCs w:val="20"/>
              </w:rPr>
            </w:pPr>
            <w:r>
              <w:rPr>
                <w:color w:val="000000"/>
                <w:sz w:val="20"/>
                <w:szCs w:val="20"/>
              </w:rPr>
              <w:t>3次</w:t>
            </w:r>
          </w:p>
        </w:tc>
        <w:tc>
          <w:tcPr>
            <w:tcW w:w="776"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Merge w:val="continue"/>
            <w:textDirection w:val="tbRlV"/>
            <w:vAlign w:val="center"/>
          </w:tcPr>
          <w:p>
            <w:pPr>
              <w:widowControl/>
              <w:spacing w:line="200" w:lineRule="exact"/>
              <w:jc w:val="center"/>
              <w:rPr>
                <w:color w:val="000000"/>
                <w:sz w:val="20"/>
                <w:szCs w:val="20"/>
              </w:rPr>
            </w:pPr>
          </w:p>
        </w:tc>
        <w:tc>
          <w:tcPr>
            <w:tcW w:w="292" w:type="pct"/>
            <w:vMerge w:val="continue"/>
            <w:vAlign w:val="center"/>
          </w:tcPr>
          <w:p>
            <w:pPr>
              <w:widowControl/>
              <w:spacing w:line="200" w:lineRule="exact"/>
              <w:jc w:val="center"/>
              <w:rPr>
                <w:color w:val="000000"/>
                <w:sz w:val="20"/>
                <w:szCs w:val="20"/>
              </w:rPr>
            </w:pPr>
          </w:p>
        </w:tc>
        <w:tc>
          <w:tcPr>
            <w:tcW w:w="664" w:type="pct"/>
            <w:vMerge w:val="continue"/>
            <w:vAlign w:val="center"/>
          </w:tcPr>
          <w:p>
            <w:pPr>
              <w:widowControl/>
              <w:spacing w:line="200" w:lineRule="exact"/>
              <w:jc w:val="center"/>
              <w:rPr>
                <w:color w:val="000000"/>
                <w:sz w:val="20"/>
                <w:szCs w:val="20"/>
              </w:rPr>
            </w:pPr>
          </w:p>
        </w:tc>
        <w:tc>
          <w:tcPr>
            <w:tcW w:w="1497" w:type="pct"/>
            <w:gridSpan w:val="2"/>
            <w:vAlign w:val="center"/>
          </w:tcPr>
          <w:p>
            <w:pPr>
              <w:widowControl/>
              <w:spacing w:line="200" w:lineRule="exact"/>
              <w:jc w:val="center"/>
              <w:rPr>
                <w:color w:val="000000"/>
                <w:sz w:val="20"/>
                <w:szCs w:val="20"/>
              </w:rPr>
            </w:pPr>
            <w:r>
              <w:rPr>
                <w:color w:val="000000"/>
                <w:sz w:val="20"/>
                <w:szCs w:val="20"/>
              </w:rPr>
              <w:t>森林病虫害防治</w:t>
            </w:r>
          </w:p>
        </w:tc>
        <w:tc>
          <w:tcPr>
            <w:tcW w:w="665" w:type="pct"/>
            <w:vAlign w:val="center"/>
          </w:tcPr>
          <w:p>
            <w:pPr>
              <w:widowControl/>
              <w:spacing w:line="200" w:lineRule="exact"/>
              <w:jc w:val="center"/>
              <w:rPr>
                <w:color w:val="000000"/>
                <w:sz w:val="20"/>
                <w:szCs w:val="20"/>
              </w:rPr>
            </w:pPr>
            <w:r>
              <w:rPr>
                <w:color w:val="000000"/>
                <w:sz w:val="20"/>
                <w:szCs w:val="20"/>
              </w:rPr>
              <w:t>≥1次</w:t>
            </w:r>
          </w:p>
        </w:tc>
        <w:tc>
          <w:tcPr>
            <w:tcW w:w="667" w:type="pct"/>
            <w:vAlign w:val="center"/>
          </w:tcPr>
          <w:p>
            <w:pPr>
              <w:widowControl/>
              <w:spacing w:line="200" w:lineRule="exact"/>
              <w:jc w:val="center"/>
              <w:rPr>
                <w:color w:val="000000"/>
                <w:sz w:val="20"/>
                <w:szCs w:val="20"/>
              </w:rPr>
            </w:pPr>
            <w:r>
              <w:rPr>
                <w:color w:val="000000"/>
                <w:sz w:val="20"/>
                <w:szCs w:val="20"/>
              </w:rPr>
              <w:t>1次</w:t>
            </w:r>
          </w:p>
        </w:tc>
        <w:tc>
          <w:tcPr>
            <w:tcW w:w="776"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Merge w:val="continue"/>
            <w:textDirection w:val="tbRlV"/>
            <w:vAlign w:val="center"/>
          </w:tcPr>
          <w:p>
            <w:pPr>
              <w:widowControl/>
              <w:spacing w:line="200" w:lineRule="exact"/>
              <w:jc w:val="center"/>
              <w:rPr>
                <w:color w:val="000000"/>
                <w:sz w:val="20"/>
                <w:szCs w:val="20"/>
              </w:rPr>
            </w:pPr>
          </w:p>
        </w:tc>
        <w:tc>
          <w:tcPr>
            <w:tcW w:w="292" w:type="pct"/>
            <w:vMerge w:val="continue"/>
            <w:vAlign w:val="center"/>
          </w:tcPr>
          <w:p>
            <w:pPr>
              <w:widowControl/>
              <w:spacing w:line="200" w:lineRule="exact"/>
              <w:jc w:val="center"/>
              <w:rPr>
                <w:color w:val="000000"/>
                <w:sz w:val="20"/>
                <w:szCs w:val="20"/>
              </w:rPr>
            </w:pPr>
          </w:p>
        </w:tc>
        <w:tc>
          <w:tcPr>
            <w:tcW w:w="664" w:type="pct"/>
            <w:vMerge w:val="continue"/>
            <w:vAlign w:val="center"/>
          </w:tcPr>
          <w:p>
            <w:pPr>
              <w:widowControl/>
              <w:spacing w:line="200" w:lineRule="exact"/>
              <w:jc w:val="center"/>
              <w:rPr>
                <w:color w:val="000000"/>
                <w:sz w:val="20"/>
                <w:szCs w:val="20"/>
              </w:rPr>
            </w:pPr>
          </w:p>
        </w:tc>
        <w:tc>
          <w:tcPr>
            <w:tcW w:w="1497" w:type="pct"/>
            <w:gridSpan w:val="2"/>
            <w:vAlign w:val="center"/>
          </w:tcPr>
          <w:p>
            <w:pPr>
              <w:widowControl/>
              <w:spacing w:line="200" w:lineRule="exact"/>
              <w:jc w:val="center"/>
              <w:rPr>
                <w:color w:val="000000"/>
                <w:sz w:val="20"/>
                <w:szCs w:val="20"/>
              </w:rPr>
            </w:pPr>
            <w:r>
              <w:rPr>
                <w:color w:val="000000"/>
                <w:sz w:val="20"/>
                <w:szCs w:val="20"/>
              </w:rPr>
              <w:t>古树名木监督检查</w:t>
            </w:r>
          </w:p>
        </w:tc>
        <w:tc>
          <w:tcPr>
            <w:tcW w:w="665" w:type="pct"/>
            <w:vAlign w:val="center"/>
          </w:tcPr>
          <w:p>
            <w:pPr>
              <w:widowControl/>
              <w:spacing w:line="200" w:lineRule="exact"/>
              <w:jc w:val="center"/>
              <w:rPr>
                <w:color w:val="000000"/>
                <w:sz w:val="20"/>
                <w:szCs w:val="20"/>
              </w:rPr>
            </w:pPr>
            <w:r>
              <w:rPr>
                <w:color w:val="000000"/>
                <w:sz w:val="20"/>
                <w:szCs w:val="20"/>
              </w:rPr>
              <w:t>≥4次</w:t>
            </w:r>
          </w:p>
        </w:tc>
        <w:tc>
          <w:tcPr>
            <w:tcW w:w="667" w:type="pct"/>
            <w:vAlign w:val="center"/>
          </w:tcPr>
          <w:p>
            <w:pPr>
              <w:widowControl/>
              <w:spacing w:line="200" w:lineRule="exact"/>
              <w:jc w:val="center"/>
              <w:rPr>
                <w:color w:val="000000"/>
                <w:sz w:val="20"/>
                <w:szCs w:val="20"/>
              </w:rPr>
            </w:pPr>
            <w:r>
              <w:rPr>
                <w:color w:val="000000"/>
                <w:sz w:val="20"/>
                <w:szCs w:val="20"/>
              </w:rPr>
              <w:t>4次</w:t>
            </w:r>
          </w:p>
        </w:tc>
        <w:tc>
          <w:tcPr>
            <w:tcW w:w="776"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Merge w:val="continue"/>
            <w:textDirection w:val="tbRlV"/>
            <w:vAlign w:val="center"/>
          </w:tcPr>
          <w:p>
            <w:pPr>
              <w:widowControl/>
              <w:spacing w:line="200" w:lineRule="exact"/>
              <w:jc w:val="center"/>
              <w:rPr>
                <w:color w:val="000000"/>
                <w:sz w:val="20"/>
                <w:szCs w:val="20"/>
              </w:rPr>
            </w:pPr>
          </w:p>
        </w:tc>
        <w:tc>
          <w:tcPr>
            <w:tcW w:w="292" w:type="pct"/>
            <w:vMerge w:val="continue"/>
            <w:vAlign w:val="center"/>
          </w:tcPr>
          <w:p>
            <w:pPr>
              <w:widowControl/>
              <w:spacing w:line="200" w:lineRule="exact"/>
              <w:jc w:val="center"/>
              <w:rPr>
                <w:color w:val="000000"/>
                <w:sz w:val="20"/>
                <w:szCs w:val="20"/>
              </w:rPr>
            </w:pPr>
          </w:p>
        </w:tc>
        <w:tc>
          <w:tcPr>
            <w:tcW w:w="664" w:type="pct"/>
            <w:vMerge w:val="restart"/>
            <w:vAlign w:val="center"/>
          </w:tcPr>
          <w:p>
            <w:pPr>
              <w:widowControl/>
              <w:spacing w:line="200" w:lineRule="exact"/>
              <w:jc w:val="center"/>
              <w:textAlignment w:val="center"/>
              <w:rPr>
                <w:color w:val="000000"/>
                <w:sz w:val="20"/>
                <w:szCs w:val="20"/>
              </w:rPr>
            </w:pPr>
            <w:r>
              <w:rPr>
                <w:color w:val="000000"/>
                <w:kern w:val="0"/>
                <w:sz w:val="20"/>
                <w:szCs w:val="20"/>
              </w:rPr>
              <w:t>质量指标</w:t>
            </w:r>
          </w:p>
        </w:tc>
        <w:tc>
          <w:tcPr>
            <w:tcW w:w="1497" w:type="pct"/>
            <w:gridSpan w:val="2"/>
            <w:vAlign w:val="center"/>
          </w:tcPr>
          <w:p>
            <w:pPr>
              <w:widowControl/>
              <w:spacing w:line="200" w:lineRule="exact"/>
              <w:jc w:val="center"/>
              <w:rPr>
                <w:color w:val="000000"/>
                <w:sz w:val="20"/>
                <w:szCs w:val="20"/>
              </w:rPr>
            </w:pPr>
            <w:r>
              <w:rPr>
                <w:color w:val="000000"/>
                <w:sz w:val="20"/>
                <w:szCs w:val="20"/>
              </w:rPr>
              <w:t>已挂牌古树名木保护覆盖率</w:t>
            </w:r>
          </w:p>
        </w:tc>
        <w:tc>
          <w:tcPr>
            <w:tcW w:w="665" w:type="pct"/>
            <w:vAlign w:val="center"/>
          </w:tcPr>
          <w:p>
            <w:pPr>
              <w:widowControl/>
              <w:spacing w:line="200" w:lineRule="exact"/>
              <w:jc w:val="center"/>
              <w:rPr>
                <w:color w:val="000000"/>
                <w:sz w:val="20"/>
                <w:szCs w:val="20"/>
              </w:rPr>
            </w:pPr>
            <w:r>
              <w:rPr>
                <w:color w:val="000000"/>
                <w:sz w:val="20"/>
                <w:szCs w:val="20"/>
              </w:rPr>
              <w:t>≥100%</w:t>
            </w:r>
          </w:p>
        </w:tc>
        <w:tc>
          <w:tcPr>
            <w:tcW w:w="667" w:type="pct"/>
            <w:vAlign w:val="center"/>
          </w:tcPr>
          <w:p>
            <w:pPr>
              <w:widowControl/>
              <w:spacing w:line="200" w:lineRule="exact"/>
              <w:jc w:val="center"/>
              <w:rPr>
                <w:color w:val="000000"/>
                <w:sz w:val="20"/>
                <w:szCs w:val="20"/>
              </w:rPr>
            </w:pPr>
            <w:r>
              <w:rPr>
                <w:color w:val="000000"/>
                <w:sz w:val="20"/>
                <w:szCs w:val="20"/>
              </w:rPr>
              <w:t>100%</w:t>
            </w:r>
          </w:p>
        </w:tc>
        <w:tc>
          <w:tcPr>
            <w:tcW w:w="776"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Merge w:val="continue"/>
            <w:textDirection w:val="tbRlV"/>
            <w:vAlign w:val="center"/>
          </w:tcPr>
          <w:p>
            <w:pPr>
              <w:widowControl/>
              <w:spacing w:line="200" w:lineRule="exact"/>
              <w:jc w:val="center"/>
              <w:rPr>
                <w:color w:val="000000"/>
                <w:sz w:val="20"/>
                <w:szCs w:val="20"/>
              </w:rPr>
            </w:pPr>
          </w:p>
        </w:tc>
        <w:tc>
          <w:tcPr>
            <w:tcW w:w="292" w:type="pct"/>
            <w:vMerge w:val="continue"/>
            <w:vAlign w:val="center"/>
          </w:tcPr>
          <w:p>
            <w:pPr>
              <w:widowControl/>
              <w:spacing w:line="200" w:lineRule="exact"/>
              <w:jc w:val="center"/>
              <w:rPr>
                <w:color w:val="000000"/>
                <w:sz w:val="20"/>
                <w:szCs w:val="20"/>
              </w:rPr>
            </w:pPr>
          </w:p>
        </w:tc>
        <w:tc>
          <w:tcPr>
            <w:tcW w:w="664" w:type="pct"/>
            <w:vMerge w:val="continue"/>
            <w:vAlign w:val="center"/>
          </w:tcPr>
          <w:p>
            <w:pPr>
              <w:widowControl/>
              <w:spacing w:line="200" w:lineRule="exact"/>
              <w:jc w:val="center"/>
              <w:rPr>
                <w:color w:val="000000"/>
                <w:sz w:val="20"/>
                <w:szCs w:val="20"/>
              </w:rPr>
            </w:pPr>
          </w:p>
        </w:tc>
        <w:tc>
          <w:tcPr>
            <w:tcW w:w="1497" w:type="pct"/>
            <w:gridSpan w:val="2"/>
            <w:vAlign w:val="center"/>
          </w:tcPr>
          <w:p>
            <w:pPr>
              <w:widowControl/>
              <w:spacing w:line="200" w:lineRule="exact"/>
              <w:jc w:val="center"/>
              <w:rPr>
                <w:color w:val="000000"/>
                <w:sz w:val="20"/>
                <w:szCs w:val="20"/>
              </w:rPr>
            </w:pPr>
            <w:r>
              <w:rPr>
                <w:color w:val="000000"/>
                <w:sz w:val="20"/>
                <w:szCs w:val="20"/>
              </w:rPr>
              <w:t>有害生物成灾率</w:t>
            </w:r>
          </w:p>
        </w:tc>
        <w:tc>
          <w:tcPr>
            <w:tcW w:w="665" w:type="pct"/>
            <w:vAlign w:val="center"/>
          </w:tcPr>
          <w:p>
            <w:pPr>
              <w:widowControl/>
              <w:spacing w:line="200" w:lineRule="exact"/>
              <w:jc w:val="center"/>
              <w:rPr>
                <w:color w:val="000000"/>
                <w:sz w:val="20"/>
                <w:szCs w:val="20"/>
              </w:rPr>
            </w:pPr>
            <w:r>
              <w:rPr>
                <w:color w:val="000000"/>
                <w:sz w:val="20"/>
                <w:szCs w:val="20"/>
              </w:rPr>
              <w:t>≤8.5‰</w:t>
            </w:r>
          </w:p>
        </w:tc>
        <w:tc>
          <w:tcPr>
            <w:tcW w:w="667" w:type="pct"/>
            <w:vAlign w:val="center"/>
          </w:tcPr>
          <w:p>
            <w:pPr>
              <w:widowControl/>
              <w:spacing w:line="200" w:lineRule="exact"/>
              <w:jc w:val="center"/>
              <w:rPr>
                <w:color w:val="000000"/>
                <w:sz w:val="20"/>
                <w:szCs w:val="20"/>
              </w:rPr>
            </w:pPr>
            <w:r>
              <w:rPr>
                <w:color w:val="000000"/>
                <w:sz w:val="20"/>
                <w:szCs w:val="20"/>
              </w:rPr>
              <w:t>≤8.5‰</w:t>
            </w:r>
          </w:p>
        </w:tc>
        <w:tc>
          <w:tcPr>
            <w:tcW w:w="776"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Merge w:val="continue"/>
            <w:textDirection w:val="tbRlV"/>
            <w:vAlign w:val="center"/>
          </w:tcPr>
          <w:p>
            <w:pPr>
              <w:widowControl/>
              <w:spacing w:line="200" w:lineRule="exact"/>
              <w:jc w:val="center"/>
              <w:rPr>
                <w:color w:val="000000"/>
                <w:sz w:val="20"/>
                <w:szCs w:val="20"/>
              </w:rPr>
            </w:pPr>
          </w:p>
        </w:tc>
        <w:tc>
          <w:tcPr>
            <w:tcW w:w="292" w:type="pct"/>
            <w:vMerge w:val="continue"/>
            <w:vAlign w:val="center"/>
          </w:tcPr>
          <w:p>
            <w:pPr>
              <w:widowControl/>
              <w:spacing w:line="200" w:lineRule="exact"/>
              <w:jc w:val="center"/>
              <w:rPr>
                <w:color w:val="000000"/>
                <w:sz w:val="20"/>
                <w:szCs w:val="20"/>
              </w:rPr>
            </w:pPr>
          </w:p>
        </w:tc>
        <w:tc>
          <w:tcPr>
            <w:tcW w:w="664" w:type="pct"/>
            <w:vMerge w:val="restart"/>
            <w:vAlign w:val="center"/>
          </w:tcPr>
          <w:p>
            <w:pPr>
              <w:widowControl/>
              <w:spacing w:line="200" w:lineRule="exact"/>
              <w:jc w:val="center"/>
              <w:textAlignment w:val="center"/>
              <w:rPr>
                <w:color w:val="000000"/>
                <w:sz w:val="20"/>
                <w:szCs w:val="20"/>
              </w:rPr>
            </w:pPr>
            <w:r>
              <w:rPr>
                <w:color w:val="000000"/>
                <w:kern w:val="0"/>
                <w:sz w:val="20"/>
                <w:szCs w:val="20"/>
              </w:rPr>
              <w:t>时效指标</w:t>
            </w:r>
          </w:p>
        </w:tc>
        <w:tc>
          <w:tcPr>
            <w:tcW w:w="1497" w:type="pct"/>
            <w:gridSpan w:val="2"/>
            <w:vAlign w:val="center"/>
          </w:tcPr>
          <w:p>
            <w:pPr>
              <w:widowControl/>
              <w:spacing w:line="200" w:lineRule="exact"/>
              <w:jc w:val="center"/>
              <w:rPr>
                <w:color w:val="000000"/>
                <w:sz w:val="20"/>
                <w:szCs w:val="20"/>
              </w:rPr>
            </w:pPr>
            <w:r>
              <w:rPr>
                <w:color w:val="000000"/>
                <w:sz w:val="20"/>
                <w:szCs w:val="20"/>
              </w:rPr>
              <w:t>古树名木管护时间</w:t>
            </w:r>
          </w:p>
        </w:tc>
        <w:tc>
          <w:tcPr>
            <w:tcW w:w="665" w:type="pct"/>
            <w:vAlign w:val="center"/>
          </w:tcPr>
          <w:p>
            <w:pPr>
              <w:widowControl/>
              <w:spacing w:line="200" w:lineRule="exact"/>
              <w:jc w:val="center"/>
              <w:rPr>
                <w:color w:val="000000"/>
                <w:sz w:val="20"/>
                <w:szCs w:val="20"/>
              </w:rPr>
            </w:pPr>
            <w:r>
              <w:rPr>
                <w:color w:val="000000"/>
                <w:sz w:val="20"/>
                <w:szCs w:val="20"/>
              </w:rPr>
              <w:t>2022年底前</w:t>
            </w:r>
          </w:p>
        </w:tc>
        <w:tc>
          <w:tcPr>
            <w:tcW w:w="667" w:type="pct"/>
            <w:vAlign w:val="center"/>
          </w:tcPr>
          <w:p>
            <w:pPr>
              <w:widowControl/>
              <w:spacing w:line="200" w:lineRule="exact"/>
              <w:jc w:val="center"/>
              <w:rPr>
                <w:color w:val="000000"/>
                <w:sz w:val="20"/>
                <w:szCs w:val="20"/>
              </w:rPr>
            </w:pPr>
            <w:r>
              <w:rPr>
                <w:color w:val="000000"/>
                <w:sz w:val="20"/>
                <w:szCs w:val="20"/>
              </w:rPr>
              <w:t>2022年底前</w:t>
            </w:r>
          </w:p>
        </w:tc>
        <w:tc>
          <w:tcPr>
            <w:tcW w:w="776"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Merge w:val="continue"/>
            <w:textDirection w:val="tbRlV"/>
            <w:vAlign w:val="center"/>
          </w:tcPr>
          <w:p>
            <w:pPr>
              <w:widowControl/>
              <w:spacing w:line="200" w:lineRule="exact"/>
              <w:jc w:val="center"/>
              <w:rPr>
                <w:color w:val="000000"/>
                <w:sz w:val="20"/>
                <w:szCs w:val="20"/>
              </w:rPr>
            </w:pPr>
          </w:p>
        </w:tc>
        <w:tc>
          <w:tcPr>
            <w:tcW w:w="292" w:type="pct"/>
            <w:vMerge w:val="continue"/>
            <w:vAlign w:val="center"/>
          </w:tcPr>
          <w:p>
            <w:pPr>
              <w:widowControl/>
              <w:spacing w:line="200" w:lineRule="exact"/>
              <w:jc w:val="center"/>
              <w:rPr>
                <w:color w:val="000000"/>
                <w:sz w:val="20"/>
                <w:szCs w:val="20"/>
              </w:rPr>
            </w:pPr>
          </w:p>
        </w:tc>
        <w:tc>
          <w:tcPr>
            <w:tcW w:w="664" w:type="pct"/>
            <w:vMerge w:val="continue"/>
            <w:vAlign w:val="center"/>
          </w:tcPr>
          <w:p>
            <w:pPr>
              <w:widowControl/>
              <w:spacing w:line="200" w:lineRule="exact"/>
              <w:jc w:val="center"/>
              <w:rPr>
                <w:color w:val="000000"/>
                <w:sz w:val="20"/>
                <w:szCs w:val="20"/>
              </w:rPr>
            </w:pPr>
          </w:p>
        </w:tc>
        <w:tc>
          <w:tcPr>
            <w:tcW w:w="1497" w:type="pct"/>
            <w:gridSpan w:val="2"/>
            <w:vAlign w:val="center"/>
          </w:tcPr>
          <w:p>
            <w:pPr>
              <w:widowControl/>
              <w:spacing w:line="200" w:lineRule="exact"/>
              <w:jc w:val="center"/>
              <w:rPr>
                <w:color w:val="000000"/>
                <w:sz w:val="20"/>
                <w:szCs w:val="20"/>
              </w:rPr>
            </w:pPr>
            <w:r>
              <w:rPr>
                <w:color w:val="000000"/>
                <w:sz w:val="20"/>
                <w:szCs w:val="20"/>
              </w:rPr>
              <w:t>开展宣传教育</w:t>
            </w:r>
          </w:p>
        </w:tc>
        <w:tc>
          <w:tcPr>
            <w:tcW w:w="665" w:type="pct"/>
            <w:vAlign w:val="center"/>
          </w:tcPr>
          <w:p>
            <w:pPr>
              <w:widowControl/>
              <w:spacing w:line="200" w:lineRule="exact"/>
              <w:jc w:val="center"/>
              <w:rPr>
                <w:color w:val="000000"/>
                <w:sz w:val="20"/>
                <w:szCs w:val="20"/>
              </w:rPr>
            </w:pPr>
            <w:r>
              <w:rPr>
                <w:color w:val="000000"/>
                <w:sz w:val="20"/>
                <w:szCs w:val="20"/>
              </w:rPr>
              <w:t>2022年8月前</w:t>
            </w:r>
          </w:p>
        </w:tc>
        <w:tc>
          <w:tcPr>
            <w:tcW w:w="667" w:type="pct"/>
            <w:vAlign w:val="center"/>
          </w:tcPr>
          <w:p>
            <w:pPr>
              <w:widowControl/>
              <w:spacing w:line="200" w:lineRule="exact"/>
              <w:jc w:val="center"/>
              <w:rPr>
                <w:color w:val="000000"/>
                <w:sz w:val="20"/>
                <w:szCs w:val="20"/>
              </w:rPr>
            </w:pPr>
            <w:r>
              <w:rPr>
                <w:color w:val="000000"/>
                <w:sz w:val="20"/>
                <w:szCs w:val="20"/>
              </w:rPr>
              <w:t>2022年8月前</w:t>
            </w:r>
          </w:p>
        </w:tc>
        <w:tc>
          <w:tcPr>
            <w:tcW w:w="776"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Merge w:val="continue"/>
            <w:textDirection w:val="tbRlV"/>
            <w:vAlign w:val="center"/>
          </w:tcPr>
          <w:p>
            <w:pPr>
              <w:widowControl/>
              <w:spacing w:line="200" w:lineRule="exact"/>
              <w:jc w:val="center"/>
              <w:rPr>
                <w:color w:val="000000"/>
                <w:sz w:val="20"/>
                <w:szCs w:val="20"/>
              </w:rPr>
            </w:pPr>
          </w:p>
        </w:tc>
        <w:tc>
          <w:tcPr>
            <w:tcW w:w="292" w:type="pct"/>
            <w:vMerge w:val="continue"/>
            <w:vAlign w:val="center"/>
          </w:tcPr>
          <w:p>
            <w:pPr>
              <w:widowControl/>
              <w:spacing w:line="200" w:lineRule="exact"/>
              <w:jc w:val="center"/>
              <w:rPr>
                <w:color w:val="000000"/>
                <w:sz w:val="20"/>
                <w:szCs w:val="20"/>
              </w:rPr>
            </w:pPr>
          </w:p>
        </w:tc>
        <w:tc>
          <w:tcPr>
            <w:tcW w:w="664" w:type="pct"/>
            <w:vMerge w:val="restart"/>
            <w:vAlign w:val="center"/>
          </w:tcPr>
          <w:p>
            <w:pPr>
              <w:widowControl/>
              <w:spacing w:line="200" w:lineRule="exact"/>
              <w:jc w:val="center"/>
              <w:textAlignment w:val="center"/>
              <w:rPr>
                <w:color w:val="000000"/>
                <w:sz w:val="20"/>
                <w:szCs w:val="20"/>
              </w:rPr>
            </w:pPr>
            <w:r>
              <w:rPr>
                <w:color w:val="000000"/>
                <w:kern w:val="0"/>
                <w:sz w:val="20"/>
                <w:szCs w:val="20"/>
              </w:rPr>
              <w:t>成本指标</w:t>
            </w:r>
          </w:p>
        </w:tc>
        <w:tc>
          <w:tcPr>
            <w:tcW w:w="1497" w:type="pct"/>
            <w:gridSpan w:val="2"/>
            <w:vAlign w:val="center"/>
          </w:tcPr>
          <w:p>
            <w:pPr>
              <w:widowControl/>
              <w:spacing w:line="200" w:lineRule="exact"/>
              <w:jc w:val="center"/>
              <w:rPr>
                <w:color w:val="000000"/>
                <w:sz w:val="20"/>
                <w:szCs w:val="20"/>
              </w:rPr>
            </w:pPr>
            <w:r>
              <w:rPr>
                <w:color w:val="000000"/>
                <w:sz w:val="20"/>
                <w:szCs w:val="20"/>
              </w:rPr>
              <w:t>古树名木保护</w:t>
            </w:r>
          </w:p>
        </w:tc>
        <w:tc>
          <w:tcPr>
            <w:tcW w:w="665" w:type="pct"/>
            <w:vAlign w:val="center"/>
          </w:tcPr>
          <w:p>
            <w:pPr>
              <w:widowControl/>
              <w:spacing w:line="200" w:lineRule="exact"/>
              <w:jc w:val="center"/>
              <w:rPr>
                <w:color w:val="000000"/>
                <w:sz w:val="20"/>
                <w:szCs w:val="20"/>
              </w:rPr>
            </w:pPr>
            <w:r>
              <w:rPr>
                <w:color w:val="000000"/>
                <w:sz w:val="20"/>
                <w:szCs w:val="20"/>
              </w:rPr>
              <w:t>≤30000</w:t>
            </w:r>
          </w:p>
        </w:tc>
        <w:tc>
          <w:tcPr>
            <w:tcW w:w="667" w:type="pct"/>
            <w:vAlign w:val="center"/>
          </w:tcPr>
          <w:p>
            <w:pPr>
              <w:widowControl/>
              <w:spacing w:line="200" w:lineRule="exact"/>
              <w:jc w:val="center"/>
              <w:rPr>
                <w:color w:val="000000"/>
                <w:sz w:val="20"/>
                <w:szCs w:val="20"/>
              </w:rPr>
            </w:pPr>
            <w:r>
              <w:rPr>
                <w:color w:val="000000"/>
                <w:sz w:val="20"/>
                <w:szCs w:val="20"/>
              </w:rPr>
              <w:t>≤30000</w:t>
            </w:r>
          </w:p>
        </w:tc>
        <w:tc>
          <w:tcPr>
            <w:tcW w:w="776"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Merge w:val="continue"/>
            <w:textDirection w:val="tbRlV"/>
            <w:vAlign w:val="center"/>
          </w:tcPr>
          <w:p>
            <w:pPr>
              <w:widowControl/>
              <w:spacing w:line="200" w:lineRule="exact"/>
              <w:jc w:val="center"/>
              <w:rPr>
                <w:color w:val="000000"/>
                <w:sz w:val="20"/>
                <w:szCs w:val="20"/>
              </w:rPr>
            </w:pPr>
          </w:p>
        </w:tc>
        <w:tc>
          <w:tcPr>
            <w:tcW w:w="292" w:type="pct"/>
            <w:vMerge w:val="continue"/>
            <w:vAlign w:val="center"/>
          </w:tcPr>
          <w:p>
            <w:pPr>
              <w:widowControl/>
              <w:spacing w:line="200" w:lineRule="exact"/>
              <w:jc w:val="center"/>
              <w:rPr>
                <w:color w:val="000000"/>
                <w:sz w:val="20"/>
                <w:szCs w:val="20"/>
              </w:rPr>
            </w:pPr>
          </w:p>
        </w:tc>
        <w:tc>
          <w:tcPr>
            <w:tcW w:w="664" w:type="pct"/>
            <w:vMerge w:val="continue"/>
            <w:vAlign w:val="center"/>
          </w:tcPr>
          <w:p>
            <w:pPr>
              <w:widowControl/>
              <w:spacing w:line="200" w:lineRule="exact"/>
              <w:jc w:val="center"/>
              <w:rPr>
                <w:color w:val="000000"/>
                <w:sz w:val="20"/>
                <w:szCs w:val="20"/>
              </w:rPr>
            </w:pPr>
          </w:p>
        </w:tc>
        <w:tc>
          <w:tcPr>
            <w:tcW w:w="1497" w:type="pct"/>
            <w:gridSpan w:val="2"/>
            <w:vAlign w:val="center"/>
          </w:tcPr>
          <w:p>
            <w:pPr>
              <w:widowControl/>
              <w:spacing w:line="200" w:lineRule="exact"/>
              <w:jc w:val="center"/>
              <w:rPr>
                <w:color w:val="000000"/>
                <w:sz w:val="20"/>
                <w:szCs w:val="20"/>
              </w:rPr>
            </w:pPr>
            <w:r>
              <w:rPr>
                <w:color w:val="000000"/>
                <w:sz w:val="20"/>
                <w:szCs w:val="20"/>
              </w:rPr>
              <w:t>宣传教育</w:t>
            </w:r>
          </w:p>
        </w:tc>
        <w:tc>
          <w:tcPr>
            <w:tcW w:w="665" w:type="pct"/>
            <w:vAlign w:val="center"/>
          </w:tcPr>
          <w:p>
            <w:pPr>
              <w:widowControl/>
              <w:spacing w:line="200" w:lineRule="exact"/>
              <w:jc w:val="center"/>
              <w:rPr>
                <w:color w:val="000000"/>
                <w:sz w:val="20"/>
                <w:szCs w:val="20"/>
              </w:rPr>
            </w:pPr>
            <w:r>
              <w:rPr>
                <w:color w:val="000000"/>
                <w:sz w:val="20"/>
                <w:szCs w:val="20"/>
              </w:rPr>
              <w:t>≤9300</w:t>
            </w:r>
          </w:p>
        </w:tc>
        <w:tc>
          <w:tcPr>
            <w:tcW w:w="667" w:type="pct"/>
            <w:vAlign w:val="center"/>
          </w:tcPr>
          <w:p>
            <w:pPr>
              <w:widowControl/>
              <w:spacing w:line="200" w:lineRule="exact"/>
              <w:jc w:val="center"/>
              <w:rPr>
                <w:color w:val="000000"/>
                <w:sz w:val="20"/>
                <w:szCs w:val="20"/>
              </w:rPr>
            </w:pPr>
            <w:r>
              <w:rPr>
                <w:color w:val="000000"/>
                <w:sz w:val="20"/>
                <w:szCs w:val="20"/>
              </w:rPr>
              <w:t>≤9300</w:t>
            </w:r>
          </w:p>
        </w:tc>
        <w:tc>
          <w:tcPr>
            <w:tcW w:w="776"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Merge w:val="continue"/>
            <w:textDirection w:val="tbRlV"/>
            <w:vAlign w:val="center"/>
          </w:tcPr>
          <w:p>
            <w:pPr>
              <w:widowControl/>
              <w:spacing w:line="200" w:lineRule="exact"/>
              <w:jc w:val="center"/>
              <w:rPr>
                <w:color w:val="000000"/>
                <w:sz w:val="20"/>
                <w:szCs w:val="20"/>
              </w:rPr>
            </w:pPr>
          </w:p>
        </w:tc>
        <w:tc>
          <w:tcPr>
            <w:tcW w:w="292"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效</w:t>
            </w:r>
          </w:p>
          <w:p>
            <w:pPr>
              <w:widowControl/>
              <w:spacing w:line="200" w:lineRule="exact"/>
              <w:jc w:val="center"/>
              <w:textAlignment w:val="center"/>
              <w:rPr>
                <w:color w:val="000000"/>
                <w:kern w:val="0"/>
                <w:sz w:val="20"/>
                <w:szCs w:val="20"/>
              </w:rPr>
            </w:pPr>
            <w:r>
              <w:rPr>
                <w:color w:val="000000"/>
                <w:kern w:val="0"/>
                <w:sz w:val="20"/>
                <w:szCs w:val="20"/>
              </w:rPr>
              <w:t>益</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64"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经济效益</w:t>
            </w:r>
          </w:p>
          <w:p>
            <w:pPr>
              <w:widowControl/>
              <w:spacing w:line="200" w:lineRule="exact"/>
              <w:jc w:val="center"/>
              <w:textAlignment w:val="center"/>
              <w:rPr>
                <w:color w:val="000000"/>
                <w:sz w:val="20"/>
                <w:szCs w:val="20"/>
              </w:rPr>
            </w:pPr>
            <w:r>
              <w:rPr>
                <w:color w:val="000000"/>
                <w:kern w:val="0"/>
                <w:sz w:val="20"/>
                <w:szCs w:val="20"/>
              </w:rPr>
              <w:t>指标</w:t>
            </w:r>
          </w:p>
        </w:tc>
        <w:tc>
          <w:tcPr>
            <w:tcW w:w="1497" w:type="pct"/>
            <w:gridSpan w:val="2"/>
            <w:vAlign w:val="center"/>
          </w:tcPr>
          <w:p>
            <w:pPr>
              <w:widowControl/>
              <w:spacing w:line="200" w:lineRule="exact"/>
              <w:jc w:val="center"/>
              <w:rPr>
                <w:color w:val="000000"/>
                <w:sz w:val="20"/>
                <w:szCs w:val="20"/>
              </w:rPr>
            </w:pPr>
          </w:p>
        </w:tc>
        <w:tc>
          <w:tcPr>
            <w:tcW w:w="665" w:type="pct"/>
            <w:vAlign w:val="center"/>
          </w:tcPr>
          <w:p>
            <w:pPr>
              <w:widowControl/>
              <w:spacing w:line="200" w:lineRule="exact"/>
              <w:jc w:val="center"/>
              <w:rPr>
                <w:color w:val="000000"/>
                <w:sz w:val="20"/>
                <w:szCs w:val="20"/>
              </w:rPr>
            </w:pPr>
          </w:p>
        </w:tc>
        <w:tc>
          <w:tcPr>
            <w:tcW w:w="667" w:type="pct"/>
            <w:vAlign w:val="center"/>
          </w:tcPr>
          <w:p>
            <w:pPr>
              <w:widowControl/>
              <w:spacing w:line="200" w:lineRule="exact"/>
              <w:jc w:val="center"/>
              <w:rPr>
                <w:color w:val="000000"/>
                <w:sz w:val="20"/>
                <w:szCs w:val="20"/>
              </w:rPr>
            </w:pPr>
          </w:p>
        </w:tc>
        <w:tc>
          <w:tcPr>
            <w:tcW w:w="776"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Merge w:val="continue"/>
            <w:textDirection w:val="tbRlV"/>
            <w:vAlign w:val="center"/>
          </w:tcPr>
          <w:p>
            <w:pPr>
              <w:widowControl/>
              <w:spacing w:line="200" w:lineRule="exact"/>
              <w:jc w:val="center"/>
              <w:rPr>
                <w:color w:val="000000"/>
                <w:sz w:val="20"/>
                <w:szCs w:val="20"/>
              </w:rPr>
            </w:pPr>
          </w:p>
        </w:tc>
        <w:tc>
          <w:tcPr>
            <w:tcW w:w="292" w:type="pct"/>
            <w:vMerge w:val="continue"/>
            <w:vAlign w:val="center"/>
          </w:tcPr>
          <w:p>
            <w:pPr>
              <w:widowControl/>
              <w:spacing w:line="200" w:lineRule="exact"/>
              <w:jc w:val="center"/>
              <w:rPr>
                <w:color w:val="000000"/>
                <w:sz w:val="20"/>
                <w:szCs w:val="20"/>
              </w:rPr>
            </w:pPr>
          </w:p>
        </w:tc>
        <w:tc>
          <w:tcPr>
            <w:tcW w:w="664" w:type="pct"/>
            <w:vMerge w:val="continue"/>
            <w:vAlign w:val="center"/>
          </w:tcPr>
          <w:p>
            <w:pPr>
              <w:widowControl/>
              <w:spacing w:line="200" w:lineRule="exact"/>
              <w:jc w:val="center"/>
              <w:rPr>
                <w:color w:val="000000"/>
                <w:sz w:val="20"/>
                <w:szCs w:val="20"/>
              </w:rPr>
            </w:pPr>
          </w:p>
        </w:tc>
        <w:tc>
          <w:tcPr>
            <w:tcW w:w="1497" w:type="pct"/>
            <w:gridSpan w:val="2"/>
            <w:vAlign w:val="center"/>
          </w:tcPr>
          <w:p>
            <w:pPr>
              <w:widowControl/>
              <w:spacing w:line="200" w:lineRule="exact"/>
              <w:jc w:val="center"/>
              <w:rPr>
                <w:color w:val="000000"/>
                <w:sz w:val="20"/>
                <w:szCs w:val="20"/>
              </w:rPr>
            </w:pPr>
          </w:p>
        </w:tc>
        <w:tc>
          <w:tcPr>
            <w:tcW w:w="665" w:type="pct"/>
            <w:vAlign w:val="center"/>
          </w:tcPr>
          <w:p>
            <w:pPr>
              <w:widowControl/>
              <w:spacing w:line="200" w:lineRule="exact"/>
              <w:jc w:val="center"/>
              <w:rPr>
                <w:color w:val="000000"/>
                <w:sz w:val="20"/>
                <w:szCs w:val="20"/>
              </w:rPr>
            </w:pPr>
          </w:p>
        </w:tc>
        <w:tc>
          <w:tcPr>
            <w:tcW w:w="667" w:type="pct"/>
            <w:vAlign w:val="center"/>
          </w:tcPr>
          <w:p>
            <w:pPr>
              <w:widowControl/>
              <w:spacing w:line="200" w:lineRule="exact"/>
              <w:jc w:val="center"/>
              <w:rPr>
                <w:color w:val="000000"/>
                <w:sz w:val="20"/>
                <w:szCs w:val="20"/>
              </w:rPr>
            </w:pPr>
          </w:p>
        </w:tc>
        <w:tc>
          <w:tcPr>
            <w:tcW w:w="776"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Merge w:val="continue"/>
            <w:textDirection w:val="tbRlV"/>
            <w:vAlign w:val="center"/>
          </w:tcPr>
          <w:p>
            <w:pPr>
              <w:widowControl/>
              <w:spacing w:line="200" w:lineRule="exact"/>
              <w:jc w:val="center"/>
              <w:rPr>
                <w:color w:val="000000"/>
                <w:sz w:val="20"/>
                <w:szCs w:val="20"/>
              </w:rPr>
            </w:pPr>
          </w:p>
        </w:tc>
        <w:tc>
          <w:tcPr>
            <w:tcW w:w="292" w:type="pct"/>
            <w:vMerge w:val="continue"/>
            <w:vAlign w:val="center"/>
          </w:tcPr>
          <w:p>
            <w:pPr>
              <w:widowControl/>
              <w:spacing w:line="200" w:lineRule="exact"/>
              <w:jc w:val="center"/>
              <w:rPr>
                <w:color w:val="000000"/>
                <w:sz w:val="20"/>
                <w:szCs w:val="20"/>
              </w:rPr>
            </w:pPr>
          </w:p>
        </w:tc>
        <w:tc>
          <w:tcPr>
            <w:tcW w:w="664"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社会效益</w:t>
            </w:r>
          </w:p>
          <w:p>
            <w:pPr>
              <w:widowControl/>
              <w:spacing w:line="200" w:lineRule="exact"/>
              <w:jc w:val="center"/>
              <w:textAlignment w:val="center"/>
              <w:rPr>
                <w:color w:val="000000"/>
                <w:sz w:val="20"/>
                <w:szCs w:val="20"/>
              </w:rPr>
            </w:pPr>
            <w:r>
              <w:rPr>
                <w:color w:val="000000"/>
                <w:kern w:val="0"/>
                <w:sz w:val="20"/>
                <w:szCs w:val="20"/>
              </w:rPr>
              <w:t>指标</w:t>
            </w:r>
          </w:p>
        </w:tc>
        <w:tc>
          <w:tcPr>
            <w:tcW w:w="1497" w:type="pct"/>
            <w:gridSpan w:val="2"/>
            <w:vAlign w:val="center"/>
          </w:tcPr>
          <w:p>
            <w:pPr>
              <w:widowControl/>
              <w:spacing w:line="200" w:lineRule="exact"/>
              <w:jc w:val="center"/>
              <w:rPr>
                <w:color w:val="000000"/>
                <w:sz w:val="20"/>
                <w:szCs w:val="20"/>
              </w:rPr>
            </w:pPr>
            <w:r>
              <w:rPr>
                <w:color w:val="000000"/>
                <w:sz w:val="20"/>
                <w:szCs w:val="20"/>
              </w:rPr>
              <w:t>有效提高古树名木资源保护</w:t>
            </w:r>
          </w:p>
        </w:tc>
        <w:tc>
          <w:tcPr>
            <w:tcW w:w="665" w:type="pct"/>
            <w:vAlign w:val="center"/>
          </w:tcPr>
          <w:p>
            <w:pPr>
              <w:widowControl/>
              <w:spacing w:line="200" w:lineRule="exact"/>
              <w:jc w:val="center"/>
              <w:rPr>
                <w:color w:val="000000"/>
                <w:sz w:val="20"/>
                <w:szCs w:val="20"/>
              </w:rPr>
            </w:pPr>
            <w:r>
              <w:rPr>
                <w:color w:val="000000"/>
                <w:sz w:val="20"/>
                <w:szCs w:val="20"/>
              </w:rPr>
              <w:t>优</w:t>
            </w:r>
          </w:p>
        </w:tc>
        <w:tc>
          <w:tcPr>
            <w:tcW w:w="667" w:type="pct"/>
            <w:vAlign w:val="center"/>
          </w:tcPr>
          <w:p>
            <w:pPr>
              <w:widowControl/>
              <w:spacing w:line="200" w:lineRule="exact"/>
              <w:jc w:val="center"/>
              <w:rPr>
                <w:color w:val="000000"/>
                <w:sz w:val="20"/>
                <w:szCs w:val="20"/>
              </w:rPr>
            </w:pPr>
            <w:r>
              <w:rPr>
                <w:color w:val="000000"/>
                <w:sz w:val="20"/>
                <w:szCs w:val="20"/>
              </w:rPr>
              <w:t>优</w:t>
            </w:r>
          </w:p>
        </w:tc>
        <w:tc>
          <w:tcPr>
            <w:tcW w:w="776"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Merge w:val="continue"/>
            <w:textDirection w:val="tbRlV"/>
            <w:vAlign w:val="center"/>
          </w:tcPr>
          <w:p>
            <w:pPr>
              <w:widowControl/>
              <w:spacing w:line="200" w:lineRule="exact"/>
              <w:jc w:val="center"/>
              <w:rPr>
                <w:color w:val="000000"/>
                <w:sz w:val="20"/>
                <w:szCs w:val="20"/>
              </w:rPr>
            </w:pPr>
          </w:p>
        </w:tc>
        <w:tc>
          <w:tcPr>
            <w:tcW w:w="292" w:type="pct"/>
            <w:vMerge w:val="continue"/>
            <w:vAlign w:val="center"/>
          </w:tcPr>
          <w:p>
            <w:pPr>
              <w:widowControl/>
              <w:spacing w:line="200" w:lineRule="exact"/>
              <w:jc w:val="center"/>
              <w:rPr>
                <w:color w:val="000000"/>
                <w:sz w:val="20"/>
                <w:szCs w:val="20"/>
              </w:rPr>
            </w:pPr>
          </w:p>
        </w:tc>
        <w:tc>
          <w:tcPr>
            <w:tcW w:w="664" w:type="pct"/>
            <w:vMerge w:val="continue"/>
            <w:vAlign w:val="center"/>
          </w:tcPr>
          <w:p>
            <w:pPr>
              <w:widowControl/>
              <w:spacing w:line="200" w:lineRule="exact"/>
              <w:jc w:val="center"/>
              <w:rPr>
                <w:color w:val="000000"/>
                <w:sz w:val="20"/>
                <w:szCs w:val="20"/>
              </w:rPr>
            </w:pPr>
          </w:p>
        </w:tc>
        <w:tc>
          <w:tcPr>
            <w:tcW w:w="1497" w:type="pct"/>
            <w:gridSpan w:val="2"/>
            <w:vAlign w:val="center"/>
          </w:tcPr>
          <w:p>
            <w:pPr>
              <w:widowControl/>
              <w:spacing w:line="200" w:lineRule="exact"/>
              <w:jc w:val="center"/>
              <w:rPr>
                <w:color w:val="000000"/>
                <w:sz w:val="20"/>
                <w:szCs w:val="20"/>
              </w:rPr>
            </w:pPr>
            <w:r>
              <w:rPr>
                <w:color w:val="000000"/>
                <w:sz w:val="20"/>
                <w:szCs w:val="20"/>
              </w:rPr>
              <w:t>增强市民保护意识</w:t>
            </w:r>
          </w:p>
        </w:tc>
        <w:tc>
          <w:tcPr>
            <w:tcW w:w="665" w:type="pct"/>
            <w:vAlign w:val="center"/>
          </w:tcPr>
          <w:p>
            <w:pPr>
              <w:widowControl/>
              <w:spacing w:line="200" w:lineRule="exact"/>
              <w:jc w:val="center"/>
              <w:rPr>
                <w:color w:val="000000"/>
                <w:sz w:val="20"/>
                <w:szCs w:val="20"/>
              </w:rPr>
            </w:pPr>
            <w:r>
              <w:rPr>
                <w:color w:val="000000"/>
                <w:sz w:val="20"/>
                <w:szCs w:val="20"/>
              </w:rPr>
              <w:t>优</w:t>
            </w:r>
          </w:p>
        </w:tc>
        <w:tc>
          <w:tcPr>
            <w:tcW w:w="667" w:type="pct"/>
            <w:vAlign w:val="center"/>
          </w:tcPr>
          <w:p>
            <w:pPr>
              <w:widowControl/>
              <w:spacing w:line="200" w:lineRule="exact"/>
              <w:jc w:val="center"/>
              <w:rPr>
                <w:color w:val="000000"/>
                <w:sz w:val="20"/>
                <w:szCs w:val="20"/>
              </w:rPr>
            </w:pPr>
            <w:r>
              <w:rPr>
                <w:color w:val="000000"/>
                <w:sz w:val="20"/>
                <w:szCs w:val="20"/>
              </w:rPr>
              <w:t>优</w:t>
            </w:r>
          </w:p>
        </w:tc>
        <w:tc>
          <w:tcPr>
            <w:tcW w:w="776"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Merge w:val="continue"/>
            <w:textDirection w:val="tbRlV"/>
            <w:vAlign w:val="center"/>
          </w:tcPr>
          <w:p>
            <w:pPr>
              <w:widowControl/>
              <w:spacing w:line="200" w:lineRule="exact"/>
              <w:jc w:val="center"/>
              <w:rPr>
                <w:color w:val="000000"/>
                <w:sz w:val="20"/>
                <w:szCs w:val="20"/>
              </w:rPr>
            </w:pPr>
          </w:p>
        </w:tc>
        <w:tc>
          <w:tcPr>
            <w:tcW w:w="292" w:type="pct"/>
            <w:vMerge w:val="continue"/>
            <w:vAlign w:val="center"/>
          </w:tcPr>
          <w:p>
            <w:pPr>
              <w:widowControl/>
              <w:spacing w:line="200" w:lineRule="exact"/>
              <w:jc w:val="center"/>
              <w:rPr>
                <w:color w:val="000000"/>
                <w:sz w:val="20"/>
                <w:szCs w:val="20"/>
              </w:rPr>
            </w:pPr>
          </w:p>
        </w:tc>
        <w:tc>
          <w:tcPr>
            <w:tcW w:w="664" w:type="pct"/>
            <w:vAlign w:val="center"/>
          </w:tcPr>
          <w:p>
            <w:pPr>
              <w:widowControl/>
              <w:spacing w:line="200" w:lineRule="exact"/>
              <w:jc w:val="center"/>
              <w:textAlignment w:val="center"/>
              <w:rPr>
                <w:color w:val="000000"/>
                <w:kern w:val="0"/>
                <w:sz w:val="20"/>
                <w:szCs w:val="20"/>
              </w:rPr>
            </w:pPr>
            <w:r>
              <w:rPr>
                <w:color w:val="000000"/>
                <w:kern w:val="0"/>
                <w:sz w:val="20"/>
                <w:szCs w:val="20"/>
              </w:rPr>
              <w:t>生态效益</w:t>
            </w:r>
          </w:p>
          <w:p>
            <w:pPr>
              <w:widowControl/>
              <w:spacing w:line="200" w:lineRule="exact"/>
              <w:jc w:val="center"/>
              <w:textAlignment w:val="center"/>
              <w:rPr>
                <w:color w:val="000000"/>
                <w:sz w:val="20"/>
                <w:szCs w:val="20"/>
              </w:rPr>
            </w:pPr>
            <w:r>
              <w:rPr>
                <w:color w:val="000000"/>
                <w:kern w:val="0"/>
                <w:sz w:val="20"/>
                <w:szCs w:val="20"/>
              </w:rPr>
              <w:t>指标</w:t>
            </w:r>
          </w:p>
        </w:tc>
        <w:tc>
          <w:tcPr>
            <w:tcW w:w="1497" w:type="pct"/>
            <w:gridSpan w:val="2"/>
            <w:vAlign w:val="center"/>
          </w:tcPr>
          <w:p>
            <w:pPr>
              <w:widowControl/>
              <w:spacing w:line="200" w:lineRule="exact"/>
              <w:jc w:val="center"/>
              <w:rPr>
                <w:color w:val="000000"/>
                <w:sz w:val="20"/>
                <w:szCs w:val="20"/>
              </w:rPr>
            </w:pPr>
            <w:r>
              <w:rPr>
                <w:color w:val="000000"/>
                <w:sz w:val="20"/>
                <w:szCs w:val="20"/>
              </w:rPr>
              <w:t>改善生态环境</w:t>
            </w:r>
          </w:p>
        </w:tc>
        <w:tc>
          <w:tcPr>
            <w:tcW w:w="665" w:type="pct"/>
            <w:vAlign w:val="center"/>
          </w:tcPr>
          <w:p>
            <w:pPr>
              <w:widowControl/>
              <w:spacing w:line="200" w:lineRule="exact"/>
              <w:jc w:val="center"/>
              <w:rPr>
                <w:color w:val="000000"/>
                <w:sz w:val="20"/>
                <w:szCs w:val="20"/>
              </w:rPr>
            </w:pPr>
            <w:r>
              <w:rPr>
                <w:color w:val="000000"/>
                <w:sz w:val="20"/>
                <w:szCs w:val="20"/>
              </w:rPr>
              <w:t>优</w:t>
            </w:r>
          </w:p>
        </w:tc>
        <w:tc>
          <w:tcPr>
            <w:tcW w:w="667" w:type="pct"/>
            <w:vAlign w:val="center"/>
          </w:tcPr>
          <w:p>
            <w:pPr>
              <w:widowControl/>
              <w:spacing w:line="200" w:lineRule="exact"/>
              <w:jc w:val="center"/>
              <w:rPr>
                <w:color w:val="000000"/>
                <w:sz w:val="20"/>
                <w:szCs w:val="20"/>
              </w:rPr>
            </w:pPr>
            <w:r>
              <w:rPr>
                <w:color w:val="000000"/>
                <w:sz w:val="20"/>
                <w:szCs w:val="20"/>
              </w:rPr>
              <w:t>优</w:t>
            </w:r>
          </w:p>
        </w:tc>
        <w:tc>
          <w:tcPr>
            <w:tcW w:w="776"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Merge w:val="continue"/>
            <w:textDirection w:val="tbRlV"/>
            <w:vAlign w:val="center"/>
          </w:tcPr>
          <w:p>
            <w:pPr>
              <w:widowControl/>
              <w:spacing w:line="200" w:lineRule="exact"/>
              <w:jc w:val="center"/>
              <w:rPr>
                <w:color w:val="000000"/>
                <w:sz w:val="20"/>
                <w:szCs w:val="20"/>
              </w:rPr>
            </w:pPr>
          </w:p>
        </w:tc>
        <w:tc>
          <w:tcPr>
            <w:tcW w:w="292" w:type="pct"/>
            <w:vMerge w:val="continue"/>
            <w:vAlign w:val="center"/>
          </w:tcPr>
          <w:p>
            <w:pPr>
              <w:widowControl/>
              <w:spacing w:line="200" w:lineRule="exact"/>
              <w:jc w:val="center"/>
              <w:rPr>
                <w:color w:val="000000"/>
                <w:sz w:val="20"/>
                <w:szCs w:val="20"/>
              </w:rPr>
            </w:pPr>
          </w:p>
        </w:tc>
        <w:tc>
          <w:tcPr>
            <w:tcW w:w="664" w:type="pct"/>
            <w:vAlign w:val="center"/>
          </w:tcPr>
          <w:p>
            <w:pPr>
              <w:widowControl/>
              <w:spacing w:line="200" w:lineRule="exact"/>
              <w:jc w:val="center"/>
              <w:textAlignment w:val="center"/>
              <w:rPr>
                <w:color w:val="000000"/>
                <w:sz w:val="20"/>
                <w:szCs w:val="20"/>
              </w:rPr>
            </w:pPr>
            <w:r>
              <w:rPr>
                <w:color w:val="000000"/>
                <w:kern w:val="0"/>
                <w:sz w:val="20"/>
                <w:szCs w:val="20"/>
              </w:rPr>
              <w:t>可持续影响指标</w:t>
            </w:r>
          </w:p>
        </w:tc>
        <w:tc>
          <w:tcPr>
            <w:tcW w:w="1497" w:type="pct"/>
            <w:gridSpan w:val="2"/>
            <w:vAlign w:val="center"/>
          </w:tcPr>
          <w:p>
            <w:pPr>
              <w:widowControl/>
              <w:spacing w:line="200" w:lineRule="exact"/>
              <w:jc w:val="center"/>
              <w:rPr>
                <w:color w:val="000000"/>
                <w:sz w:val="20"/>
                <w:szCs w:val="20"/>
              </w:rPr>
            </w:pPr>
          </w:p>
        </w:tc>
        <w:tc>
          <w:tcPr>
            <w:tcW w:w="665" w:type="pct"/>
            <w:vAlign w:val="center"/>
          </w:tcPr>
          <w:p>
            <w:pPr>
              <w:widowControl/>
              <w:spacing w:line="200" w:lineRule="exact"/>
              <w:jc w:val="center"/>
              <w:rPr>
                <w:color w:val="000000"/>
                <w:sz w:val="20"/>
                <w:szCs w:val="20"/>
              </w:rPr>
            </w:pPr>
          </w:p>
        </w:tc>
        <w:tc>
          <w:tcPr>
            <w:tcW w:w="667" w:type="pct"/>
            <w:vAlign w:val="center"/>
          </w:tcPr>
          <w:p>
            <w:pPr>
              <w:widowControl/>
              <w:spacing w:line="200" w:lineRule="exact"/>
              <w:jc w:val="center"/>
              <w:rPr>
                <w:color w:val="000000"/>
                <w:sz w:val="20"/>
                <w:szCs w:val="20"/>
              </w:rPr>
            </w:pPr>
          </w:p>
        </w:tc>
        <w:tc>
          <w:tcPr>
            <w:tcW w:w="776"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Merge w:val="continue"/>
            <w:textDirection w:val="tbRlV"/>
            <w:vAlign w:val="center"/>
          </w:tcPr>
          <w:p>
            <w:pPr>
              <w:widowControl/>
              <w:spacing w:line="200" w:lineRule="exact"/>
              <w:jc w:val="center"/>
              <w:rPr>
                <w:color w:val="000000"/>
                <w:sz w:val="20"/>
                <w:szCs w:val="20"/>
              </w:rPr>
            </w:pPr>
          </w:p>
        </w:tc>
        <w:tc>
          <w:tcPr>
            <w:tcW w:w="292" w:type="pct"/>
            <w:vMerge w:val="continue"/>
            <w:vAlign w:val="center"/>
          </w:tcPr>
          <w:p>
            <w:pPr>
              <w:widowControl/>
              <w:spacing w:line="200" w:lineRule="exact"/>
              <w:jc w:val="center"/>
              <w:rPr>
                <w:color w:val="000000"/>
                <w:sz w:val="20"/>
                <w:szCs w:val="20"/>
              </w:rPr>
            </w:pPr>
          </w:p>
        </w:tc>
        <w:tc>
          <w:tcPr>
            <w:tcW w:w="664" w:type="pct"/>
            <w:vAlign w:val="center"/>
          </w:tcPr>
          <w:p>
            <w:pPr>
              <w:widowControl/>
              <w:spacing w:line="200" w:lineRule="exact"/>
              <w:jc w:val="center"/>
              <w:textAlignment w:val="center"/>
              <w:rPr>
                <w:color w:val="000000"/>
                <w:sz w:val="20"/>
                <w:szCs w:val="20"/>
              </w:rPr>
            </w:pPr>
            <w:r>
              <w:rPr>
                <w:color w:val="000000"/>
                <w:kern w:val="0"/>
                <w:sz w:val="20"/>
                <w:szCs w:val="20"/>
              </w:rPr>
              <w:t>……</w:t>
            </w:r>
          </w:p>
        </w:tc>
        <w:tc>
          <w:tcPr>
            <w:tcW w:w="1497" w:type="pct"/>
            <w:gridSpan w:val="2"/>
            <w:vAlign w:val="center"/>
          </w:tcPr>
          <w:p>
            <w:pPr>
              <w:widowControl/>
              <w:spacing w:line="200" w:lineRule="exact"/>
              <w:jc w:val="center"/>
              <w:rPr>
                <w:color w:val="000000"/>
                <w:sz w:val="20"/>
                <w:szCs w:val="20"/>
              </w:rPr>
            </w:pPr>
          </w:p>
        </w:tc>
        <w:tc>
          <w:tcPr>
            <w:tcW w:w="665" w:type="pct"/>
            <w:vAlign w:val="center"/>
          </w:tcPr>
          <w:p>
            <w:pPr>
              <w:widowControl/>
              <w:spacing w:line="200" w:lineRule="exact"/>
              <w:jc w:val="center"/>
              <w:rPr>
                <w:color w:val="000000"/>
                <w:sz w:val="20"/>
                <w:szCs w:val="20"/>
              </w:rPr>
            </w:pPr>
          </w:p>
        </w:tc>
        <w:tc>
          <w:tcPr>
            <w:tcW w:w="667" w:type="pct"/>
            <w:vAlign w:val="center"/>
          </w:tcPr>
          <w:p>
            <w:pPr>
              <w:widowControl/>
              <w:spacing w:line="200" w:lineRule="exact"/>
              <w:jc w:val="center"/>
              <w:rPr>
                <w:color w:val="000000"/>
                <w:sz w:val="20"/>
                <w:szCs w:val="20"/>
              </w:rPr>
            </w:pPr>
          </w:p>
        </w:tc>
        <w:tc>
          <w:tcPr>
            <w:tcW w:w="776"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Merge w:val="continue"/>
            <w:textDirection w:val="tbRlV"/>
            <w:vAlign w:val="center"/>
          </w:tcPr>
          <w:p>
            <w:pPr>
              <w:widowControl/>
              <w:spacing w:line="200" w:lineRule="exact"/>
              <w:jc w:val="center"/>
              <w:rPr>
                <w:color w:val="000000"/>
                <w:sz w:val="20"/>
                <w:szCs w:val="20"/>
              </w:rPr>
            </w:pPr>
          </w:p>
        </w:tc>
        <w:tc>
          <w:tcPr>
            <w:tcW w:w="292" w:type="pct"/>
            <w:vAlign w:val="center"/>
          </w:tcPr>
          <w:p>
            <w:pPr>
              <w:widowControl/>
              <w:spacing w:line="180" w:lineRule="exact"/>
              <w:jc w:val="center"/>
              <w:textAlignment w:val="center"/>
              <w:rPr>
                <w:color w:val="000000"/>
                <w:sz w:val="20"/>
                <w:szCs w:val="20"/>
              </w:rPr>
            </w:pPr>
            <w:r>
              <w:rPr>
                <w:color w:val="000000"/>
                <w:kern w:val="0"/>
                <w:sz w:val="20"/>
                <w:szCs w:val="20"/>
              </w:rPr>
              <w:t>满意度指标</w:t>
            </w:r>
          </w:p>
        </w:tc>
        <w:tc>
          <w:tcPr>
            <w:tcW w:w="664" w:type="pct"/>
            <w:vAlign w:val="center"/>
          </w:tcPr>
          <w:p>
            <w:pPr>
              <w:widowControl/>
              <w:spacing w:line="200" w:lineRule="exact"/>
              <w:jc w:val="center"/>
              <w:textAlignment w:val="center"/>
              <w:rPr>
                <w:color w:val="000000"/>
                <w:kern w:val="0"/>
                <w:sz w:val="20"/>
                <w:szCs w:val="20"/>
              </w:rPr>
            </w:pPr>
            <w:r>
              <w:rPr>
                <w:color w:val="000000"/>
                <w:kern w:val="0"/>
                <w:sz w:val="20"/>
                <w:szCs w:val="20"/>
              </w:rPr>
              <w:t>服务对象</w:t>
            </w:r>
          </w:p>
          <w:p>
            <w:pPr>
              <w:widowControl/>
              <w:spacing w:line="200" w:lineRule="exact"/>
              <w:jc w:val="center"/>
              <w:textAlignment w:val="center"/>
              <w:rPr>
                <w:color w:val="000000"/>
                <w:sz w:val="20"/>
                <w:szCs w:val="20"/>
              </w:rPr>
            </w:pPr>
            <w:r>
              <w:rPr>
                <w:color w:val="000000"/>
                <w:kern w:val="0"/>
                <w:sz w:val="20"/>
                <w:szCs w:val="20"/>
              </w:rPr>
              <w:t>满意度指标</w:t>
            </w:r>
          </w:p>
        </w:tc>
        <w:tc>
          <w:tcPr>
            <w:tcW w:w="1497" w:type="pct"/>
            <w:gridSpan w:val="2"/>
            <w:vAlign w:val="center"/>
          </w:tcPr>
          <w:p>
            <w:pPr>
              <w:widowControl/>
              <w:spacing w:line="200" w:lineRule="exact"/>
              <w:jc w:val="center"/>
              <w:rPr>
                <w:color w:val="000000"/>
                <w:sz w:val="20"/>
                <w:szCs w:val="20"/>
              </w:rPr>
            </w:pPr>
            <w:r>
              <w:rPr>
                <w:color w:val="000000"/>
                <w:sz w:val="20"/>
                <w:szCs w:val="20"/>
              </w:rPr>
              <w:t>项目区群众满意度</w:t>
            </w:r>
          </w:p>
        </w:tc>
        <w:tc>
          <w:tcPr>
            <w:tcW w:w="665" w:type="pct"/>
            <w:vAlign w:val="center"/>
          </w:tcPr>
          <w:p>
            <w:pPr>
              <w:widowControl/>
              <w:spacing w:line="200" w:lineRule="exact"/>
              <w:jc w:val="center"/>
              <w:rPr>
                <w:color w:val="000000"/>
                <w:sz w:val="20"/>
                <w:szCs w:val="20"/>
              </w:rPr>
            </w:pPr>
            <w:r>
              <w:rPr>
                <w:color w:val="000000"/>
                <w:sz w:val="20"/>
                <w:szCs w:val="20"/>
              </w:rPr>
              <w:t>≥96%</w:t>
            </w:r>
          </w:p>
        </w:tc>
        <w:tc>
          <w:tcPr>
            <w:tcW w:w="667" w:type="pct"/>
            <w:vAlign w:val="center"/>
          </w:tcPr>
          <w:p>
            <w:pPr>
              <w:widowControl/>
              <w:spacing w:line="200" w:lineRule="exact"/>
              <w:jc w:val="center"/>
              <w:rPr>
                <w:color w:val="000000"/>
                <w:sz w:val="20"/>
                <w:szCs w:val="20"/>
              </w:rPr>
            </w:pPr>
            <w:r>
              <w:rPr>
                <w:color w:val="000000"/>
                <w:sz w:val="20"/>
                <w:szCs w:val="20"/>
              </w:rPr>
              <w:t>≥96%</w:t>
            </w:r>
          </w:p>
        </w:tc>
        <w:tc>
          <w:tcPr>
            <w:tcW w:w="776"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Align w:val="center"/>
          </w:tcPr>
          <w:p>
            <w:pPr>
              <w:widowControl/>
              <w:spacing w:line="200" w:lineRule="exact"/>
              <w:jc w:val="center"/>
              <w:textAlignment w:val="center"/>
              <w:rPr>
                <w:color w:val="000000"/>
                <w:sz w:val="20"/>
                <w:szCs w:val="20"/>
              </w:rPr>
            </w:pPr>
            <w:r>
              <w:rPr>
                <w:color w:val="000000"/>
                <w:kern w:val="0"/>
                <w:sz w:val="20"/>
                <w:szCs w:val="20"/>
              </w:rPr>
              <w:t>说明</w:t>
            </w:r>
          </w:p>
        </w:tc>
        <w:tc>
          <w:tcPr>
            <w:tcW w:w="4562" w:type="pct"/>
            <w:gridSpan w:val="7"/>
            <w:vAlign w:val="center"/>
          </w:tcPr>
          <w:p>
            <w:pPr>
              <w:widowControl/>
              <w:spacing w:line="200" w:lineRule="exact"/>
              <w:textAlignment w:val="center"/>
              <w:rPr>
                <w:color w:val="000000"/>
                <w:sz w:val="20"/>
                <w:szCs w:val="20"/>
              </w:rPr>
            </w:pPr>
            <w:r>
              <w:rPr>
                <w:color w:val="000000"/>
                <w:kern w:val="0"/>
                <w:sz w:val="20"/>
                <w:szCs w:val="20"/>
              </w:rPr>
              <w:t>请在此处简要说明各级巡视（巡察）、各级审计和财政监督中发现的问题及其所涉及的金额，如没有请填无。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注：1.其他资金包括与中央、省级财政补助资金、市（县）级财政资金共同投入到同一项目的自有资金、社会资金，以及以前年度的结转结余资金等。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2.定量指标，主管部门对资金使用单位填写的实际完成值汇总时，绝对值直接累加计算，相对值按照资金额度加权平均计算。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3.定性指标。资金使用单位分别按照100%-80%（含）、80%-60%（含）、60-0%合理填写实际完成值，在汇总时，按照资金额度加权平均计算。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4.全年执行数是指按照国库集中支付制度要求，支付到商品和劳务供应者或者用款单位形成的实际支出。</w:t>
            </w:r>
          </w:p>
        </w:tc>
      </w:tr>
    </w:tbl>
    <w:p>
      <w:pPr>
        <w:widowControl/>
        <w:jc w:val="left"/>
        <w:rPr>
          <w:sz w:val="21"/>
          <w:szCs w:val="21"/>
        </w:rPr>
      </w:pPr>
      <w:r>
        <w:rPr>
          <w:sz w:val="21"/>
          <w:szCs w:val="21"/>
        </w:rPr>
        <w:br w:type="page"/>
      </w:r>
    </w:p>
    <w:p>
      <w:pPr>
        <w:sectPr>
          <w:footerReference r:id="rId3" w:type="default"/>
          <w:pgSz w:w="11906" w:h="16838"/>
          <w:pgMar w:top="1440" w:right="1800" w:bottom="1440" w:left="1800" w:header="851" w:footer="992" w:gutter="0"/>
          <w:pgNumType w:fmt="numberInDash"/>
          <w:cols w:space="425" w:num="1"/>
          <w:docGrid w:type="lines" w:linePitch="312" w:charSpace="0"/>
        </w:sectPr>
      </w:pPr>
    </w:p>
    <w:p>
      <w:pPr>
        <w:pStyle w:val="3"/>
        <w:spacing w:before="0" w:after="0" w:line="360" w:lineRule="auto"/>
        <w:rPr>
          <w:rFonts w:eastAsia="黑体"/>
          <w:sz w:val="32"/>
        </w:rPr>
      </w:pPr>
      <w:r>
        <w:rPr>
          <w:rFonts w:eastAsia="黑体"/>
          <w:sz w:val="32"/>
        </w:rPr>
        <w:t>附件2</w:t>
      </w:r>
    </w:p>
    <w:p>
      <w:pPr>
        <w:jc w:val="center"/>
        <w:rPr>
          <w:rFonts w:eastAsia="方正公文楷体"/>
          <w:color w:val="000000"/>
          <w:kern w:val="0"/>
          <w:sz w:val="24"/>
          <w:szCs w:val="24"/>
        </w:rPr>
      </w:pPr>
      <w:r>
        <w:rPr>
          <w:rFonts w:eastAsia="方正公文楷体"/>
          <w:color w:val="000000"/>
          <w:kern w:val="0"/>
          <w:sz w:val="24"/>
          <w:szCs w:val="24"/>
        </w:rPr>
        <w:t>2022年度古树名木保护经费项目支出绩效评价</w:t>
      </w:r>
      <w:r>
        <w:rPr>
          <w:rFonts w:hint="eastAsia" w:eastAsia="方正公文楷体"/>
          <w:color w:val="000000"/>
          <w:kern w:val="0"/>
          <w:sz w:val="24"/>
          <w:szCs w:val="24"/>
        </w:rPr>
        <w:t>自评得分表</w:t>
      </w:r>
    </w:p>
    <w:tbl>
      <w:tblPr>
        <w:tblStyle w:val="1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0"/>
        <w:gridCol w:w="431"/>
        <w:gridCol w:w="1402"/>
        <w:gridCol w:w="1140"/>
        <w:gridCol w:w="1171"/>
        <w:gridCol w:w="1777"/>
        <w:gridCol w:w="1128"/>
        <w:gridCol w:w="781"/>
        <w:gridCol w:w="259"/>
        <w:gridCol w:w="325"/>
        <w:gridCol w:w="506"/>
        <w:gridCol w:w="209"/>
        <w:gridCol w:w="400"/>
        <w:gridCol w:w="615"/>
        <w:gridCol w:w="4210"/>
        <w:gridCol w:w="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分值权重</w:t>
            </w:r>
          </w:p>
        </w:tc>
        <w:tc>
          <w:tcPr>
            <w:tcW w:w="1327" w:type="pct"/>
            <w:gridSpan w:val="4"/>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分层分类指标</w:t>
            </w:r>
          </w:p>
        </w:tc>
        <w:tc>
          <w:tcPr>
            <w:tcW w:w="569"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指标解释</w:t>
            </w:r>
          </w:p>
        </w:tc>
        <w:tc>
          <w:tcPr>
            <w:tcW w:w="1352" w:type="pct"/>
            <w:gridSpan w:val="8"/>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评分方法</w:t>
            </w:r>
          </w:p>
        </w:tc>
        <w:tc>
          <w:tcPr>
            <w:tcW w:w="1346"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评价要点及说明</w:t>
            </w:r>
          </w:p>
        </w:tc>
        <w:tc>
          <w:tcPr>
            <w:tcW w:w="211"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400" w:lineRule="exact"/>
              <w:jc w:val="center"/>
              <w:rPr>
                <w:rFonts w:ascii="仿宋_GB2312" w:hAnsi="Arial Unicode MS" w:cs="Arial Unicode MS"/>
                <w:b/>
                <w:bCs/>
                <w:kern w:val="0"/>
                <w:sz w:val="18"/>
                <w:szCs w:val="18"/>
              </w:rPr>
            </w:pPr>
          </w:p>
        </w:tc>
        <w:tc>
          <w:tcPr>
            <w:tcW w:w="138" w:type="pct"/>
            <w:vMerge w:val="restart"/>
            <w:vAlign w:val="center"/>
          </w:tcPr>
          <w:p>
            <w:pPr>
              <w:spacing w:line="28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分层指标</w:t>
            </w:r>
          </w:p>
        </w:tc>
        <w:tc>
          <w:tcPr>
            <w:tcW w:w="449"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适用范围</w:t>
            </w:r>
          </w:p>
        </w:tc>
        <w:tc>
          <w:tcPr>
            <w:tcW w:w="365"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一级指标</w:t>
            </w:r>
          </w:p>
        </w:tc>
        <w:tc>
          <w:tcPr>
            <w:tcW w:w="375"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二级指标</w:t>
            </w:r>
          </w:p>
        </w:tc>
        <w:tc>
          <w:tcPr>
            <w:tcW w:w="569" w:type="pct"/>
            <w:vMerge w:val="continue"/>
            <w:vAlign w:val="center"/>
          </w:tcPr>
          <w:p>
            <w:pPr>
              <w:spacing w:line="400" w:lineRule="exact"/>
              <w:jc w:val="center"/>
              <w:rPr>
                <w:rFonts w:ascii="仿宋_GB2312" w:hAnsi="Arial Unicode MS" w:cs="Arial Unicode MS"/>
                <w:b/>
                <w:bCs/>
                <w:kern w:val="0"/>
                <w:sz w:val="18"/>
                <w:szCs w:val="18"/>
              </w:rPr>
            </w:pPr>
          </w:p>
        </w:tc>
        <w:tc>
          <w:tcPr>
            <w:tcW w:w="361"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方法归类</w:t>
            </w:r>
          </w:p>
        </w:tc>
        <w:tc>
          <w:tcPr>
            <w:tcW w:w="991" w:type="pct"/>
            <w:gridSpan w:val="7"/>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计算公式</w:t>
            </w:r>
          </w:p>
        </w:tc>
        <w:tc>
          <w:tcPr>
            <w:tcW w:w="1346" w:type="pct"/>
            <w:vMerge w:val="continue"/>
            <w:vAlign w:val="center"/>
          </w:tcPr>
          <w:p>
            <w:pPr>
              <w:spacing w:line="400" w:lineRule="exact"/>
              <w:rPr>
                <w:rFonts w:ascii="仿宋_GB2312" w:hAnsi="Arial Unicode MS" w:cs="Arial Unicode MS"/>
                <w:b/>
                <w:bCs/>
                <w:kern w:val="0"/>
                <w:sz w:val="18"/>
                <w:szCs w:val="18"/>
              </w:rPr>
            </w:pPr>
          </w:p>
        </w:tc>
        <w:tc>
          <w:tcPr>
            <w:tcW w:w="211" w:type="pct"/>
            <w:vMerge w:val="continue"/>
            <w:vAlign w:val="center"/>
          </w:tcPr>
          <w:p>
            <w:pPr>
              <w:spacing w:line="400" w:lineRule="exact"/>
              <w:jc w:val="center"/>
              <w:rPr>
                <w:rFonts w:ascii="仿宋_GB2312" w:hAnsi="Arial Unicode MS" w:cs="Arial Unicode MS"/>
                <w:b/>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400" w:lineRule="exact"/>
              <w:jc w:val="center"/>
              <w:rPr>
                <w:rFonts w:ascii="仿宋_GB2312" w:hAnsi="Arial Unicode MS" w:cs="Arial Unicode MS"/>
                <w:kern w:val="0"/>
                <w:sz w:val="18"/>
                <w:szCs w:val="18"/>
              </w:rPr>
            </w:pPr>
          </w:p>
        </w:tc>
        <w:tc>
          <w:tcPr>
            <w:tcW w:w="138" w:type="pct"/>
            <w:vMerge w:val="continue"/>
            <w:vAlign w:val="center"/>
          </w:tcPr>
          <w:p>
            <w:pPr>
              <w:spacing w:line="400" w:lineRule="exact"/>
              <w:jc w:val="center"/>
              <w:rPr>
                <w:rFonts w:ascii="仿宋_GB2312" w:hAnsi="Arial Unicode MS" w:cs="Arial Unicode MS"/>
                <w:kern w:val="0"/>
                <w:sz w:val="18"/>
                <w:szCs w:val="18"/>
              </w:rPr>
            </w:pPr>
          </w:p>
        </w:tc>
        <w:tc>
          <w:tcPr>
            <w:tcW w:w="449" w:type="pct"/>
            <w:vMerge w:val="continue"/>
            <w:vAlign w:val="center"/>
          </w:tcPr>
          <w:p>
            <w:pPr>
              <w:spacing w:line="400" w:lineRule="exact"/>
              <w:jc w:val="center"/>
              <w:rPr>
                <w:rFonts w:ascii="仿宋_GB2312" w:hAnsi="Arial Unicode MS" w:cs="Arial Unicode MS"/>
                <w:kern w:val="0"/>
                <w:sz w:val="18"/>
                <w:szCs w:val="18"/>
              </w:rPr>
            </w:pPr>
          </w:p>
        </w:tc>
        <w:tc>
          <w:tcPr>
            <w:tcW w:w="365" w:type="pct"/>
            <w:vMerge w:val="continue"/>
            <w:vAlign w:val="center"/>
          </w:tcPr>
          <w:p>
            <w:pPr>
              <w:spacing w:line="400" w:lineRule="exact"/>
              <w:jc w:val="center"/>
              <w:rPr>
                <w:rFonts w:ascii="仿宋_GB2312" w:hAnsi="Arial Unicode MS" w:cs="Arial Unicode MS"/>
                <w:kern w:val="0"/>
                <w:sz w:val="18"/>
                <w:szCs w:val="18"/>
              </w:rPr>
            </w:pPr>
          </w:p>
        </w:tc>
        <w:tc>
          <w:tcPr>
            <w:tcW w:w="375" w:type="pct"/>
            <w:vMerge w:val="continue"/>
            <w:vAlign w:val="center"/>
          </w:tcPr>
          <w:p>
            <w:pPr>
              <w:spacing w:line="400" w:lineRule="exact"/>
              <w:jc w:val="center"/>
              <w:rPr>
                <w:rFonts w:ascii="仿宋_GB2312" w:hAnsi="Arial Unicode MS" w:cs="Arial Unicode MS"/>
                <w:kern w:val="0"/>
                <w:sz w:val="18"/>
                <w:szCs w:val="18"/>
              </w:rPr>
            </w:pPr>
          </w:p>
        </w:tc>
        <w:tc>
          <w:tcPr>
            <w:tcW w:w="569" w:type="pct"/>
            <w:vMerge w:val="continue"/>
            <w:vAlign w:val="center"/>
          </w:tcPr>
          <w:p>
            <w:pPr>
              <w:spacing w:line="400" w:lineRule="exact"/>
              <w:jc w:val="center"/>
              <w:rPr>
                <w:rFonts w:ascii="仿宋_GB2312" w:hAnsi="Arial Unicode MS" w:cs="Arial Unicode MS"/>
                <w:kern w:val="0"/>
                <w:sz w:val="18"/>
                <w:szCs w:val="18"/>
              </w:rPr>
            </w:pPr>
          </w:p>
        </w:tc>
        <w:tc>
          <w:tcPr>
            <w:tcW w:w="361" w:type="pct"/>
            <w:vMerge w:val="continue"/>
            <w:vAlign w:val="center"/>
          </w:tcPr>
          <w:p>
            <w:pPr>
              <w:spacing w:line="400" w:lineRule="exact"/>
              <w:jc w:val="center"/>
              <w:rPr>
                <w:rFonts w:ascii="仿宋_GB2312" w:hAnsi="Arial Unicode MS" w:cs="Arial Unicode MS"/>
                <w:kern w:val="0"/>
                <w:sz w:val="18"/>
                <w:szCs w:val="18"/>
              </w:rPr>
            </w:pPr>
          </w:p>
        </w:tc>
        <w:tc>
          <w:tcPr>
            <w:tcW w:w="250"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w:t>
            </w:r>
          </w:p>
        </w:tc>
        <w:tc>
          <w:tcPr>
            <w:tcW w:w="187" w:type="pct"/>
            <w:gridSpan w:val="2"/>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0.3</w:t>
            </w:r>
          </w:p>
        </w:tc>
        <w:tc>
          <w:tcPr>
            <w:tcW w:w="162"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0.6</w:t>
            </w:r>
          </w:p>
        </w:tc>
        <w:tc>
          <w:tcPr>
            <w:tcW w:w="195" w:type="pct"/>
            <w:gridSpan w:val="2"/>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0.8</w:t>
            </w:r>
          </w:p>
        </w:tc>
        <w:tc>
          <w:tcPr>
            <w:tcW w:w="197"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1</w:t>
            </w:r>
          </w:p>
        </w:tc>
        <w:tc>
          <w:tcPr>
            <w:tcW w:w="1346" w:type="pct"/>
            <w:vMerge w:val="continue"/>
            <w:vAlign w:val="center"/>
          </w:tcPr>
          <w:p>
            <w:pPr>
              <w:spacing w:line="400" w:lineRule="exact"/>
              <w:rPr>
                <w:rFonts w:ascii="仿宋_GB2312" w:hAnsi="Arial Unicode MS" w:cs="Arial Unicode MS"/>
                <w:kern w:val="0"/>
                <w:sz w:val="18"/>
                <w:szCs w:val="18"/>
              </w:rPr>
            </w:pPr>
          </w:p>
        </w:tc>
        <w:tc>
          <w:tcPr>
            <w:tcW w:w="211" w:type="pct"/>
            <w:vMerge w:val="continue"/>
            <w:vAlign w:val="center"/>
          </w:tcPr>
          <w:p>
            <w:pPr>
              <w:spacing w:line="400" w:lineRule="exact"/>
              <w:jc w:val="center"/>
              <w:rPr>
                <w:rFonts w:ascii="仿宋_GB2312" w:hAnsi="Arial Unicode MS" w:cs="Arial Unicode M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通用指标</w:t>
            </w:r>
          </w:p>
        </w:tc>
        <w:tc>
          <w:tcPr>
            <w:tcW w:w="449"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所有项目</w:t>
            </w: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项目决策</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程序严密</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项目设立是否经过严格评估论证，管理制度是否健全完善</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不完善</w:t>
            </w:r>
          </w:p>
        </w:tc>
        <w:tc>
          <w:tcPr>
            <w:tcW w:w="187" w:type="pct"/>
            <w:gridSpan w:val="2"/>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较完善</w:t>
            </w:r>
          </w:p>
        </w:tc>
        <w:tc>
          <w:tcPr>
            <w:tcW w:w="195" w:type="pct"/>
            <w:gridSpan w:val="2"/>
            <w:vAlign w:val="center"/>
          </w:tcPr>
          <w:p>
            <w:pPr>
              <w:spacing w:line="300" w:lineRule="exact"/>
              <w:jc w:val="center"/>
              <w:rPr>
                <w:rFonts w:ascii="仿宋_GB2312" w:hAnsi="Arial Unicode MS" w:cs="Arial Unicode MS"/>
                <w:kern w:val="0"/>
                <w:sz w:val="18"/>
                <w:szCs w:val="18"/>
              </w:rPr>
            </w:pP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完善</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主要查看新增项目是否经过事前评估或可行性论证，延续性项目资金管理办法是否健全完善</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规划合理</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项目规划是否符合县委、县政府重大决策部署，是否与项目年度目标一致</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不合理</w:t>
            </w:r>
          </w:p>
        </w:tc>
        <w:tc>
          <w:tcPr>
            <w:tcW w:w="187" w:type="pct"/>
            <w:gridSpan w:val="2"/>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较合理</w:t>
            </w:r>
          </w:p>
        </w:tc>
        <w:tc>
          <w:tcPr>
            <w:tcW w:w="195" w:type="pct"/>
            <w:gridSpan w:val="2"/>
            <w:vAlign w:val="center"/>
          </w:tcPr>
          <w:p>
            <w:pPr>
              <w:spacing w:line="300" w:lineRule="exact"/>
              <w:jc w:val="center"/>
              <w:rPr>
                <w:rFonts w:ascii="仿宋_GB2312" w:hAnsi="Arial Unicode MS" w:cs="Arial Unicode MS"/>
                <w:kern w:val="0"/>
                <w:sz w:val="18"/>
                <w:szCs w:val="18"/>
              </w:rPr>
            </w:pP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合理</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设立依据是否充分，符合县委、县政府重大决策部署和宏观政策规划，项目年度绩效目标与中长期规划是否一致。样本评价中，规划是否与现实需求匹配，是否存在因规划不够合理导致项目效益欠佳的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分配合理</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项目资金分配结果是否与规划计划一致；是否按规定及时分配专项预算资金</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是否评分法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否</w:t>
            </w:r>
          </w:p>
        </w:tc>
        <w:tc>
          <w:tcPr>
            <w:tcW w:w="187" w:type="pct"/>
            <w:gridSpan w:val="2"/>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p>
        </w:tc>
        <w:tc>
          <w:tcPr>
            <w:tcW w:w="195" w:type="pct"/>
            <w:gridSpan w:val="2"/>
            <w:vAlign w:val="center"/>
          </w:tcPr>
          <w:p>
            <w:pPr>
              <w:spacing w:line="300" w:lineRule="exact"/>
              <w:jc w:val="center"/>
              <w:rPr>
                <w:rFonts w:ascii="仿宋_GB2312" w:hAnsi="Arial Unicode MS" w:cs="Arial Unicode MS"/>
                <w:kern w:val="0"/>
                <w:sz w:val="18"/>
                <w:szCs w:val="18"/>
              </w:rPr>
            </w:pP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按项目法分配的项目，以所有项目点实施完成情况与规划计划情况进行对比。按因素法分配的项目和据实据效分配的项目，将资金分配方向与规划计划支持方向进行对比；分配依据充分的得分，明显不充分扣分。两种情况分值权重各占一半</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使用合规</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项目资金使用是否符合相关的财务管理制度规定</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项目资金是否符合国家财经法规和财务管理制度及有关专项资金管理办法规定；资金拨付是否有完整的审批程序和手续；是否符合项目预算批复或合同规定用途；是否存在截留、挤占、挪用、虚列支出等情况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执行有效</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项目实施是否符合相关管理制度规定</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项目实施是否遵守相关法律法规；项目调整手续是否完备；项目合同、验收报告、技术鉴定等资料是否齐全并及时归档；项目实施的人员条件、场地设备、信息支撑等是否落实到位</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完成结果</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预算完成</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项目资金拨付到具体支持对象企业、项目（人）的情况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指标得分=项目资金到人到户额度/项目资金额度×100%*指标分值</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主要查看项目资金拨付到人到户、到项目、到企业与资金总量的对比</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目标完成</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项目实施后是否完成预期目标</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指标得分=实际完成任务量/绩效目标设定任务量×100%*指标分值</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主要查看项目实施后产出数量指标完成情况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违规记录</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项目管理是否合规</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不合规</w:t>
            </w:r>
          </w:p>
        </w:tc>
        <w:tc>
          <w:tcPr>
            <w:tcW w:w="187" w:type="pct"/>
            <w:gridSpan w:val="2"/>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3处及以上不合规</w:t>
            </w:r>
          </w:p>
        </w:tc>
        <w:tc>
          <w:tcPr>
            <w:tcW w:w="162"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2处不合规</w:t>
            </w:r>
          </w:p>
        </w:tc>
        <w:tc>
          <w:tcPr>
            <w:tcW w:w="195" w:type="pct"/>
            <w:gridSpan w:val="2"/>
            <w:vAlign w:val="center"/>
          </w:tcPr>
          <w:p>
            <w:pPr>
              <w:spacing w:line="220" w:lineRule="exact"/>
              <w:jc w:val="center"/>
              <w:rPr>
                <w:rFonts w:ascii="仿宋_GB2312" w:hAnsi="Arial Unicode MS" w:cs="Arial Unicode MS"/>
                <w:kern w:val="0"/>
                <w:sz w:val="18"/>
                <w:szCs w:val="18"/>
              </w:rPr>
            </w:pPr>
            <w:r>
              <w:rPr>
                <w:rFonts w:ascii="仿宋_GB2312" w:hAnsi="Arial Unicode MS" w:cs="Arial Unicode MS"/>
                <w:kern w:val="0"/>
                <w:sz w:val="18"/>
                <w:szCs w:val="18"/>
              </w:rPr>
              <w:t>1处不合规</w:t>
            </w: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合规</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根据巡视巡察、审计监督、财政检查结果反映专项管理是否合规</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20%</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共性指标</w:t>
            </w:r>
          </w:p>
        </w:tc>
        <w:tc>
          <w:tcPr>
            <w:tcW w:w="449"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产业发展项目</w:t>
            </w: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项目效果</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符合性</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项目实施效果是否与县委、县政府重大产业政策、规划布局、资金投向等匹配吻合</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指标地方=项目实施符合的点位数/所有选点总数×100%*指标分值</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根据项目现场评价实施效果与绩效目标进行对比，汇总所有样本点情况综合分析政策整体吻合度</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成长性</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反映不同类型产业政策实施对相关行业企业成长性的促进作用，主要反映支持对象的创新、创造、创业能力情况，产业结构情况，持续盈利能力情况。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指标得分=各项具体指标得分的平均分</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根据产业政策实施对象的总资产增长率、固定资产增长率、主营业务收入增长率、主营利润增长率、净利润增长率等情况综合判断，统计年鉴相关数据为准</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50%</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特性指标</w:t>
            </w:r>
          </w:p>
        </w:tc>
        <w:tc>
          <w:tcPr>
            <w:tcW w:w="449"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农业产业（包括林业产业）</w:t>
            </w: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经济效益</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增加值提升</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项目实施涉及产值增长情况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指标得分=三年产值平均增长率/标准值*指标分值</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产值增长率=当年涉农产值增量/上一年度涉农产值总量×100%</w:t>
            </w:r>
          </w:p>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重点查看项目实施区域涉农增加值变动情况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年均收入变动率</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项目实施后农户收入变动情况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指标得分=三年人均年收入增长率/标准值*指标分值（三年人均年收入增长率/标准值负值为0，＞1按1计算）</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人均年收入增长率=（项目实施后人均年收入-项目实施前人均年收入）/项目实施前人均年收入×100%</w:t>
            </w:r>
          </w:p>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重点查看三年来农民人均年收入增长变化情况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社会效益</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从业带动能力</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项目带动周边从事相关行业情况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指标得分=三年平均新增带动就业户数/标准值*指标分值</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通过实地走访、调研、收集带动就业户数相关基础数据进行对比分析</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满意度</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项目区域群体满意度</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按根据实际满意度与满意度标准值的比率计算指标得分</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主要调研政策和项目相关方在政策实施过程中的满意值，通过不满意情况汇总分析政策在顶层设计、制度构建、管理实施及成效各环节的情况。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古树保护意识</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群众对古树名木的保护意识</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33" w:type="pct"/>
            <w:gridSpan w:val="2"/>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差</w:t>
            </w:r>
          </w:p>
        </w:tc>
        <w:tc>
          <w:tcPr>
            <w:tcW w:w="333" w:type="pct"/>
            <w:gridSpan w:val="3"/>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一般</w:t>
            </w:r>
          </w:p>
        </w:tc>
        <w:tc>
          <w:tcPr>
            <w:tcW w:w="325" w:type="pct"/>
            <w:gridSpan w:val="2"/>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好</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考察项目实施后对群众对古树名木保护意识提高的情况，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788" w:type="pct"/>
            <w:gridSpan w:val="15"/>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合计</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96.5</w:t>
            </w:r>
          </w:p>
        </w:tc>
      </w:tr>
    </w:tbl>
    <w:p>
      <w:pPr>
        <w:rPr>
          <w:b/>
          <w:bCs/>
          <w:sz w:val="24"/>
          <w:szCs w:val="24"/>
        </w:rPr>
      </w:pPr>
      <w:r>
        <w:rPr>
          <w:rFonts w:eastAsia="楷体_GB2312"/>
          <w:b/>
          <w:bCs/>
          <w:sz w:val="24"/>
          <w:szCs w:val="24"/>
        </w:rPr>
        <w:t>相关说明：</w:t>
      </w:r>
    </w:p>
    <w:p>
      <w:pPr>
        <w:rPr>
          <w:b/>
          <w:bCs/>
          <w:sz w:val="24"/>
          <w:szCs w:val="24"/>
        </w:rPr>
      </w:pPr>
      <w:r>
        <w:rPr>
          <w:rFonts w:eastAsia="楷体_GB2312"/>
          <w:b/>
          <w:bCs/>
          <w:sz w:val="24"/>
          <w:szCs w:val="24"/>
        </w:rPr>
        <w:t>1.评分方法归为六类：</w:t>
      </w:r>
    </w:p>
    <w:p>
      <w:pPr>
        <w:rPr>
          <w:sz w:val="24"/>
          <w:szCs w:val="24"/>
        </w:rPr>
      </w:pPr>
      <w:r>
        <w:rPr>
          <w:rFonts w:eastAsia="楷体_GB2312"/>
          <w:b/>
          <w:bCs/>
          <w:sz w:val="24"/>
          <w:szCs w:val="24"/>
        </w:rPr>
        <w:t>（1）是否评分法：</w:t>
      </w:r>
      <w:r>
        <w:rPr>
          <w:sz w:val="24"/>
          <w:szCs w:val="24"/>
        </w:rPr>
        <w:t>适用于合规性等正反判断指标，正向满分，反向0分。</w:t>
      </w:r>
    </w:p>
    <w:p>
      <w:pPr>
        <w:rPr>
          <w:sz w:val="24"/>
          <w:szCs w:val="24"/>
        </w:rPr>
      </w:pPr>
      <w:r>
        <w:rPr>
          <w:rFonts w:eastAsia="楷体_GB2312"/>
          <w:b/>
          <w:bCs/>
          <w:sz w:val="24"/>
          <w:szCs w:val="24"/>
        </w:rPr>
        <w:t>（2）分级评分法：</w:t>
      </w:r>
      <w:r>
        <w:rPr>
          <w:sz w:val="24"/>
          <w:szCs w:val="24"/>
        </w:rPr>
        <w:t>指标评分设置n级权重，指标得分按指标值所处区间的权重计算。</w:t>
      </w:r>
    </w:p>
    <w:p>
      <w:pPr>
        <w:rPr>
          <w:sz w:val="24"/>
          <w:szCs w:val="24"/>
        </w:rPr>
      </w:pPr>
      <w:r>
        <w:rPr>
          <w:rFonts w:eastAsia="楷体_GB2312"/>
          <w:b/>
          <w:bCs/>
          <w:sz w:val="24"/>
          <w:szCs w:val="24"/>
        </w:rPr>
        <w:t>（3）比率分值法：</w:t>
      </w:r>
      <w:r>
        <w:rPr>
          <w:sz w:val="24"/>
          <w:szCs w:val="24"/>
        </w:rPr>
        <w:t>对存在连续性比率的指标，按比率乘以指标分值计算得分。</w:t>
      </w:r>
    </w:p>
    <w:p>
      <w:pPr>
        <w:rPr>
          <w:sz w:val="24"/>
          <w:szCs w:val="24"/>
        </w:rPr>
      </w:pPr>
      <w:r>
        <w:rPr>
          <w:rFonts w:eastAsia="楷体_GB2312"/>
          <w:b/>
          <w:bCs/>
          <w:sz w:val="24"/>
          <w:szCs w:val="24"/>
        </w:rPr>
        <w:t>（4）缺（错）项扣分法：</w:t>
      </w:r>
      <w:r>
        <w:rPr>
          <w:sz w:val="24"/>
          <w:szCs w:val="24"/>
        </w:rPr>
        <w:t>按照要求所具备的事项计算，全部具备得满分，缺少一项扣X分。</w:t>
      </w:r>
    </w:p>
    <w:p>
      <w:pPr>
        <w:rPr>
          <w:sz w:val="24"/>
          <w:szCs w:val="24"/>
        </w:rPr>
      </w:pPr>
      <w:r>
        <w:rPr>
          <w:rFonts w:eastAsia="楷体_GB2312"/>
          <w:b/>
          <w:bCs/>
          <w:sz w:val="24"/>
          <w:szCs w:val="24"/>
        </w:rPr>
        <w:t>（5）满意值赋分法：</w:t>
      </w:r>
      <w:r>
        <w:rPr>
          <w:sz w:val="24"/>
          <w:szCs w:val="24"/>
        </w:rPr>
        <w:t>设置一个满意值，指标值达到满意值得满分，未达到不得分或扣分。</w:t>
      </w:r>
    </w:p>
    <w:p>
      <w:pPr>
        <w:rPr>
          <w:sz w:val="24"/>
          <w:szCs w:val="24"/>
        </w:rPr>
      </w:pPr>
      <w:r>
        <w:rPr>
          <w:rFonts w:eastAsia="楷体_GB2312"/>
          <w:b/>
          <w:bCs/>
          <w:sz w:val="24"/>
          <w:szCs w:val="24"/>
        </w:rPr>
        <w:t>（6）按数累加法：</w:t>
      </w:r>
      <w:r>
        <w:rPr>
          <w:sz w:val="24"/>
          <w:szCs w:val="24"/>
        </w:rPr>
        <w:t>若有必要用于加分项指标。</w:t>
      </w:r>
    </w:p>
    <w:p>
      <w:pPr>
        <w:pStyle w:val="8"/>
        <w:rPr>
          <w:rFonts w:hint="eastAsia" w:ascii="Times New Roman" w:hAnsi="Times New Roman" w:cs="Times New Roman"/>
        </w:rPr>
      </w:pPr>
      <w:r>
        <w:rPr>
          <w:rFonts w:ascii="Times New Roman" w:hAnsi="Times New Roman" w:eastAsia="楷体_GB2312" w:cs="Times New Roman"/>
          <w:b/>
          <w:bCs/>
        </w:rPr>
        <w:t>2.特性指标二三级指标权重可自行分配。</w:t>
      </w:r>
    </w:p>
    <w:sectPr>
      <w:pgSz w:w="16838" w:h="11906" w:orient="landscape"/>
      <w:pgMar w:top="720" w:right="720" w:bottom="720" w:left="720" w:header="397" w:footer="454" w:gutter="0"/>
      <w:pgNumType w:fmt="numberInDash"/>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0"/>
    <w:family w:val="swiss"/>
    <w:pitch w:val="default"/>
    <w:sig w:usb0="FFFFFFFF" w:usb1="E9FFFFFF"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方正公文小标宋">
    <w:altName w:val="宋体"/>
    <w:panose1 w:val="02000500000000000000"/>
    <w:charset w:val="86"/>
    <w:family w:val="auto"/>
    <w:pitch w:val="default"/>
    <w:sig w:usb0="00000000" w:usb1="00000000"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公文楷体">
    <w:altName w:val="楷体_GB2312"/>
    <w:panose1 w:val="02000500000000000000"/>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HorizontalSpacing w:val="160"/>
  <w:drawingGridVerticalSpacing w:val="435"/>
  <w:displayHorizont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3DFD17CC-89C8-4924-B873-80C764A299FB}" w:val="KUr9E1jDwoctlTxO78vqBJIM23/+6g0CQSWey4p=PHafNzhkLRYZiAVun5bsmFdXG"/>
    <w:docVar w:name="commondata" w:val="eyJoZGlkIjoiZjJiYzRjZDg4ODIxMmZkMzVjYzYxNzIzMDEwYjJjY2IifQ=="/>
    <w:docVar w:name="DocumentID" w:val="{CEB4C00E-1233-48CD-A47F-3BD9FEB85620}"/>
  </w:docVars>
  <w:rsids>
    <w:rsidRoot w:val="0B0634F0"/>
    <w:rsid w:val="0000701E"/>
    <w:rsid w:val="005009CB"/>
    <w:rsid w:val="006663E9"/>
    <w:rsid w:val="009334DB"/>
    <w:rsid w:val="00FC5A7F"/>
    <w:rsid w:val="0761435A"/>
    <w:rsid w:val="0B0634F0"/>
    <w:rsid w:val="0B725906"/>
    <w:rsid w:val="2101264B"/>
    <w:rsid w:val="22FD3CFF"/>
    <w:rsid w:val="2437126F"/>
    <w:rsid w:val="3282481C"/>
    <w:rsid w:val="49D50B1F"/>
    <w:rsid w:val="6D126E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5"/>
    <w:qFormat/>
    <w:uiPriority w:val="0"/>
    <w:pPr>
      <w:keepNext/>
      <w:keepLines/>
      <w:spacing w:before="340" w:after="330" w:line="576" w:lineRule="auto"/>
      <w:outlineLvl w:val="0"/>
    </w:pPr>
    <w:rPr>
      <w:b/>
      <w:kern w:val="44"/>
      <w:sz w:val="44"/>
    </w:rPr>
  </w:style>
  <w:style w:type="paragraph" w:styleId="4">
    <w:name w:val="heading 2"/>
    <w:basedOn w:val="1"/>
    <w:next w:val="1"/>
    <w:link w:val="16"/>
    <w:unhideWhenUsed/>
    <w:qFormat/>
    <w:uiPriority w:val="0"/>
    <w:pPr>
      <w:keepNext/>
      <w:keepLines/>
      <w:spacing w:before="260" w:after="260" w:line="413" w:lineRule="auto"/>
      <w:outlineLvl w:val="1"/>
    </w:pPr>
    <w:rPr>
      <w:rFonts w:ascii="Arial" w:hAnsi="Arial" w:eastAsia="黑体"/>
      <w:b/>
    </w:rPr>
  </w:style>
  <w:style w:type="paragraph" w:styleId="5">
    <w:name w:val="heading 3"/>
    <w:basedOn w:val="1"/>
    <w:next w:val="1"/>
    <w:unhideWhenUsed/>
    <w:qFormat/>
    <w:uiPriority w:val="0"/>
    <w:pPr>
      <w:keepNext/>
      <w:keepLines/>
      <w:spacing w:before="260" w:after="260" w:line="413" w:lineRule="auto"/>
      <w:outlineLvl w:val="2"/>
    </w:pPr>
    <w:rPr>
      <w:b/>
    </w:rPr>
  </w:style>
  <w:style w:type="character" w:default="1" w:styleId="12">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2">
    <w:name w:val="Normal Indent"/>
    <w:basedOn w:val="1"/>
    <w:next w:val="1"/>
    <w:qFormat/>
    <w:uiPriority w:val="99"/>
    <w:pPr>
      <w:ind w:firstLine="680"/>
    </w:p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sz w:val="24"/>
      <w:szCs w:val="24"/>
    </w:rPr>
  </w:style>
  <w:style w:type="paragraph" w:styleId="9">
    <w:name w:val="Normal (Web)"/>
    <w:basedOn w:val="1"/>
    <w:qFormat/>
    <w:uiPriority w:val="0"/>
    <w:pPr>
      <w:spacing w:beforeAutospacing="1" w:afterAutospacing="1"/>
      <w:jc w:val="left"/>
    </w:pPr>
    <w:rPr>
      <w:kern w:val="0"/>
      <w:sz w:val="24"/>
    </w:rPr>
  </w:style>
  <w:style w:type="table" w:styleId="11">
    <w:name w:val="Table Grid"/>
    <w:basedOn w:val="10"/>
    <w:qFormat/>
    <w:uiPriority w:val="39"/>
    <w:rPr>
      <w:rFonts w:ascii="仿宋_GB2312" w:hAnsi="Arial Unicode MS" w:eastAsia="仿宋_GB2312" w:cs="Arial Unicode MS"/>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character" w:customStyle="1" w:styleId="14">
    <w:name w:val="font01"/>
    <w:basedOn w:val="12"/>
    <w:qFormat/>
    <w:uiPriority w:val="0"/>
    <w:rPr>
      <w:rFonts w:hint="eastAsia" w:ascii="宋体" w:hAnsi="宋体" w:eastAsia="宋体" w:cs="宋体"/>
      <w:color w:val="000000"/>
      <w:sz w:val="16"/>
      <w:szCs w:val="16"/>
      <w:u w:val="none"/>
    </w:rPr>
  </w:style>
  <w:style w:type="character" w:customStyle="1" w:styleId="15">
    <w:name w:val="标题 1 字符"/>
    <w:link w:val="3"/>
    <w:qFormat/>
    <w:uiPriority w:val="0"/>
    <w:rPr>
      <w:b/>
      <w:kern w:val="44"/>
      <w:sz w:val="44"/>
    </w:rPr>
  </w:style>
  <w:style w:type="character" w:customStyle="1" w:styleId="16">
    <w:name w:val="标题 2 字符"/>
    <w:link w:val="4"/>
    <w:qFormat/>
    <w:uiPriority w:val="0"/>
    <w:rPr>
      <w:rFonts w:ascii="Arial" w:hAnsi="Arial" w:eastAsia="黑体"/>
      <w:b/>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2286</Words>
  <Characters>2425</Characters>
  <Lines>404</Lines>
  <Paragraphs>314</Paragraphs>
  <TotalTime>4</TotalTime>
  <ScaleCrop>false</ScaleCrop>
  <LinksUpToDate>false</LinksUpToDate>
  <CharactersWithSpaces>4397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2023-07-11T01:34:00Z</dcterms:created>
  <dc:creator>徐泉</dc:creator>
  <cp:lastModifiedBy>Administrator</cp:lastModifiedBy>
  <dcterms:modified xsi:type="dcterms:W3CDTF">2023-11-28T06:49:03Z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23365E4A76BC40789C715C73995BE054_11</vt:lpwstr>
  </property>
</Properties>
</file>