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val="0"/>
        <w:overflowPunct w:val="0"/>
        <w:spacing w:line="700" w:lineRule="exact"/>
        <w:jc w:val="center"/>
        <w:rPr>
          <w:rFonts w:eastAsia="方正小标宋简体"/>
          <w:spacing w:val="1"/>
          <w:sz w:val="36"/>
          <w:szCs w:val="36"/>
        </w:rPr>
      </w:pPr>
      <w:r>
        <w:rPr>
          <w:rFonts w:eastAsia="方正小标宋简体"/>
          <w:spacing w:val="1"/>
          <w:sz w:val="36"/>
          <w:szCs w:val="36"/>
        </w:rPr>
        <w:t>沐川县林业局</w:t>
      </w:r>
    </w:p>
    <w:p>
      <w:pPr>
        <w:kinsoku w:val="0"/>
        <w:overflowPunct w:val="0"/>
        <w:spacing w:line="700" w:lineRule="exact"/>
        <w:jc w:val="center"/>
        <w:rPr>
          <w:rFonts w:eastAsia="方正小标宋简体"/>
          <w:spacing w:val="1"/>
          <w:sz w:val="36"/>
          <w:szCs w:val="36"/>
        </w:rPr>
      </w:pPr>
      <w:r>
        <w:rPr>
          <w:rFonts w:eastAsia="方正小标宋简体"/>
          <w:b/>
          <w:bCs/>
          <w:spacing w:val="1"/>
          <w:sz w:val="36"/>
          <w:szCs w:val="36"/>
        </w:rPr>
        <w:t>2022</w:t>
      </w:r>
      <w:r>
        <w:rPr>
          <w:rFonts w:eastAsia="方正小标宋简体"/>
          <w:spacing w:val="1"/>
          <w:sz w:val="36"/>
          <w:szCs w:val="36"/>
        </w:rPr>
        <w:t>年度改革发展资金造林</w:t>
      </w:r>
    </w:p>
    <w:p>
      <w:pPr>
        <w:kinsoku w:val="0"/>
        <w:overflowPunct w:val="0"/>
        <w:spacing w:line="700" w:lineRule="exact"/>
        <w:jc w:val="center"/>
        <w:rPr>
          <w:rFonts w:eastAsia="方正公文小标宋"/>
          <w:spacing w:val="1"/>
          <w:sz w:val="36"/>
          <w:szCs w:val="36"/>
        </w:rPr>
      </w:pPr>
      <w:r>
        <w:rPr>
          <w:rFonts w:eastAsia="方正小标宋简体"/>
          <w:spacing w:val="1"/>
          <w:sz w:val="36"/>
          <w:szCs w:val="36"/>
        </w:rPr>
        <w:t>项目支出绩效自评报告</w:t>
      </w:r>
    </w:p>
    <w:p>
      <w:pPr>
        <w:pStyle w:val="3"/>
        <w:spacing w:before="0" w:after="0" w:line="360" w:lineRule="auto"/>
        <w:rPr>
          <w:rFonts w:eastAsia="黑体"/>
          <w:sz w:val="32"/>
        </w:rPr>
      </w:pPr>
      <w:r>
        <w:rPr>
          <w:rFonts w:eastAsia="黑体"/>
          <w:sz w:val="32"/>
        </w:rPr>
        <w:t>一、项目基本情况</w:t>
      </w:r>
    </w:p>
    <w:p>
      <w:pPr>
        <w:pStyle w:val="4"/>
        <w:spacing w:before="0" w:after="0" w:line="360" w:lineRule="auto"/>
        <w:rPr>
          <w:rFonts w:ascii="Times New Roman" w:hAnsi="Times New Roman" w:eastAsia="楷体"/>
          <w:b w:val="0"/>
          <w:bCs/>
        </w:rPr>
      </w:pPr>
      <w:r>
        <w:rPr>
          <w:rFonts w:ascii="Times New Roman" w:hAnsi="Times New Roman" w:eastAsia="楷体"/>
          <w:b w:val="0"/>
          <w:bCs/>
        </w:rPr>
        <w:t>（一）绩效目标情况</w:t>
      </w:r>
    </w:p>
    <w:p>
      <w:pPr>
        <w:spacing w:line="360" w:lineRule="auto"/>
        <w:ind w:firstLine="640" w:firstLineChars="200"/>
      </w:pPr>
      <w:r>
        <w:rPr>
          <w:rFonts w:hint="eastAsia"/>
        </w:rPr>
        <w:t>根据《四川省财政厅 四川省林业和草原局关于下达2022年中央财政林业改革发展资金(第三批)预算的通知》（川财资环〔2022〕66号）下达我县造林补助资金745.38万元，完成任务清单为：油茶保障性苗圃建设150万元、沐川林竹发展有限公司贷款贴息121.58万元、四川永丰浆纸股份有限公司贷款贴息216.25万元、四川永丰纸业股份有限公司贷款贴息257.55万元。</w:t>
      </w:r>
    </w:p>
    <w:p>
      <w:pPr>
        <w:pStyle w:val="4"/>
        <w:spacing w:before="0" w:after="0" w:line="360" w:lineRule="auto"/>
        <w:rPr>
          <w:rFonts w:ascii="Times New Roman" w:hAnsi="Times New Roman" w:eastAsia="楷体"/>
          <w:b w:val="0"/>
          <w:bCs/>
        </w:rPr>
      </w:pPr>
      <w:r>
        <w:rPr>
          <w:rFonts w:ascii="Times New Roman" w:hAnsi="Times New Roman" w:eastAsia="楷体"/>
          <w:b w:val="0"/>
          <w:bCs/>
        </w:rPr>
        <w:t>（二）资金安排情况</w:t>
      </w:r>
    </w:p>
    <w:p>
      <w:pPr>
        <w:spacing w:line="360" w:lineRule="auto"/>
        <w:ind w:firstLine="640" w:firstLineChars="200"/>
      </w:pPr>
      <w:r>
        <w:t>根据《四川省财政厅 四川省林业和草原局关于下达2022年中央财政林业改革发展资金(第三批)预算的通知》（川财资环〔2022〕66号），下达我县林业改革发展资金造林补助745.38万元，资金到位率100%。</w:t>
      </w:r>
    </w:p>
    <w:p>
      <w:pPr>
        <w:spacing w:line="360" w:lineRule="auto"/>
        <w:ind w:firstLine="640" w:firstLineChars="200"/>
      </w:pPr>
      <w:r>
        <w:t>《沐川县林业局关于审定&lt;沐川县国有林场油茶保障性苗圃建设工程项目实施方案&gt;的请示》（沐林〔2022〕131号）申请使用林业改革发展资金</w:t>
      </w:r>
      <w:r>
        <w:rPr>
          <w:rFonts w:hint="eastAsia"/>
        </w:rPr>
        <w:t>150万元，</w:t>
      </w:r>
      <w:r>
        <w:t>建设油茶保障性苗圃150亩，请示得以同意批复。</w:t>
      </w:r>
    </w:p>
    <w:p>
      <w:pPr>
        <w:pStyle w:val="3"/>
        <w:spacing w:before="0" w:after="0" w:line="360" w:lineRule="auto"/>
        <w:rPr>
          <w:rFonts w:eastAsia="黑体"/>
          <w:sz w:val="32"/>
        </w:rPr>
      </w:pPr>
      <w:r>
        <w:rPr>
          <w:rFonts w:eastAsia="黑体"/>
          <w:sz w:val="32"/>
        </w:rPr>
        <w:t>二、绩效目标完成情况分析</w:t>
      </w:r>
    </w:p>
    <w:p>
      <w:pPr>
        <w:pStyle w:val="4"/>
        <w:spacing w:before="0" w:after="0" w:line="360" w:lineRule="auto"/>
        <w:rPr>
          <w:rFonts w:ascii="Times New Roman" w:hAnsi="Times New Roman" w:eastAsia="楷体"/>
          <w:b w:val="0"/>
          <w:bCs/>
        </w:rPr>
      </w:pPr>
      <w:r>
        <w:rPr>
          <w:rFonts w:ascii="Times New Roman" w:hAnsi="Times New Roman" w:eastAsia="楷体"/>
          <w:b w:val="0"/>
          <w:bCs/>
        </w:rPr>
        <w:t>（一）预算执行进度情况分析</w:t>
      </w:r>
    </w:p>
    <w:p>
      <w:pPr>
        <w:spacing w:line="360" w:lineRule="auto"/>
        <w:ind w:firstLine="640" w:firstLineChars="200"/>
      </w:pPr>
      <w:r>
        <w:t>项目预算批复资金为745.38万元，</w:t>
      </w:r>
      <w:r>
        <w:rPr>
          <w:rFonts w:hint="eastAsia"/>
        </w:rPr>
        <w:t>截至绩效自评日，预算基本全部执行，</w:t>
      </w:r>
      <w:r>
        <w:t>资金开支范围、标准及支付进度严格按照规定，支付依据合规合法，资金支付与预算相符。</w:t>
      </w:r>
    </w:p>
    <w:p>
      <w:pPr>
        <w:pStyle w:val="4"/>
        <w:spacing w:before="0" w:after="0" w:line="360" w:lineRule="auto"/>
        <w:rPr>
          <w:rFonts w:ascii="Times New Roman" w:hAnsi="Times New Roman" w:eastAsia="楷体"/>
          <w:b w:val="0"/>
          <w:bCs/>
        </w:rPr>
      </w:pPr>
      <w:r>
        <w:rPr>
          <w:rFonts w:ascii="Times New Roman" w:hAnsi="Times New Roman" w:eastAsia="楷体"/>
          <w:b w:val="0"/>
          <w:bCs/>
        </w:rPr>
        <w:t>（二）总体绩效目标完成情况分析</w:t>
      </w:r>
    </w:p>
    <w:p>
      <w:pPr>
        <w:spacing w:line="360" w:lineRule="auto"/>
        <w:ind w:firstLine="640" w:firstLineChars="200"/>
      </w:pPr>
      <w:r>
        <w:rPr>
          <w:rFonts w:hint="eastAsia"/>
        </w:rPr>
        <w:t>该项目总体目标全部完成，完成贴息贷款和</w:t>
      </w:r>
      <w:r>
        <w:t>油茶保障性苗圃基地建设</w:t>
      </w:r>
      <w:r>
        <w:rPr>
          <w:rFonts w:hint="eastAsia"/>
        </w:rPr>
        <w:t>。</w:t>
      </w:r>
    </w:p>
    <w:p>
      <w:pPr>
        <w:pStyle w:val="4"/>
        <w:spacing w:before="0" w:after="0" w:line="360" w:lineRule="auto"/>
        <w:rPr>
          <w:rFonts w:ascii="Times New Roman" w:hAnsi="Times New Roman" w:eastAsia="楷体"/>
          <w:b w:val="0"/>
          <w:bCs/>
        </w:rPr>
      </w:pPr>
      <w:r>
        <w:rPr>
          <w:rFonts w:ascii="Times New Roman" w:hAnsi="Times New Roman" w:eastAsia="楷体"/>
          <w:b w:val="0"/>
          <w:bCs/>
        </w:rPr>
        <w:t>（三）绩效指标完成情况分析</w:t>
      </w:r>
    </w:p>
    <w:p>
      <w:pPr>
        <w:spacing w:line="360" w:lineRule="auto"/>
        <w:ind w:firstLine="640" w:firstLineChars="200"/>
      </w:pPr>
      <w:r>
        <w:rPr>
          <w:rFonts w:hint="eastAsia"/>
        </w:rPr>
        <w:t>完成沐川林竹发展有限公司贷款贴息121.58万元、四川永丰浆纸股份有限公司贷款贴息216.25万元、四川永丰纸业股份有限公司贷款贴息257.55万元。此外，</w:t>
      </w:r>
      <w:r>
        <w:t>我县积极向上争取到乐山市唯一一处保障性苗圃基地，建成年产200万株良种油茶苗基地，2022年新建基地占地</w:t>
      </w:r>
      <w:r>
        <w:rPr>
          <w:rFonts w:hint="eastAsia"/>
        </w:rPr>
        <w:t>115.2</w:t>
      </w:r>
      <w:r>
        <w:t>亩，其中50亩位于国有林场凉风坳</w:t>
      </w:r>
      <w:r>
        <w:rPr>
          <w:rFonts w:hint="eastAsia"/>
        </w:rPr>
        <w:t>山王埂</w:t>
      </w:r>
      <w:r>
        <w:t>、</w:t>
      </w:r>
      <w:r>
        <w:rPr>
          <w:rFonts w:hint="eastAsia"/>
        </w:rPr>
        <w:t>65.2</w:t>
      </w:r>
      <w:r>
        <w:t>亩位于富新镇，项目总投资150万，</w:t>
      </w:r>
      <w:r>
        <w:rPr>
          <w:rFonts w:hint="eastAsia"/>
        </w:rPr>
        <w:t>目前油茶苗圃已完成项目验收</w:t>
      </w:r>
      <w:r>
        <w:t>。</w:t>
      </w:r>
    </w:p>
    <w:p>
      <w:pPr>
        <w:pStyle w:val="4"/>
        <w:spacing w:before="0" w:after="0" w:line="360" w:lineRule="auto"/>
        <w:rPr>
          <w:rFonts w:ascii="Times New Roman" w:hAnsi="Times New Roman" w:eastAsia="楷体"/>
          <w:b w:val="0"/>
          <w:bCs/>
        </w:rPr>
      </w:pPr>
      <w:r>
        <w:rPr>
          <w:rFonts w:ascii="Times New Roman" w:hAnsi="Times New Roman" w:eastAsia="楷体"/>
          <w:b w:val="0"/>
          <w:bCs/>
        </w:rPr>
        <w:t>（四）项目效益分析</w:t>
      </w:r>
    </w:p>
    <w:p>
      <w:pPr>
        <w:spacing w:line="360" w:lineRule="auto"/>
        <w:ind w:firstLine="640" w:firstLineChars="200"/>
      </w:pPr>
      <w:r>
        <w:rPr>
          <w:rFonts w:hint="eastAsia"/>
        </w:rPr>
        <w:t>项目的实施明显提高了森林质量，</w:t>
      </w:r>
      <w:r>
        <w:t>保障性苗圃建成后，每年外销优质油茶种苗200万株，可为25000亩油茶基地提供优质种苗，直接带动项目区农户发展油茶10000亩以上，辐射带动项目区周边区县农户发展油茶种植基地15000亩以上，直接带动项目区农户增加效益，同时，苗圃育苗生产每年需季节性劳动工日1万个，可就地解决剩余劳动力。</w:t>
      </w:r>
    </w:p>
    <w:p>
      <w:pPr>
        <w:pStyle w:val="3"/>
        <w:spacing w:before="0" w:after="0" w:line="360" w:lineRule="auto"/>
        <w:rPr>
          <w:rFonts w:eastAsia="黑体"/>
          <w:sz w:val="32"/>
        </w:rPr>
      </w:pPr>
      <w:r>
        <w:rPr>
          <w:rFonts w:eastAsia="黑体"/>
          <w:sz w:val="32"/>
        </w:rPr>
        <w:t>三、偏离绩效目标的原因和下一步改进措施</w:t>
      </w:r>
    </w:p>
    <w:p>
      <w:pPr>
        <w:spacing w:line="360" w:lineRule="auto"/>
        <w:ind w:firstLine="640" w:firstLineChars="200"/>
      </w:pPr>
      <w:r>
        <w:t>无</w:t>
      </w:r>
    </w:p>
    <w:p>
      <w:pPr>
        <w:pStyle w:val="3"/>
        <w:spacing w:before="0" w:after="0" w:line="360" w:lineRule="auto"/>
        <w:rPr>
          <w:rFonts w:eastAsia="黑体"/>
          <w:sz w:val="32"/>
        </w:rPr>
      </w:pPr>
      <w:r>
        <w:rPr>
          <w:rFonts w:eastAsia="黑体"/>
          <w:sz w:val="32"/>
        </w:rPr>
        <w:t>四、绩效自评结果拟应用和公开情况</w:t>
      </w:r>
    </w:p>
    <w:p>
      <w:pPr>
        <w:pStyle w:val="11"/>
        <w:spacing w:line="360" w:lineRule="auto"/>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2022年度项目自评得分为97分，绩效目标与预算同步批复、同步公开。</w:t>
      </w:r>
    </w:p>
    <w:p>
      <w:pPr>
        <w:pStyle w:val="3"/>
        <w:spacing w:before="0" w:after="0" w:line="360" w:lineRule="auto"/>
        <w:rPr>
          <w:rFonts w:eastAsia="黑体"/>
          <w:sz w:val="32"/>
        </w:rPr>
      </w:pPr>
      <w:r>
        <w:rPr>
          <w:rFonts w:eastAsia="黑体"/>
          <w:sz w:val="32"/>
        </w:rPr>
        <w:t>五、其他需要说明的问题</w:t>
      </w:r>
    </w:p>
    <w:p>
      <w:pPr>
        <w:pStyle w:val="11"/>
        <w:spacing w:line="360" w:lineRule="auto"/>
        <w:ind w:firstLine="640" w:firstLineChars="200"/>
        <w:rPr>
          <w:rFonts w:ascii="Times New Roman" w:hAnsi="Times New Roman" w:eastAsia="仿宋_GB2312" w:cs="Times New Roman"/>
          <w:b/>
          <w:bCs/>
          <w:sz w:val="32"/>
          <w:szCs w:val="32"/>
        </w:rPr>
      </w:pPr>
      <w:r>
        <w:rPr>
          <w:rFonts w:ascii="Times New Roman" w:hAnsi="Times New Roman" w:eastAsia="仿宋_GB2312" w:cs="Times New Roman"/>
          <w:sz w:val="32"/>
          <w:szCs w:val="32"/>
        </w:rPr>
        <w:t>无</w:t>
      </w:r>
    </w:p>
    <w:p>
      <w:pPr>
        <w:pStyle w:val="11"/>
        <w:spacing w:line="360" w:lineRule="auto"/>
        <w:ind w:firstLine="643" w:firstLineChars="200"/>
        <w:rPr>
          <w:rFonts w:ascii="Times New Roman" w:hAnsi="Times New Roman" w:eastAsia="仿宋_GB2312" w:cs="Times New Roman"/>
          <w:b/>
          <w:bCs/>
          <w:sz w:val="32"/>
          <w:szCs w:val="32"/>
        </w:rPr>
      </w:pPr>
    </w:p>
    <w:p>
      <w:pPr>
        <w:pStyle w:val="11"/>
        <w:spacing w:line="360" w:lineRule="auto"/>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附件：1.2022年度改革发展资金造林项目绩效目标自评表</w:t>
      </w:r>
    </w:p>
    <w:p>
      <w:pPr>
        <w:pStyle w:val="11"/>
        <w:spacing w:line="360" w:lineRule="auto"/>
        <w:ind w:left="960" w:leftChars="300"/>
        <w:jc w:val="both"/>
        <w:rPr>
          <w:rFonts w:ascii="Times New Roman" w:hAnsi="Times New Roman" w:eastAsia="仿宋_GB2312" w:cs="Times New Roman"/>
          <w:b/>
          <w:bCs/>
          <w:sz w:val="32"/>
          <w:szCs w:val="32"/>
        </w:rPr>
      </w:pPr>
      <w:r>
        <w:rPr>
          <w:rFonts w:ascii="Times New Roman" w:hAnsi="Times New Roman" w:eastAsia="仿宋_GB2312" w:cs="Times New Roman"/>
          <w:b/>
          <w:bCs/>
          <w:sz w:val="32"/>
          <w:szCs w:val="32"/>
        </w:rPr>
        <w:t>2.2022年度改革发展资金造林项目支出绩效评价</w:t>
      </w:r>
      <w:r>
        <w:rPr>
          <w:rFonts w:hint="eastAsia" w:ascii="Times New Roman" w:hAnsi="Times New Roman" w:eastAsia="仿宋_GB2312" w:cs="Times New Roman"/>
          <w:b/>
          <w:bCs/>
          <w:sz w:val="32"/>
          <w:szCs w:val="32"/>
        </w:rPr>
        <w:t>自评得分表</w:t>
      </w:r>
    </w:p>
    <w:p>
      <w:pPr>
        <w:pStyle w:val="2"/>
        <w:ind w:right="320"/>
        <w:jc w:val="right"/>
      </w:pPr>
    </w:p>
    <w:p>
      <w:pPr>
        <w:pStyle w:val="2"/>
        <w:ind w:right="320"/>
        <w:jc w:val="right"/>
      </w:pPr>
      <w:r>
        <w:t>沐川县</w:t>
      </w:r>
      <w:bookmarkStart w:id="0" w:name="_GoBack"/>
      <w:bookmarkEnd w:id="0"/>
      <w:r>
        <w:t>林业局</w:t>
      </w:r>
    </w:p>
    <w:p>
      <w:pPr>
        <w:pStyle w:val="11"/>
        <w:spacing w:line="360" w:lineRule="auto"/>
        <w:ind w:firstLine="1600" w:firstLineChars="500"/>
        <w:jc w:val="right"/>
        <w:rPr>
          <w:rFonts w:ascii="Times New Roman" w:hAnsi="Times New Roman" w:eastAsia="仿宋_GB2312" w:cs="Times New Roman"/>
          <w:b/>
          <w:bCs/>
          <w:sz w:val="32"/>
          <w:szCs w:val="32"/>
        </w:rPr>
      </w:pPr>
      <w:r>
        <w:rPr>
          <w:rFonts w:ascii="Times New Roman" w:hAnsi="Times New Roman" w:eastAsia="仿宋_GB2312" w:cs="Times New Roman"/>
          <w:sz w:val="32"/>
          <w:szCs w:val="32"/>
        </w:rPr>
        <w:t>2023年7月12日</w:t>
      </w:r>
    </w:p>
    <w:p>
      <w:pPr>
        <w:widowControl/>
        <w:jc w:val="left"/>
        <w:rPr>
          <w:b/>
          <w:kern w:val="44"/>
          <w:sz w:val="44"/>
        </w:rPr>
      </w:pPr>
      <w:r>
        <w:br w:type="page"/>
      </w:r>
    </w:p>
    <w:p>
      <w:pPr>
        <w:pStyle w:val="3"/>
        <w:spacing w:before="0" w:after="0" w:line="360" w:lineRule="auto"/>
        <w:rPr>
          <w:rFonts w:eastAsia="黑体"/>
          <w:sz w:val="32"/>
        </w:rPr>
      </w:pPr>
      <w:r>
        <w:rPr>
          <w:rFonts w:eastAsia="黑体"/>
          <w:sz w:val="32"/>
        </w:rPr>
        <w:t>附件1</w:t>
      </w:r>
    </w:p>
    <w:p>
      <w:pPr>
        <w:jc w:val="center"/>
        <w:rPr>
          <w:rFonts w:eastAsia="方正公文楷体"/>
          <w:sz w:val="24"/>
          <w:szCs w:val="24"/>
        </w:rPr>
      </w:pPr>
      <w:r>
        <w:rPr>
          <w:rFonts w:eastAsia="方正公文楷体"/>
          <w:color w:val="000000"/>
          <w:kern w:val="0"/>
          <w:sz w:val="24"/>
          <w:szCs w:val="24"/>
        </w:rPr>
        <w:t>2022年度改革发展资金造林项目绩效目标自评表</w:t>
      </w:r>
    </w:p>
    <w:tbl>
      <w:tblPr>
        <w:tblStyle w:val="1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6"/>
        <w:gridCol w:w="496"/>
        <w:gridCol w:w="1130"/>
        <w:gridCol w:w="1381"/>
        <w:gridCol w:w="1133"/>
        <w:gridCol w:w="1200"/>
        <w:gridCol w:w="1222"/>
        <w:gridCol w:w="1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tcPr>
          <w:p>
            <w:pPr>
              <w:widowControl/>
              <w:spacing w:line="320" w:lineRule="exact"/>
              <w:jc w:val="center"/>
              <w:textAlignment w:val="top"/>
              <w:rPr>
                <w:rFonts w:eastAsia="宋体"/>
                <w:color w:val="000000"/>
                <w:sz w:val="22"/>
                <w:szCs w:val="22"/>
              </w:rPr>
            </w:pPr>
            <w:r>
              <w:rPr>
                <w:rFonts w:eastAsia="宋体"/>
                <w:color w:val="000000"/>
                <w:kern w:val="0"/>
                <w:sz w:val="22"/>
                <w:szCs w:val="22"/>
              </w:rPr>
              <w:t>（2022年度）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项目（政策）名称</w:t>
            </w:r>
          </w:p>
        </w:tc>
        <w:tc>
          <w:tcPr>
            <w:tcW w:w="3625" w:type="pct"/>
            <w:gridSpan w:val="5"/>
            <w:vAlign w:val="center"/>
          </w:tcPr>
          <w:p>
            <w:pPr>
              <w:widowControl/>
              <w:spacing w:line="200" w:lineRule="exact"/>
              <w:jc w:val="center"/>
              <w:rPr>
                <w:color w:val="000000"/>
                <w:sz w:val="20"/>
                <w:szCs w:val="20"/>
              </w:rPr>
            </w:pPr>
            <w:r>
              <w:rPr>
                <w:color w:val="000000"/>
                <w:sz w:val="20"/>
                <w:szCs w:val="20"/>
              </w:rPr>
              <w:t>改革发展资金造林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Align w:val="center"/>
          </w:tcPr>
          <w:p>
            <w:pPr>
              <w:widowControl/>
              <w:spacing w:line="200" w:lineRule="exact"/>
              <w:jc w:val="center"/>
              <w:textAlignment w:val="center"/>
              <w:rPr>
                <w:color w:val="000000"/>
                <w:sz w:val="20"/>
                <w:szCs w:val="20"/>
              </w:rPr>
            </w:pPr>
            <w:r>
              <w:rPr>
                <w:color w:val="000000"/>
                <w:kern w:val="0"/>
                <w:sz w:val="20"/>
                <w:szCs w:val="20"/>
              </w:rPr>
              <w:t>项目主管部门</w:t>
            </w:r>
          </w:p>
        </w:tc>
        <w:tc>
          <w:tcPr>
            <w:tcW w:w="1475" w:type="pct"/>
            <w:gridSpan w:val="2"/>
            <w:vAlign w:val="center"/>
          </w:tcPr>
          <w:p>
            <w:pPr>
              <w:widowControl/>
              <w:spacing w:line="200" w:lineRule="exact"/>
              <w:jc w:val="center"/>
              <w:rPr>
                <w:color w:val="000000"/>
                <w:sz w:val="20"/>
                <w:szCs w:val="20"/>
              </w:rPr>
            </w:pPr>
            <w:r>
              <w:rPr>
                <w:color w:val="000000"/>
                <w:sz w:val="20"/>
                <w:szCs w:val="20"/>
              </w:rPr>
              <w:t>林业局</w:t>
            </w:r>
          </w:p>
        </w:tc>
        <w:tc>
          <w:tcPr>
            <w:tcW w:w="704" w:type="pct"/>
            <w:vAlign w:val="center"/>
          </w:tcPr>
          <w:p>
            <w:pPr>
              <w:widowControl/>
              <w:spacing w:line="200" w:lineRule="exact"/>
              <w:jc w:val="center"/>
              <w:textAlignment w:val="center"/>
              <w:rPr>
                <w:color w:val="000000"/>
                <w:kern w:val="0"/>
                <w:sz w:val="20"/>
                <w:szCs w:val="20"/>
              </w:rPr>
            </w:pPr>
            <w:r>
              <w:rPr>
                <w:color w:val="000000"/>
                <w:kern w:val="0"/>
                <w:sz w:val="20"/>
                <w:szCs w:val="20"/>
              </w:rPr>
              <w:t>资金使用单位</w:t>
            </w:r>
          </w:p>
        </w:tc>
        <w:tc>
          <w:tcPr>
            <w:tcW w:w="1446" w:type="pct"/>
            <w:gridSpan w:val="2"/>
            <w:vAlign w:val="center"/>
          </w:tcPr>
          <w:p>
            <w:pPr>
              <w:widowControl/>
              <w:spacing w:line="200" w:lineRule="exact"/>
              <w:jc w:val="center"/>
              <w:rPr>
                <w:color w:val="000000"/>
                <w:sz w:val="20"/>
                <w:szCs w:val="20"/>
              </w:rPr>
            </w:pPr>
            <w:r>
              <w:rPr>
                <w:color w:val="000000"/>
                <w:sz w:val="20"/>
                <w:szCs w:val="20"/>
              </w:rPr>
              <w:t>林业局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项目资金</w:t>
            </w:r>
          </w:p>
          <w:p>
            <w:pPr>
              <w:widowControl/>
              <w:spacing w:line="200" w:lineRule="exact"/>
              <w:jc w:val="center"/>
              <w:textAlignment w:val="center"/>
              <w:rPr>
                <w:color w:val="000000"/>
                <w:sz w:val="20"/>
                <w:szCs w:val="20"/>
              </w:rPr>
            </w:pPr>
            <w:r>
              <w:rPr>
                <w:color w:val="000000"/>
                <w:kern w:val="0"/>
                <w:sz w:val="20"/>
                <w:szCs w:val="20"/>
              </w:rPr>
              <w:t>（万元）</w:t>
            </w:r>
          </w:p>
        </w:tc>
        <w:tc>
          <w:tcPr>
            <w:tcW w:w="810" w:type="pct"/>
            <w:vAlign w:val="center"/>
          </w:tcPr>
          <w:p>
            <w:pPr>
              <w:widowControl/>
              <w:spacing w:line="200" w:lineRule="exact"/>
              <w:jc w:val="center"/>
              <w:rPr>
                <w:color w:val="000000"/>
                <w:sz w:val="20"/>
                <w:szCs w:val="20"/>
              </w:rPr>
            </w:pPr>
          </w:p>
        </w:tc>
        <w:tc>
          <w:tcPr>
            <w:tcW w:w="664" w:type="pct"/>
            <w:vAlign w:val="center"/>
          </w:tcPr>
          <w:p>
            <w:pPr>
              <w:widowControl/>
              <w:spacing w:line="200" w:lineRule="exact"/>
              <w:jc w:val="center"/>
              <w:textAlignment w:val="center"/>
              <w:rPr>
                <w:color w:val="000000"/>
                <w:sz w:val="20"/>
                <w:szCs w:val="20"/>
              </w:rPr>
            </w:pPr>
            <w:r>
              <w:rPr>
                <w:color w:val="000000"/>
                <w:kern w:val="0"/>
                <w:sz w:val="20"/>
                <w:szCs w:val="20"/>
              </w:rPr>
              <w:t>全年预算数</w:t>
            </w:r>
          </w:p>
        </w:tc>
        <w:tc>
          <w:tcPr>
            <w:tcW w:w="1421" w:type="pct"/>
            <w:gridSpan w:val="2"/>
            <w:vAlign w:val="center"/>
          </w:tcPr>
          <w:p>
            <w:pPr>
              <w:widowControl/>
              <w:spacing w:line="200" w:lineRule="exact"/>
              <w:jc w:val="center"/>
              <w:textAlignment w:val="center"/>
              <w:rPr>
                <w:color w:val="000000"/>
                <w:sz w:val="20"/>
                <w:szCs w:val="20"/>
              </w:rPr>
            </w:pPr>
            <w:r>
              <w:rPr>
                <w:color w:val="000000"/>
                <w:kern w:val="0"/>
                <w:sz w:val="20"/>
                <w:szCs w:val="20"/>
              </w:rPr>
              <w:t>全年执行数</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预算执行率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年度资金总额：</w:t>
            </w:r>
          </w:p>
        </w:tc>
        <w:tc>
          <w:tcPr>
            <w:tcW w:w="664" w:type="pct"/>
            <w:vAlign w:val="center"/>
          </w:tcPr>
          <w:p>
            <w:pPr>
              <w:widowControl/>
              <w:spacing w:line="200" w:lineRule="exact"/>
              <w:jc w:val="center"/>
              <w:rPr>
                <w:color w:val="000000"/>
                <w:sz w:val="20"/>
                <w:szCs w:val="20"/>
              </w:rPr>
            </w:pPr>
            <w:r>
              <w:rPr>
                <w:color w:val="000000"/>
                <w:sz w:val="20"/>
                <w:szCs w:val="20"/>
              </w:rPr>
              <w:t>745.38</w:t>
            </w:r>
          </w:p>
        </w:tc>
        <w:tc>
          <w:tcPr>
            <w:tcW w:w="1421" w:type="pct"/>
            <w:gridSpan w:val="2"/>
            <w:vAlign w:val="center"/>
          </w:tcPr>
          <w:p>
            <w:pPr>
              <w:widowControl/>
              <w:spacing w:line="200" w:lineRule="exact"/>
              <w:jc w:val="center"/>
              <w:rPr>
                <w:color w:val="000000"/>
                <w:sz w:val="20"/>
                <w:szCs w:val="20"/>
              </w:rPr>
            </w:pPr>
            <w:r>
              <w:rPr>
                <w:rFonts w:hint="eastAsia"/>
                <w:color w:val="000000"/>
                <w:sz w:val="20"/>
                <w:szCs w:val="20"/>
              </w:rPr>
              <w:t>745.38</w:t>
            </w:r>
          </w:p>
        </w:tc>
        <w:tc>
          <w:tcPr>
            <w:tcW w:w="729" w:type="pct"/>
            <w:vAlign w:val="center"/>
          </w:tcPr>
          <w:p>
            <w:pPr>
              <w:widowControl/>
              <w:spacing w:line="200" w:lineRule="exact"/>
              <w:jc w:val="center"/>
              <w:rPr>
                <w:color w:val="000000"/>
                <w:sz w:val="20"/>
                <w:szCs w:val="20"/>
              </w:rPr>
            </w:pPr>
            <w:r>
              <w:rPr>
                <w:rFonts w:hint="eastAsia"/>
                <w:color w:val="000000"/>
                <w:sz w:val="20"/>
                <w:szCs w:val="20"/>
              </w:rPr>
              <w:t>100</w:t>
            </w:r>
            <w:r>
              <w:rPr>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其中：中央、省补助</w:t>
            </w:r>
          </w:p>
        </w:tc>
        <w:tc>
          <w:tcPr>
            <w:tcW w:w="664" w:type="pct"/>
            <w:vAlign w:val="center"/>
          </w:tcPr>
          <w:p>
            <w:pPr>
              <w:widowControl/>
              <w:spacing w:line="200" w:lineRule="exact"/>
              <w:jc w:val="center"/>
              <w:rPr>
                <w:color w:val="000000"/>
                <w:sz w:val="20"/>
                <w:szCs w:val="20"/>
              </w:rPr>
            </w:pPr>
            <w:r>
              <w:rPr>
                <w:color w:val="000000"/>
                <w:sz w:val="20"/>
                <w:szCs w:val="20"/>
              </w:rPr>
              <w:t>745.38</w:t>
            </w:r>
          </w:p>
        </w:tc>
        <w:tc>
          <w:tcPr>
            <w:tcW w:w="1421" w:type="pct"/>
            <w:gridSpan w:val="2"/>
            <w:vAlign w:val="center"/>
          </w:tcPr>
          <w:p>
            <w:pPr>
              <w:widowControl/>
              <w:spacing w:line="200" w:lineRule="exact"/>
              <w:jc w:val="center"/>
              <w:rPr>
                <w:color w:val="000000"/>
                <w:sz w:val="20"/>
                <w:szCs w:val="20"/>
              </w:rPr>
            </w:pPr>
            <w:r>
              <w:rPr>
                <w:rFonts w:hint="eastAsia"/>
                <w:color w:val="000000"/>
                <w:sz w:val="20"/>
                <w:szCs w:val="20"/>
              </w:rPr>
              <w:t>745.38</w:t>
            </w:r>
          </w:p>
        </w:tc>
        <w:tc>
          <w:tcPr>
            <w:tcW w:w="729" w:type="pct"/>
            <w:vAlign w:val="center"/>
          </w:tcPr>
          <w:p>
            <w:pPr>
              <w:widowControl/>
              <w:spacing w:line="200" w:lineRule="exact"/>
              <w:jc w:val="center"/>
              <w:rPr>
                <w:color w:val="000000"/>
                <w:sz w:val="20"/>
                <w:szCs w:val="20"/>
              </w:rPr>
            </w:pPr>
            <w:r>
              <w:rPr>
                <w:rFonts w:hint="eastAsia"/>
                <w:color w:val="000000"/>
                <w:sz w:val="20"/>
                <w:szCs w:val="20"/>
              </w:rPr>
              <w:t>100</w:t>
            </w:r>
            <w:r>
              <w:rPr>
                <w:color w:val="00000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市级财政资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color w:val="000000"/>
                <w:kern w:val="0"/>
                <w:sz w:val="20"/>
                <w:szCs w:val="20"/>
              </w:rPr>
              <w:t>县级财政资</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1374" w:type="pct"/>
            <w:gridSpan w:val="3"/>
            <w:vMerge w:val="continue"/>
            <w:vAlign w:val="center"/>
          </w:tcPr>
          <w:p>
            <w:pPr>
              <w:widowControl/>
              <w:spacing w:line="200" w:lineRule="exact"/>
              <w:jc w:val="center"/>
              <w:rPr>
                <w:color w:val="000000"/>
                <w:sz w:val="20"/>
                <w:szCs w:val="20"/>
              </w:rPr>
            </w:pPr>
          </w:p>
        </w:tc>
        <w:tc>
          <w:tcPr>
            <w:tcW w:w="810" w:type="pct"/>
            <w:vAlign w:val="center"/>
          </w:tcPr>
          <w:p>
            <w:pPr>
              <w:widowControl/>
              <w:spacing w:line="200" w:lineRule="exact"/>
              <w:jc w:val="center"/>
              <w:textAlignment w:val="center"/>
              <w:rPr>
                <w:color w:val="000000"/>
                <w:sz w:val="20"/>
                <w:szCs w:val="20"/>
              </w:rPr>
            </w:pPr>
            <w:r>
              <w:rPr>
                <w:rStyle w:val="18"/>
                <w:rFonts w:hint="default" w:ascii="Times New Roman" w:hAnsi="Times New Roman" w:eastAsia="仿宋_GB2312" w:cs="Times New Roman"/>
                <w:sz w:val="20"/>
                <w:szCs w:val="20"/>
              </w:rPr>
              <w:t>其他资金</w:t>
            </w:r>
          </w:p>
        </w:tc>
        <w:tc>
          <w:tcPr>
            <w:tcW w:w="664" w:type="pct"/>
            <w:vAlign w:val="center"/>
          </w:tcPr>
          <w:p>
            <w:pPr>
              <w:widowControl/>
              <w:spacing w:line="200" w:lineRule="exact"/>
              <w:jc w:val="center"/>
              <w:rPr>
                <w:color w:val="000000"/>
                <w:sz w:val="20"/>
                <w:szCs w:val="20"/>
              </w:rPr>
            </w:pPr>
          </w:p>
        </w:tc>
        <w:tc>
          <w:tcPr>
            <w:tcW w:w="1421" w:type="pct"/>
            <w:gridSpan w:val="2"/>
            <w:vAlign w:val="center"/>
          </w:tcPr>
          <w:p>
            <w:pPr>
              <w:widowControl/>
              <w:spacing w:line="200" w:lineRule="exact"/>
              <w:jc w:val="center"/>
              <w:rPr>
                <w:color w:val="000000"/>
                <w:sz w:val="20"/>
                <w:szCs w:val="20"/>
              </w:rPr>
            </w:pP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vAlign w:val="center"/>
          </w:tcPr>
          <w:p>
            <w:pPr>
              <w:widowControl/>
              <w:spacing w:line="180" w:lineRule="exact"/>
              <w:jc w:val="center"/>
              <w:textAlignment w:val="center"/>
              <w:rPr>
                <w:color w:val="000000"/>
                <w:sz w:val="20"/>
                <w:szCs w:val="20"/>
              </w:rPr>
            </w:pPr>
            <w:r>
              <w:rPr>
                <w:color w:val="000000"/>
                <w:kern w:val="0"/>
                <w:sz w:val="20"/>
                <w:szCs w:val="20"/>
              </w:rPr>
              <w:t>总体目标完成情况</w:t>
            </w:r>
          </w:p>
        </w:tc>
        <w:tc>
          <w:tcPr>
            <w:tcW w:w="2429" w:type="pct"/>
            <w:gridSpan w:val="4"/>
            <w:vAlign w:val="center"/>
          </w:tcPr>
          <w:p>
            <w:pPr>
              <w:widowControl/>
              <w:spacing w:line="200" w:lineRule="exact"/>
              <w:jc w:val="center"/>
              <w:textAlignment w:val="center"/>
              <w:rPr>
                <w:color w:val="000000"/>
                <w:sz w:val="20"/>
                <w:szCs w:val="20"/>
              </w:rPr>
            </w:pPr>
            <w:r>
              <w:rPr>
                <w:color w:val="000000"/>
                <w:kern w:val="0"/>
                <w:sz w:val="20"/>
                <w:szCs w:val="20"/>
              </w:rPr>
              <w:t>总体目标</w:t>
            </w:r>
          </w:p>
        </w:tc>
        <w:tc>
          <w:tcPr>
            <w:tcW w:w="2150" w:type="pct"/>
            <w:gridSpan w:val="3"/>
            <w:vAlign w:val="center"/>
          </w:tcPr>
          <w:p>
            <w:pPr>
              <w:widowControl/>
              <w:spacing w:line="200" w:lineRule="exact"/>
              <w:jc w:val="center"/>
              <w:textAlignment w:val="center"/>
              <w:rPr>
                <w:color w:val="000000"/>
                <w:sz w:val="20"/>
                <w:szCs w:val="20"/>
              </w:rPr>
            </w:pPr>
            <w:r>
              <w:rPr>
                <w:color w:val="000000"/>
                <w:kern w:val="0"/>
                <w:sz w:val="20"/>
                <w:szCs w:val="20"/>
              </w:rPr>
              <w:t>全年实际完成情况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vAlign w:val="center"/>
          </w:tcPr>
          <w:p>
            <w:pPr>
              <w:widowControl/>
              <w:spacing w:line="200" w:lineRule="exact"/>
              <w:jc w:val="center"/>
              <w:rPr>
                <w:color w:val="000000"/>
                <w:sz w:val="20"/>
                <w:szCs w:val="20"/>
              </w:rPr>
            </w:pPr>
          </w:p>
        </w:tc>
        <w:tc>
          <w:tcPr>
            <w:tcW w:w="2429" w:type="pct"/>
            <w:gridSpan w:val="4"/>
            <w:vAlign w:val="center"/>
          </w:tcPr>
          <w:p>
            <w:pPr>
              <w:widowControl/>
              <w:spacing w:line="200" w:lineRule="exact"/>
              <w:rPr>
                <w:color w:val="000000"/>
                <w:sz w:val="20"/>
                <w:szCs w:val="20"/>
              </w:rPr>
            </w:pPr>
            <w:r>
              <w:rPr>
                <w:rFonts w:hint="eastAsia"/>
                <w:color w:val="000000"/>
                <w:sz w:val="20"/>
                <w:szCs w:val="20"/>
              </w:rPr>
              <w:t>油茶保障性苗圃建设、沐川林竹发展有限公司贷款贴息121.58万元、四川永丰浆纸股份有限公司贷款贴息216.25万元、四川永丰纸业股份有限公司贷款贴息257.55万元</w:t>
            </w:r>
            <w:r>
              <w:rPr>
                <w:color w:val="000000"/>
                <w:sz w:val="20"/>
                <w:szCs w:val="20"/>
              </w:rPr>
              <w:t>。</w:t>
            </w:r>
          </w:p>
        </w:tc>
        <w:tc>
          <w:tcPr>
            <w:tcW w:w="2150" w:type="pct"/>
            <w:gridSpan w:val="3"/>
            <w:vAlign w:val="center"/>
          </w:tcPr>
          <w:p>
            <w:pPr>
              <w:widowControl/>
              <w:spacing w:line="200" w:lineRule="exact"/>
              <w:rPr>
                <w:color w:val="000000"/>
                <w:sz w:val="20"/>
                <w:szCs w:val="20"/>
              </w:rPr>
            </w:pPr>
            <w:r>
              <w:rPr>
                <w:color w:val="000000"/>
                <w:sz w:val="20"/>
                <w:szCs w:val="20"/>
              </w:rPr>
              <w:t>完成年产200万株良种油茶苗保障性苗圃</w:t>
            </w:r>
            <w:r>
              <w:rPr>
                <w:rFonts w:hint="eastAsia"/>
                <w:color w:val="000000"/>
                <w:sz w:val="20"/>
                <w:szCs w:val="20"/>
              </w:rPr>
              <w:t>，完成贷款贴息项目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restart"/>
            <w:textDirection w:val="tbRlV"/>
            <w:vAlign w:val="center"/>
          </w:tcPr>
          <w:p>
            <w:pPr>
              <w:widowControl/>
              <w:spacing w:line="200" w:lineRule="exact"/>
              <w:jc w:val="center"/>
              <w:textAlignment w:val="center"/>
              <w:rPr>
                <w:color w:val="000000"/>
                <w:sz w:val="20"/>
                <w:szCs w:val="20"/>
              </w:rPr>
            </w:pPr>
            <w:r>
              <w:rPr>
                <w:color w:val="000000"/>
                <w:kern w:val="0"/>
                <w:sz w:val="20"/>
                <w:szCs w:val="20"/>
              </w:rPr>
              <w:t>绩效指标</w:t>
            </w:r>
          </w:p>
        </w:tc>
        <w:tc>
          <w:tcPr>
            <w:tcW w:w="291" w:type="pct"/>
            <w:vAlign w:val="center"/>
          </w:tcPr>
          <w:p>
            <w:pPr>
              <w:widowControl/>
              <w:spacing w:line="180" w:lineRule="exact"/>
              <w:jc w:val="center"/>
              <w:textAlignment w:val="center"/>
              <w:rPr>
                <w:color w:val="000000"/>
                <w:kern w:val="0"/>
                <w:sz w:val="20"/>
                <w:szCs w:val="20"/>
              </w:rPr>
            </w:pPr>
            <w:r>
              <w:rPr>
                <w:color w:val="000000"/>
                <w:kern w:val="0"/>
                <w:sz w:val="20"/>
                <w:szCs w:val="20"/>
              </w:rPr>
              <w:t>一级</w:t>
            </w:r>
          </w:p>
          <w:p>
            <w:pPr>
              <w:widowControl/>
              <w:spacing w:line="180" w:lineRule="exact"/>
              <w:jc w:val="center"/>
              <w:textAlignment w:val="center"/>
              <w:rPr>
                <w:color w:val="000000"/>
                <w:sz w:val="20"/>
                <w:szCs w:val="20"/>
              </w:rPr>
            </w:pPr>
            <w:r>
              <w:rPr>
                <w:color w:val="000000"/>
                <w:kern w:val="0"/>
                <w:sz w:val="20"/>
                <w:szCs w:val="20"/>
              </w:rPr>
              <w:t>指标</w:t>
            </w: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二级指标</w:t>
            </w:r>
          </w:p>
        </w:tc>
        <w:tc>
          <w:tcPr>
            <w:tcW w:w="1475" w:type="pct"/>
            <w:gridSpan w:val="2"/>
            <w:vAlign w:val="center"/>
          </w:tcPr>
          <w:p>
            <w:pPr>
              <w:widowControl/>
              <w:spacing w:line="200" w:lineRule="exact"/>
              <w:jc w:val="center"/>
              <w:textAlignment w:val="center"/>
              <w:rPr>
                <w:color w:val="000000"/>
                <w:sz w:val="20"/>
                <w:szCs w:val="20"/>
              </w:rPr>
            </w:pPr>
            <w:r>
              <w:rPr>
                <w:color w:val="000000"/>
                <w:kern w:val="0"/>
                <w:sz w:val="20"/>
                <w:szCs w:val="20"/>
              </w:rPr>
              <w:t>三级指标</w:t>
            </w:r>
          </w:p>
        </w:tc>
        <w:tc>
          <w:tcPr>
            <w:tcW w:w="704" w:type="pct"/>
            <w:vAlign w:val="center"/>
          </w:tcPr>
          <w:p>
            <w:pPr>
              <w:widowControl/>
              <w:spacing w:line="200" w:lineRule="exact"/>
              <w:jc w:val="center"/>
              <w:textAlignment w:val="center"/>
              <w:rPr>
                <w:color w:val="000000"/>
                <w:sz w:val="20"/>
                <w:szCs w:val="20"/>
              </w:rPr>
            </w:pPr>
            <w:r>
              <w:rPr>
                <w:color w:val="000000"/>
                <w:kern w:val="0"/>
                <w:sz w:val="20"/>
                <w:szCs w:val="20"/>
              </w:rPr>
              <w:t>指标值</w:t>
            </w:r>
          </w:p>
        </w:tc>
        <w:tc>
          <w:tcPr>
            <w:tcW w:w="716" w:type="pct"/>
            <w:vAlign w:val="center"/>
          </w:tcPr>
          <w:p>
            <w:pPr>
              <w:widowControl/>
              <w:spacing w:line="200" w:lineRule="exact"/>
              <w:jc w:val="center"/>
              <w:textAlignment w:val="center"/>
              <w:rPr>
                <w:color w:val="000000"/>
                <w:sz w:val="20"/>
                <w:szCs w:val="20"/>
              </w:rPr>
            </w:pPr>
            <w:r>
              <w:rPr>
                <w:color w:val="000000"/>
                <w:kern w:val="0"/>
                <w:sz w:val="20"/>
                <w:szCs w:val="20"/>
              </w:rPr>
              <w:t>全年实际完成值</w:t>
            </w:r>
          </w:p>
        </w:tc>
        <w:tc>
          <w:tcPr>
            <w:tcW w:w="729" w:type="pct"/>
            <w:vAlign w:val="center"/>
          </w:tcPr>
          <w:p>
            <w:pPr>
              <w:widowControl/>
              <w:spacing w:line="200" w:lineRule="exact"/>
              <w:jc w:val="center"/>
              <w:textAlignment w:val="center"/>
              <w:rPr>
                <w:color w:val="000000"/>
                <w:sz w:val="20"/>
                <w:szCs w:val="20"/>
              </w:rPr>
            </w:pPr>
            <w:r>
              <w:rPr>
                <w:color w:val="000000"/>
                <w:kern w:val="0"/>
                <w:sz w:val="20"/>
                <w:szCs w:val="20"/>
              </w:rPr>
              <w:t>未完成原因和改进措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产</w:t>
            </w:r>
          </w:p>
          <w:p>
            <w:pPr>
              <w:widowControl/>
              <w:spacing w:line="200" w:lineRule="exact"/>
              <w:jc w:val="center"/>
              <w:textAlignment w:val="center"/>
              <w:rPr>
                <w:color w:val="000000"/>
                <w:kern w:val="0"/>
                <w:sz w:val="20"/>
                <w:szCs w:val="20"/>
              </w:rPr>
            </w:pPr>
            <w:r>
              <w:rPr>
                <w:color w:val="000000"/>
                <w:kern w:val="0"/>
                <w:sz w:val="20"/>
                <w:szCs w:val="20"/>
              </w:rPr>
              <w:t>出</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数量指标</w:t>
            </w:r>
          </w:p>
        </w:tc>
        <w:tc>
          <w:tcPr>
            <w:tcW w:w="1475" w:type="pct"/>
            <w:gridSpan w:val="2"/>
            <w:vAlign w:val="center"/>
          </w:tcPr>
          <w:p>
            <w:pPr>
              <w:widowControl/>
              <w:spacing w:line="200" w:lineRule="exact"/>
              <w:jc w:val="center"/>
              <w:rPr>
                <w:color w:val="000000"/>
                <w:sz w:val="20"/>
                <w:szCs w:val="20"/>
              </w:rPr>
            </w:pPr>
            <w:r>
              <w:rPr>
                <w:color w:val="000000"/>
                <w:sz w:val="20"/>
                <w:szCs w:val="20"/>
              </w:rPr>
              <w:t>建设面积</w:t>
            </w:r>
          </w:p>
        </w:tc>
        <w:tc>
          <w:tcPr>
            <w:tcW w:w="704" w:type="pct"/>
            <w:vAlign w:val="center"/>
          </w:tcPr>
          <w:p>
            <w:pPr>
              <w:widowControl/>
              <w:spacing w:line="200" w:lineRule="exact"/>
              <w:jc w:val="center"/>
              <w:rPr>
                <w:color w:val="000000"/>
                <w:sz w:val="20"/>
                <w:szCs w:val="20"/>
              </w:rPr>
            </w:pPr>
            <w:r>
              <w:rPr>
                <w:rFonts w:hint="eastAsia"/>
                <w:color w:val="000000"/>
                <w:sz w:val="20"/>
                <w:szCs w:val="20"/>
              </w:rPr>
              <w:t>=</w:t>
            </w:r>
            <w:r>
              <w:rPr>
                <w:color w:val="000000"/>
                <w:sz w:val="20"/>
                <w:szCs w:val="20"/>
              </w:rPr>
              <w:t>150亩</w:t>
            </w:r>
          </w:p>
        </w:tc>
        <w:tc>
          <w:tcPr>
            <w:tcW w:w="716" w:type="pct"/>
            <w:vAlign w:val="center"/>
          </w:tcPr>
          <w:p>
            <w:pPr>
              <w:widowControl/>
              <w:spacing w:line="200" w:lineRule="exact"/>
              <w:jc w:val="center"/>
              <w:rPr>
                <w:color w:val="000000"/>
                <w:sz w:val="20"/>
                <w:szCs w:val="20"/>
              </w:rPr>
            </w:pPr>
            <w:r>
              <w:rPr>
                <w:rFonts w:hint="eastAsia"/>
                <w:color w:val="000000"/>
                <w:sz w:val="20"/>
                <w:szCs w:val="20"/>
              </w:rPr>
              <w:t>=</w:t>
            </w:r>
            <w:r>
              <w:rPr>
                <w:color w:val="000000"/>
                <w:sz w:val="20"/>
                <w:szCs w:val="20"/>
              </w:rPr>
              <w:t>150亩</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rFonts w:hint="eastAsia"/>
                <w:color w:val="000000"/>
                <w:sz w:val="20"/>
                <w:szCs w:val="20"/>
              </w:rPr>
              <w:t>贷款贴息公司数量</w:t>
            </w:r>
          </w:p>
        </w:tc>
        <w:tc>
          <w:tcPr>
            <w:tcW w:w="704" w:type="pct"/>
            <w:vAlign w:val="center"/>
          </w:tcPr>
          <w:p>
            <w:pPr>
              <w:widowControl/>
              <w:spacing w:line="200" w:lineRule="exact"/>
              <w:jc w:val="center"/>
              <w:rPr>
                <w:color w:val="000000"/>
                <w:sz w:val="20"/>
                <w:szCs w:val="20"/>
              </w:rPr>
            </w:pPr>
            <w:r>
              <w:rPr>
                <w:rFonts w:hint="eastAsia"/>
                <w:color w:val="000000"/>
                <w:sz w:val="20"/>
                <w:szCs w:val="20"/>
              </w:rPr>
              <w:t>=3家</w:t>
            </w:r>
          </w:p>
        </w:tc>
        <w:tc>
          <w:tcPr>
            <w:tcW w:w="716" w:type="pct"/>
            <w:vAlign w:val="center"/>
          </w:tcPr>
          <w:p>
            <w:pPr>
              <w:widowControl/>
              <w:spacing w:line="200" w:lineRule="exact"/>
              <w:jc w:val="center"/>
              <w:rPr>
                <w:color w:val="000000"/>
                <w:sz w:val="20"/>
                <w:szCs w:val="20"/>
              </w:rPr>
            </w:pPr>
            <w:r>
              <w:rPr>
                <w:rFonts w:hint="eastAsia"/>
                <w:color w:val="000000"/>
                <w:sz w:val="20"/>
                <w:szCs w:val="20"/>
              </w:rPr>
              <w:t>=3家</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Align w:val="center"/>
          </w:tcPr>
          <w:p>
            <w:pPr>
              <w:widowControl/>
              <w:spacing w:line="200" w:lineRule="exact"/>
              <w:jc w:val="center"/>
              <w:textAlignment w:val="center"/>
              <w:rPr>
                <w:color w:val="000000"/>
                <w:sz w:val="20"/>
                <w:szCs w:val="20"/>
              </w:rPr>
            </w:pPr>
            <w:r>
              <w:rPr>
                <w:color w:val="000000"/>
                <w:kern w:val="0"/>
                <w:sz w:val="20"/>
                <w:szCs w:val="20"/>
              </w:rPr>
              <w:t>质量指标</w:t>
            </w:r>
          </w:p>
        </w:tc>
        <w:tc>
          <w:tcPr>
            <w:tcW w:w="1475" w:type="pct"/>
            <w:gridSpan w:val="2"/>
            <w:vAlign w:val="center"/>
          </w:tcPr>
          <w:p>
            <w:pPr>
              <w:widowControl/>
              <w:spacing w:line="200" w:lineRule="exact"/>
              <w:jc w:val="center"/>
              <w:rPr>
                <w:color w:val="000000"/>
                <w:sz w:val="20"/>
                <w:szCs w:val="20"/>
              </w:rPr>
            </w:pPr>
            <w:r>
              <w:rPr>
                <w:color w:val="000000"/>
                <w:sz w:val="20"/>
                <w:szCs w:val="20"/>
              </w:rPr>
              <w:t>竣工验收合格率</w:t>
            </w:r>
          </w:p>
        </w:tc>
        <w:tc>
          <w:tcPr>
            <w:tcW w:w="704" w:type="pct"/>
            <w:vAlign w:val="center"/>
          </w:tcPr>
          <w:p>
            <w:pPr>
              <w:widowControl/>
              <w:spacing w:line="200" w:lineRule="exact"/>
              <w:jc w:val="center"/>
              <w:rPr>
                <w:color w:val="000000"/>
                <w:sz w:val="20"/>
                <w:szCs w:val="20"/>
              </w:rPr>
            </w:pPr>
            <w:r>
              <w:rPr>
                <w:color w:val="000000"/>
                <w:sz w:val="20"/>
                <w:szCs w:val="20"/>
              </w:rPr>
              <w:t>＝100%</w:t>
            </w:r>
          </w:p>
        </w:tc>
        <w:tc>
          <w:tcPr>
            <w:tcW w:w="716" w:type="pct"/>
            <w:vAlign w:val="center"/>
          </w:tcPr>
          <w:p>
            <w:pPr>
              <w:widowControl/>
              <w:spacing w:line="200" w:lineRule="exact"/>
              <w:jc w:val="center"/>
              <w:rPr>
                <w:color w:val="000000"/>
                <w:sz w:val="20"/>
                <w:szCs w:val="20"/>
              </w:rPr>
            </w:pPr>
            <w:r>
              <w:rPr>
                <w:color w:val="000000"/>
                <w:sz w:val="20"/>
                <w:szCs w:val="20"/>
              </w:rPr>
              <w:t>=100%</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时效指标</w:t>
            </w:r>
          </w:p>
        </w:tc>
        <w:tc>
          <w:tcPr>
            <w:tcW w:w="1475" w:type="pct"/>
            <w:gridSpan w:val="2"/>
            <w:vAlign w:val="center"/>
          </w:tcPr>
          <w:p>
            <w:pPr>
              <w:widowControl/>
              <w:spacing w:line="200" w:lineRule="exact"/>
              <w:jc w:val="center"/>
              <w:rPr>
                <w:color w:val="000000"/>
                <w:sz w:val="20"/>
                <w:szCs w:val="20"/>
              </w:rPr>
            </w:pPr>
            <w:r>
              <w:rPr>
                <w:color w:val="000000"/>
                <w:sz w:val="20"/>
                <w:szCs w:val="20"/>
              </w:rPr>
              <w:t>项目按计划完工率</w:t>
            </w:r>
          </w:p>
        </w:tc>
        <w:tc>
          <w:tcPr>
            <w:tcW w:w="704" w:type="pct"/>
            <w:vAlign w:val="center"/>
          </w:tcPr>
          <w:p>
            <w:pPr>
              <w:widowControl/>
              <w:spacing w:line="200" w:lineRule="exact"/>
              <w:jc w:val="center"/>
              <w:rPr>
                <w:color w:val="000000"/>
                <w:sz w:val="20"/>
                <w:szCs w:val="20"/>
              </w:rPr>
            </w:pPr>
            <w:r>
              <w:rPr>
                <w:color w:val="000000"/>
                <w:sz w:val="20"/>
                <w:szCs w:val="20"/>
              </w:rPr>
              <w:t>≥96%</w:t>
            </w:r>
          </w:p>
        </w:tc>
        <w:tc>
          <w:tcPr>
            <w:tcW w:w="716" w:type="pct"/>
            <w:vAlign w:val="center"/>
          </w:tcPr>
          <w:p>
            <w:pPr>
              <w:widowControl/>
              <w:spacing w:line="200" w:lineRule="exact"/>
              <w:jc w:val="center"/>
              <w:rPr>
                <w:color w:val="000000"/>
                <w:sz w:val="20"/>
                <w:szCs w:val="20"/>
              </w:rPr>
            </w:pPr>
            <w:r>
              <w:rPr>
                <w:color w:val="000000"/>
                <w:sz w:val="20"/>
                <w:szCs w:val="20"/>
              </w:rPr>
              <w:t>≥97%</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rFonts w:hint="eastAsia"/>
                <w:color w:val="000000"/>
                <w:sz w:val="20"/>
                <w:szCs w:val="20"/>
              </w:rPr>
              <w:t>资金拨付及时率</w:t>
            </w:r>
          </w:p>
        </w:tc>
        <w:tc>
          <w:tcPr>
            <w:tcW w:w="704" w:type="pct"/>
            <w:vAlign w:val="center"/>
          </w:tcPr>
          <w:p>
            <w:pPr>
              <w:widowControl/>
              <w:spacing w:line="200" w:lineRule="exact"/>
              <w:jc w:val="center"/>
              <w:rPr>
                <w:color w:val="000000"/>
                <w:sz w:val="20"/>
                <w:szCs w:val="20"/>
              </w:rPr>
            </w:pPr>
            <w:r>
              <w:rPr>
                <w:rFonts w:hint="eastAsia"/>
                <w:color w:val="000000"/>
                <w:sz w:val="20"/>
                <w:szCs w:val="20"/>
              </w:rPr>
              <w:t>≥95%</w:t>
            </w:r>
          </w:p>
        </w:tc>
        <w:tc>
          <w:tcPr>
            <w:tcW w:w="716" w:type="pct"/>
            <w:vAlign w:val="center"/>
          </w:tcPr>
          <w:p>
            <w:pPr>
              <w:widowControl/>
              <w:spacing w:line="200" w:lineRule="exact"/>
              <w:jc w:val="center"/>
              <w:rPr>
                <w:color w:val="000000"/>
                <w:sz w:val="20"/>
                <w:szCs w:val="20"/>
              </w:rPr>
            </w:pPr>
            <w:r>
              <w:rPr>
                <w:rFonts w:hint="eastAsia"/>
                <w:color w:val="000000"/>
                <w:sz w:val="20"/>
                <w:szCs w:val="20"/>
              </w:rPr>
              <w:t>≥95%</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restart"/>
            <w:vAlign w:val="center"/>
          </w:tcPr>
          <w:p>
            <w:pPr>
              <w:widowControl/>
              <w:spacing w:line="200" w:lineRule="exact"/>
              <w:jc w:val="center"/>
              <w:textAlignment w:val="center"/>
              <w:rPr>
                <w:color w:val="000000"/>
                <w:sz w:val="20"/>
                <w:szCs w:val="20"/>
              </w:rPr>
            </w:pPr>
            <w:r>
              <w:rPr>
                <w:color w:val="000000"/>
                <w:kern w:val="0"/>
                <w:sz w:val="20"/>
                <w:szCs w:val="20"/>
              </w:rPr>
              <w:t>成本指标</w:t>
            </w:r>
          </w:p>
        </w:tc>
        <w:tc>
          <w:tcPr>
            <w:tcW w:w="1475" w:type="pct"/>
            <w:gridSpan w:val="2"/>
            <w:vAlign w:val="center"/>
          </w:tcPr>
          <w:p>
            <w:pPr>
              <w:widowControl/>
              <w:spacing w:line="200" w:lineRule="exact"/>
              <w:jc w:val="center"/>
              <w:rPr>
                <w:color w:val="000000"/>
                <w:sz w:val="20"/>
                <w:szCs w:val="20"/>
              </w:rPr>
            </w:pPr>
            <w:r>
              <w:rPr>
                <w:color w:val="000000"/>
                <w:sz w:val="20"/>
                <w:szCs w:val="20"/>
              </w:rPr>
              <w:t>建设成本</w:t>
            </w:r>
          </w:p>
        </w:tc>
        <w:tc>
          <w:tcPr>
            <w:tcW w:w="704" w:type="pct"/>
            <w:vAlign w:val="center"/>
          </w:tcPr>
          <w:p>
            <w:pPr>
              <w:widowControl/>
              <w:spacing w:line="200" w:lineRule="exact"/>
              <w:jc w:val="center"/>
              <w:rPr>
                <w:color w:val="000000"/>
                <w:sz w:val="20"/>
                <w:szCs w:val="20"/>
              </w:rPr>
            </w:pPr>
            <w:r>
              <w:rPr>
                <w:color w:val="000000"/>
                <w:sz w:val="20"/>
                <w:szCs w:val="20"/>
              </w:rPr>
              <w:t>≤150万元</w:t>
            </w:r>
          </w:p>
        </w:tc>
        <w:tc>
          <w:tcPr>
            <w:tcW w:w="716" w:type="pct"/>
            <w:vAlign w:val="center"/>
          </w:tcPr>
          <w:p>
            <w:pPr>
              <w:widowControl/>
              <w:spacing w:line="200" w:lineRule="exact"/>
              <w:jc w:val="center"/>
              <w:rPr>
                <w:color w:val="000000"/>
                <w:sz w:val="20"/>
                <w:szCs w:val="20"/>
              </w:rPr>
            </w:pPr>
            <w:r>
              <w:rPr>
                <w:rFonts w:hint="eastAsia"/>
                <w:color w:val="000000"/>
                <w:sz w:val="20"/>
                <w:szCs w:val="20"/>
              </w:rPr>
              <w:t>≤150</w:t>
            </w:r>
            <w:r>
              <w:rPr>
                <w:color w:val="000000"/>
                <w:sz w:val="20"/>
                <w:szCs w:val="20"/>
              </w:rPr>
              <w:t>万元</w:t>
            </w:r>
          </w:p>
        </w:tc>
        <w:tc>
          <w:tcPr>
            <w:tcW w:w="729" w:type="pct"/>
            <w:vAlign w:val="center"/>
          </w:tcPr>
          <w:p>
            <w:pPr>
              <w:widowControl/>
              <w:spacing w:line="200" w:lineRule="exact"/>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rPr>
                <w:color w:val="000000"/>
                <w:sz w:val="20"/>
                <w:szCs w:val="20"/>
              </w:rPr>
            </w:pPr>
          </w:p>
        </w:tc>
        <w:tc>
          <w:tcPr>
            <w:tcW w:w="662" w:type="pct"/>
            <w:vMerge w:val="continue"/>
            <w:vAlign w:val="center"/>
          </w:tcPr>
          <w:p>
            <w:pPr>
              <w:widowControl/>
              <w:spacing w:line="200" w:lineRule="exact"/>
              <w:jc w:val="center"/>
              <w:textAlignment w:val="center"/>
              <w:rPr>
                <w:color w:val="000000"/>
                <w:kern w:val="0"/>
                <w:sz w:val="20"/>
                <w:szCs w:val="20"/>
              </w:rPr>
            </w:pPr>
          </w:p>
        </w:tc>
        <w:tc>
          <w:tcPr>
            <w:tcW w:w="1475" w:type="pct"/>
            <w:gridSpan w:val="2"/>
            <w:vAlign w:val="center"/>
          </w:tcPr>
          <w:p>
            <w:pPr>
              <w:widowControl/>
              <w:spacing w:line="200" w:lineRule="exact"/>
              <w:jc w:val="center"/>
              <w:rPr>
                <w:color w:val="000000"/>
                <w:sz w:val="20"/>
                <w:szCs w:val="20"/>
              </w:rPr>
            </w:pPr>
            <w:r>
              <w:rPr>
                <w:rFonts w:hint="eastAsia"/>
                <w:color w:val="000000"/>
                <w:sz w:val="20"/>
                <w:szCs w:val="20"/>
              </w:rPr>
              <w:t>贷款贴息金额</w:t>
            </w:r>
          </w:p>
        </w:tc>
        <w:tc>
          <w:tcPr>
            <w:tcW w:w="704" w:type="pct"/>
            <w:vAlign w:val="center"/>
          </w:tcPr>
          <w:p>
            <w:pPr>
              <w:widowControl/>
              <w:spacing w:line="200" w:lineRule="exact"/>
              <w:jc w:val="center"/>
              <w:rPr>
                <w:color w:val="000000"/>
                <w:sz w:val="20"/>
                <w:szCs w:val="20"/>
              </w:rPr>
            </w:pPr>
            <w:r>
              <w:rPr>
                <w:rFonts w:hint="eastAsia"/>
                <w:color w:val="000000"/>
                <w:sz w:val="20"/>
                <w:szCs w:val="20"/>
              </w:rPr>
              <w:t>=595.38万元</w:t>
            </w:r>
          </w:p>
        </w:tc>
        <w:tc>
          <w:tcPr>
            <w:tcW w:w="716" w:type="pct"/>
            <w:vAlign w:val="center"/>
          </w:tcPr>
          <w:p>
            <w:pPr>
              <w:widowControl/>
              <w:spacing w:line="200" w:lineRule="exact"/>
              <w:jc w:val="center"/>
              <w:rPr>
                <w:color w:val="000000"/>
                <w:sz w:val="20"/>
                <w:szCs w:val="20"/>
              </w:rPr>
            </w:pPr>
            <w:r>
              <w:rPr>
                <w:rFonts w:hint="eastAsia"/>
                <w:color w:val="000000"/>
                <w:sz w:val="20"/>
                <w:szCs w:val="20"/>
              </w:rPr>
              <w:t>=595.38万元</w:t>
            </w:r>
          </w:p>
        </w:tc>
        <w:tc>
          <w:tcPr>
            <w:tcW w:w="729" w:type="pct"/>
            <w:vAlign w:val="center"/>
          </w:tcPr>
          <w:p>
            <w:pPr>
              <w:widowControl/>
              <w:spacing w:line="200" w:lineRule="exact"/>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restart"/>
            <w:vAlign w:val="center"/>
          </w:tcPr>
          <w:p>
            <w:pPr>
              <w:widowControl/>
              <w:spacing w:line="200" w:lineRule="exact"/>
              <w:jc w:val="center"/>
              <w:textAlignment w:val="center"/>
              <w:rPr>
                <w:color w:val="000000"/>
                <w:kern w:val="0"/>
                <w:sz w:val="20"/>
                <w:szCs w:val="20"/>
              </w:rPr>
            </w:pPr>
            <w:r>
              <w:rPr>
                <w:color w:val="000000"/>
                <w:kern w:val="0"/>
                <w:sz w:val="20"/>
                <w:szCs w:val="20"/>
              </w:rPr>
              <w:t>效</w:t>
            </w:r>
          </w:p>
          <w:p>
            <w:pPr>
              <w:widowControl/>
              <w:spacing w:line="200" w:lineRule="exact"/>
              <w:jc w:val="center"/>
              <w:textAlignment w:val="center"/>
              <w:rPr>
                <w:color w:val="000000"/>
                <w:kern w:val="0"/>
                <w:sz w:val="20"/>
                <w:szCs w:val="20"/>
              </w:rPr>
            </w:pPr>
            <w:r>
              <w:rPr>
                <w:color w:val="000000"/>
                <w:kern w:val="0"/>
                <w:sz w:val="20"/>
                <w:szCs w:val="20"/>
              </w:rPr>
              <w:t>益</w:t>
            </w:r>
          </w:p>
          <w:p>
            <w:pPr>
              <w:widowControl/>
              <w:spacing w:line="200" w:lineRule="exact"/>
              <w:jc w:val="center"/>
              <w:textAlignment w:val="center"/>
              <w:rPr>
                <w:color w:val="000000"/>
                <w:kern w:val="0"/>
                <w:sz w:val="20"/>
                <w:szCs w:val="20"/>
              </w:rPr>
            </w:pPr>
            <w:r>
              <w:rPr>
                <w:color w:val="000000"/>
                <w:kern w:val="0"/>
                <w:sz w:val="20"/>
                <w:szCs w:val="20"/>
              </w:rPr>
              <w:t>指</w:t>
            </w:r>
          </w:p>
          <w:p>
            <w:pPr>
              <w:widowControl/>
              <w:spacing w:line="200" w:lineRule="exact"/>
              <w:jc w:val="center"/>
              <w:textAlignment w:val="center"/>
              <w:rPr>
                <w:color w:val="000000"/>
                <w:sz w:val="20"/>
                <w:szCs w:val="20"/>
              </w:rPr>
            </w:pPr>
            <w:r>
              <w:rPr>
                <w:color w:val="000000"/>
                <w:kern w:val="0"/>
                <w:sz w:val="20"/>
                <w:szCs w:val="20"/>
              </w:rPr>
              <w:t>标</w:t>
            </w:r>
          </w:p>
        </w:tc>
        <w:tc>
          <w:tcPr>
            <w:tcW w:w="662" w:type="pct"/>
            <w:vAlign w:val="center"/>
          </w:tcPr>
          <w:p>
            <w:pPr>
              <w:widowControl/>
              <w:spacing w:line="200" w:lineRule="exact"/>
              <w:jc w:val="center"/>
              <w:textAlignment w:val="center"/>
              <w:rPr>
                <w:kern w:val="0"/>
                <w:sz w:val="20"/>
                <w:szCs w:val="20"/>
              </w:rPr>
            </w:pPr>
            <w:r>
              <w:rPr>
                <w:kern w:val="0"/>
                <w:sz w:val="20"/>
                <w:szCs w:val="20"/>
              </w:rPr>
              <w:t>社会效益</w:t>
            </w:r>
          </w:p>
          <w:p>
            <w:pPr>
              <w:widowControl/>
              <w:spacing w:line="200" w:lineRule="exact"/>
              <w:jc w:val="center"/>
              <w:textAlignment w:val="center"/>
              <w:rPr>
                <w:sz w:val="20"/>
                <w:szCs w:val="20"/>
              </w:rPr>
            </w:pPr>
            <w:r>
              <w:rPr>
                <w:kern w:val="0"/>
                <w:sz w:val="20"/>
                <w:szCs w:val="20"/>
              </w:rPr>
              <w:t>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解决剩余劳动力</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Merge w:val="continue"/>
            <w:vAlign w:val="center"/>
          </w:tcPr>
          <w:p>
            <w:pPr>
              <w:widowControl/>
              <w:spacing w:line="200" w:lineRule="exact"/>
              <w:jc w:val="center"/>
              <w:textAlignment w:val="center"/>
              <w:rPr>
                <w:color w:val="000000"/>
                <w:kern w:val="0"/>
                <w:sz w:val="20"/>
                <w:szCs w:val="20"/>
              </w:rPr>
            </w:pPr>
          </w:p>
        </w:tc>
        <w:tc>
          <w:tcPr>
            <w:tcW w:w="662" w:type="pct"/>
            <w:vAlign w:val="center"/>
          </w:tcPr>
          <w:p>
            <w:pPr>
              <w:widowControl/>
              <w:spacing w:line="200" w:lineRule="exact"/>
              <w:jc w:val="center"/>
              <w:textAlignment w:val="center"/>
              <w:rPr>
                <w:kern w:val="0"/>
                <w:sz w:val="20"/>
                <w:szCs w:val="20"/>
              </w:rPr>
            </w:pPr>
            <w:r>
              <w:rPr>
                <w:kern w:val="0"/>
                <w:sz w:val="20"/>
                <w:szCs w:val="20"/>
              </w:rPr>
              <w:t>经济效益指标</w:t>
            </w:r>
          </w:p>
        </w:tc>
        <w:tc>
          <w:tcPr>
            <w:tcW w:w="1475" w:type="pct"/>
            <w:gridSpan w:val="2"/>
            <w:vAlign w:val="center"/>
          </w:tcPr>
          <w:p>
            <w:pPr>
              <w:widowControl/>
              <w:spacing w:line="200" w:lineRule="exact"/>
              <w:ind w:firstLine="200" w:firstLineChars="100"/>
              <w:jc w:val="center"/>
              <w:rPr>
                <w:color w:val="000000"/>
                <w:sz w:val="20"/>
                <w:szCs w:val="20"/>
              </w:rPr>
            </w:pPr>
            <w:r>
              <w:rPr>
                <w:color w:val="000000"/>
                <w:sz w:val="20"/>
                <w:szCs w:val="20"/>
              </w:rPr>
              <w:t>增加经济收入</w:t>
            </w:r>
          </w:p>
        </w:tc>
        <w:tc>
          <w:tcPr>
            <w:tcW w:w="704" w:type="pct"/>
            <w:vAlign w:val="center"/>
          </w:tcPr>
          <w:p>
            <w:pPr>
              <w:widowControl/>
              <w:spacing w:line="200" w:lineRule="exact"/>
              <w:jc w:val="center"/>
              <w:rPr>
                <w:color w:val="000000"/>
                <w:sz w:val="20"/>
                <w:szCs w:val="20"/>
              </w:rPr>
            </w:pPr>
            <w:r>
              <w:rPr>
                <w:color w:val="000000"/>
                <w:sz w:val="20"/>
                <w:szCs w:val="20"/>
              </w:rPr>
              <w:t>优</w:t>
            </w:r>
          </w:p>
        </w:tc>
        <w:tc>
          <w:tcPr>
            <w:tcW w:w="716" w:type="pct"/>
            <w:vAlign w:val="center"/>
          </w:tcPr>
          <w:p>
            <w:pPr>
              <w:widowControl/>
              <w:spacing w:line="200" w:lineRule="exact"/>
              <w:jc w:val="center"/>
              <w:rPr>
                <w:color w:val="000000"/>
                <w:sz w:val="20"/>
                <w:szCs w:val="20"/>
              </w:rPr>
            </w:pPr>
            <w:r>
              <w:rPr>
                <w:color w:val="000000"/>
                <w:sz w:val="20"/>
                <w:szCs w:val="20"/>
              </w:rPr>
              <w:t>优</w:t>
            </w:r>
          </w:p>
        </w:tc>
        <w:tc>
          <w:tcPr>
            <w:tcW w:w="729" w:type="pct"/>
            <w:vAlign w:val="center"/>
          </w:tcPr>
          <w:p>
            <w:pPr>
              <w:widowControl/>
              <w:spacing w:line="200" w:lineRule="exact"/>
              <w:jc w:val="center"/>
              <w:rPr>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Merge w:val="continue"/>
            <w:textDirection w:val="tbRlV"/>
            <w:vAlign w:val="center"/>
          </w:tcPr>
          <w:p>
            <w:pPr>
              <w:widowControl/>
              <w:spacing w:line="200" w:lineRule="exact"/>
              <w:jc w:val="center"/>
              <w:rPr>
                <w:color w:val="000000"/>
                <w:sz w:val="20"/>
                <w:szCs w:val="20"/>
              </w:rPr>
            </w:pPr>
          </w:p>
        </w:tc>
        <w:tc>
          <w:tcPr>
            <w:tcW w:w="291" w:type="pct"/>
            <w:vAlign w:val="center"/>
          </w:tcPr>
          <w:p>
            <w:pPr>
              <w:widowControl/>
              <w:spacing w:line="180" w:lineRule="exact"/>
              <w:jc w:val="center"/>
              <w:textAlignment w:val="center"/>
              <w:rPr>
                <w:color w:val="000000"/>
                <w:sz w:val="20"/>
                <w:szCs w:val="20"/>
              </w:rPr>
            </w:pPr>
            <w:r>
              <w:rPr>
                <w:color w:val="000000"/>
                <w:kern w:val="0"/>
                <w:sz w:val="20"/>
                <w:szCs w:val="20"/>
              </w:rPr>
              <w:t>满意度指标</w:t>
            </w:r>
          </w:p>
        </w:tc>
        <w:tc>
          <w:tcPr>
            <w:tcW w:w="662" w:type="pct"/>
            <w:vAlign w:val="center"/>
          </w:tcPr>
          <w:p>
            <w:pPr>
              <w:widowControl/>
              <w:spacing w:line="200" w:lineRule="exact"/>
              <w:jc w:val="center"/>
              <w:textAlignment w:val="center"/>
              <w:rPr>
                <w:kern w:val="0"/>
                <w:sz w:val="20"/>
                <w:szCs w:val="20"/>
              </w:rPr>
            </w:pPr>
            <w:r>
              <w:rPr>
                <w:kern w:val="0"/>
                <w:sz w:val="20"/>
                <w:szCs w:val="20"/>
              </w:rPr>
              <w:t>服务对象</w:t>
            </w:r>
          </w:p>
          <w:p>
            <w:pPr>
              <w:widowControl/>
              <w:spacing w:line="200" w:lineRule="exact"/>
              <w:jc w:val="center"/>
              <w:textAlignment w:val="center"/>
              <w:rPr>
                <w:sz w:val="20"/>
                <w:szCs w:val="20"/>
              </w:rPr>
            </w:pPr>
            <w:r>
              <w:rPr>
                <w:kern w:val="0"/>
                <w:sz w:val="20"/>
                <w:szCs w:val="20"/>
              </w:rPr>
              <w:t>满意度指标</w:t>
            </w:r>
          </w:p>
        </w:tc>
        <w:tc>
          <w:tcPr>
            <w:tcW w:w="1475" w:type="pct"/>
            <w:gridSpan w:val="2"/>
            <w:vAlign w:val="center"/>
          </w:tcPr>
          <w:p>
            <w:pPr>
              <w:widowControl/>
              <w:spacing w:line="200" w:lineRule="exact"/>
              <w:jc w:val="center"/>
              <w:rPr>
                <w:sz w:val="20"/>
                <w:szCs w:val="20"/>
              </w:rPr>
            </w:pPr>
            <w:r>
              <w:rPr>
                <w:color w:val="000000"/>
                <w:sz w:val="20"/>
                <w:szCs w:val="20"/>
              </w:rPr>
              <w:t>茶农满意度</w:t>
            </w:r>
          </w:p>
        </w:tc>
        <w:tc>
          <w:tcPr>
            <w:tcW w:w="704" w:type="pct"/>
            <w:vAlign w:val="center"/>
          </w:tcPr>
          <w:p>
            <w:pPr>
              <w:widowControl/>
              <w:spacing w:line="200" w:lineRule="exact"/>
              <w:jc w:val="center"/>
              <w:rPr>
                <w:sz w:val="20"/>
                <w:szCs w:val="20"/>
              </w:rPr>
            </w:pPr>
            <w:r>
              <w:rPr>
                <w:color w:val="000000"/>
                <w:sz w:val="20"/>
                <w:szCs w:val="20"/>
              </w:rPr>
              <w:t>≥90%</w:t>
            </w:r>
          </w:p>
        </w:tc>
        <w:tc>
          <w:tcPr>
            <w:tcW w:w="716" w:type="pct"/>
            <w:vAlign w:val="center"/>
          </w:tcPr>
          <w:p>
            <w:pPr>
              <w:widowControl/>
              <w:spacing w:line="200" w:lineRule="exact"/>
              <w:jc w:val="center"/>
              <w:rPr>
                <w:sz w:val="20"/>
                <w:szCs w:val="20"/>
              </w:rPr>
            </w:pPr>
            <w:r>
              <w:rPr>
                <w:color w:val="000000"/>
                <w:sz w:val="20"/>
                <w:szCs w:val="20"/>
              </w:rPr>
              <w:t>≥90%</w:t>
            </w:r>
          </w:p>
        </w:tc>
        <w:tc>
          <w:tcPr>
            <w:tcW w:w="729" w:type="pct"/>
            <w:vAlign w:val="center"/>
          </w:tcPr>
          <w:p>
            <w:pPr>
              <w:widowControl/>
              <w:spacing w:line="200" w:lineRule="exact"/>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420" w:type="pct"/>
            <w:vAlign w:val="center"/>
          </w:tcPr>
          <w:p>
            <w:pPr>
              <w:widowControl/>
              <w:spacing w:line="200" w:lineRule="exact"/>
              <w:jc w:val="center"/>
              <w:textAlignment w:val="center"/>
              <w:rPr>
                <w:color w:val="000000"/>
                <w:sz w:val="20"/>
                <w:szCs w:val="20"/>
              </w:rPr>
            </w:pPr>
            <w:r>
              <w:rPr>
                <w:color w:val="000000"/>
                <w:kern w:val="0"/>
                <w:sz w:val="20"/>
                <w:szCs w:val="20"/>
              </w:rPr>
              <w:t>说明</w:t>
            </w:r>
          </w:p>
        </w:tc>
        <w:tc>
          <w:tcPr>
            <w:tcW w:w="4579" w:type="pct"/>
            <w:gridSpan w:val="7"/>
            <w:vAlign w:val="center"/>
          </w:tcPr>
          <w:p>
            <w:pPr>
              <w:widowControl/>
              <w:spacing w:line="200" w:lineRule="exact"/>
              <w:jc w:val="center"/>
              <w:textAlignment w:val="center"/>
              <w:rPr>
                <w:color w:val="000000"/>
                <w:sz w:val="20"/>
                <w:szCs w:val="20"/>
              </w:rPr>
            </w:pPr>
            <w:r>
              <w:rPr>
                <w:color w:val="000000"/>
                <w:kern w:val="0"/>
                <w:sz w:val="20"/>
                <w:szCs w:val="20"/>
              </w:rPr>
              <w:t>请在此处简要说明各级巡视（巡察）、各级审计和财政监督中发现的问题及其所涉及的金额，如没有请填无。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注：1.其他资金包括与中央、省级财政补助资金、市（县）级财政资金共同投入到同一项目的自有资金、社会资金，以及以前年度的结转结余资金等。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2.定量指标，主管部门对资金使用单位填写的实际完成值汇总时，绝对值直接累加计算，相对值按照资金额度加权平均计算。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3.定性指标。资金使用单位分别按照100%-80%（含）、80%-60%（含）、60-0%合理填写实际完成值，在汇总时，按照资金额度加权平均计算。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5000" w:type="pct"/>
            <w:gridSpan w:val="8"/>
            <w:vAlign w:val="center"/>
          </w:tcPr>
          <w:p>
            <w:pPr>
              <w:widowControl/>
              <w:spacing w:line="180" w:lineRule="exact"/>
              <w:jc w:val="left"/>
              <w:textAlignment w:val="center"/>
              <w:rPr>
                <w:rFonts w:eastAsia="楷体_GB2312"/>
                <w:color w:val="000000"/>
                <w:sz w:val="16"/>
                <w:szCs w:val="16"/>
              </w:rPr>
            </w:pPr>
            <w:r>
              <w:rPr>
                <w:rFonts w:eastAsia="楷体_GB2312"/>
                <w:color w:val="000000"/>
                <w:kern w:val="0"/>
                <w:sz w:val="16"/>
                <w:szCs w:val="16"/>
              </w:rPr>
              <w:t xml:space="preserve">    4.全年执行数是指按照国库集中支付制度要求，支付到商品和劳务供应者或者用款单位形成的实际支出。</w:t>
            </w:r>
          </w:p>
        </w:tc>
      </w:tr>
    </w:tbl>
    <w:p>
      <w:pPr>
        <w:sectPr>
          <w:footerReference r:id="rId3" w:type="default"/>
          <w:pgSz w:w="11906" w:h="16838"/>
          <w:pgMar w:top="1440" w:right="1800" w:bottom="1440" w:left="1800" w:header="851" w:footer="992" w:gutter="0"/>
          <w:pgNumType w:fmt="numberInDash"/>
          <w:cols w:space="425" w:num="1"/>
          <w:docGrid w:type="lines" w:linePitch="312" w:charSpace="0"/>
        </w:sectPr>
      </w:pPr>
    </w:p>
    <w:p>
      <w:pPr>
        <w:pStyle w:val="3"/>
        <w:spacing w:before="0" w:after="0" w:line="360" w:lineRule="auto"/>
        <w:rPr>
          <w:rFonts w:eastAsia="黑体"/>
          <w:sz w:val="32"/>
        </w:rPr>
      </w:pPr>
      <w:r>
        <w:rPr>
          <w:rFonts w:eastAsia="黑体"/>
          <w:sz w:val="32"/>
        </w:rPr>
        <w:t>附件2</w:t>
      </w:r>
    </w:p>
    <w:p>
      <w:pPr>
        <w:jc w:val="center"/>
        <w:rPr>
          <w:rFonts w:eastAsia="方正公文楷体"/>
          <w:color w:val="000000"/>
          <w:kern w:val="0"/>
          <w:sz w:val="24"/>
          <w:szCs w:val="24"/>
        </w:rPr>
      </w:pPr>
      <w:r>
        <w:rPr>
          <w:rFonts w:eastAsia="方正公文楷体"/>
          <w:color w:val="000000"/>
          <w:kern w:val="0"/>
          <w:sz w:val="24"/>
          <w:szCs w:val="24"/>
        </w:rPr>
        <w:t>2022年度改革发展资金造林项目支出绩效评价</w:t>
      </w:r>
      <w:r>
        <w:rPr>
          <w:rFonts w:hint="eastAsia" w:eastAsia="方正公文楷体"/>
          <w:color w:val="000000"/>
          <w:kern w:val="0"/>
          <w:sz w:val="24"/>
          <w:szCs w:val="24"/>
        </w:rPr>
        <w:t>自评得分表</w:t>
      </w:r>
    </w:p>
    <w:tbl>
      <w:tblPr>
        <w:tblStyle w:val="1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9"/>
        <w:gridCol w:w="431"/>
        <w:gridCol w:w="1402"/>
        <w:gridCol w:w="1140"/>
        <w:gridCol w:w="1071"/>
        <w:gridCol w:w="1880"/>
        <w:gridCol w:w="1127"/>
        <w:gridCol w:w="781"/>
        <w:gridCol w:w="584"/>
        <w:gridCol w:w="506"/>
        <w:gridCol w:w="609"/>
        <w:gridCol w:w="615"/>
        <w:gridCol w:w="4210"/>
        <w:gridCol w:w="6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分值权重</w:t>
            </w:r>
          </w:p>
        </w:tc>
        <w:tc>
          <w:tcPr>
            <w:tcW w:w="1295" w:type="pct"/>
            <w:gridSpan w:val="4"/>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分层分类指标</w:t>
            </w:r>
          </w:p>
        </w:tc>
        <w:tc>
          <w:tcPr>
            <w:tcW w:w="602"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指标解释</w:t>
            </w:r>
          </w:p>
        </w:tc>
        <w:tc>
          <w:tcPr>
            <w:tcW w:w="1352" w:type="pct"/>
            <w:gridSpan w:val="6"/>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评分方法</w:t>
            </w:r>
          </w:p>
        </w:tc>
        <w:tc>
          <w:tcPr>
            <w:tcW w:w="1348"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评价要点及说明</w:t>
            </w:r>
          </w:p>
        </w:tc>
        <w:tc>
          <w:tcPr>
            <w:tcW w:w="211" w:type="pct"/>
            <w:vMerge w:val="restart"/>
            <w:tcBorders>
              <w:bottom w:val="single" w:color="auto" w:sz="4" w:space="0"/>
            </w:tcBorders>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自评得分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b/>
                <w:bCs/>
                <w:kern w:val="0"/>
                <w:sz w:val="18"/>
                <w:szCs w:val="18"/>
              </w:rPr>
            </w:pPr>
          </w:p>
        </w:tc>
        <w:tc>
          <w:tcPr>
            <w:tcW w:w="138" w:type="pct"/>
            <w:vMerge w:val="restart"/>
            <w:vAlign w:val="center"/>
          </w:tcPr>
          <w:p>
            <w:pPr>
              <w:spacing w:line="28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分层指标</w:t>
            </w:r>
          </w:p>
        </w:tc>
        <w:tc>
          <w:tcPr>
            <w:tcW w:w="449"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适用范围</w:t>
            </w:r>
          </w:p>
        </w:tc>
        <w:tc>
          <w:tcPr>
            <w:tcW w:w="365"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一级指标</w:t>
            </w:r>
          </w:p>
        </w:tc>
        <w:tc>
          <w:tcPr>
            <w:tcW w:w="343"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二级指标</w:t>
            </w:r>
          </w:p>
        </w:tc>
        <w:tc>
          <w:tcPr>
            <w:tcW w:w="602" w:type="pct"/>
            <w:vMerge w:val="continue"/>
            <w:vAlign w:val="center"/>
          </w:tcPr>
          <w:p>
            <w:pPr>
              <w:spacing w:line="400" w:lineRule="exact"/>
              <w:jc w:val="center"/>
              <w:rPr>
                <w:rFonts w:ascii="仿宋_GB2312" w:hAnsi="Arial Unicode MS" w:cs="Arial Unicode MS"/>
                <w:b/>
                <w:bCs/>
                <w:kern w:val="0"/>
                <w:sz w:val="18"/>
                <w:szCs w:val="18"/>
              </w:rPr>
            </w:pPr>
          </w:p>
        </w:tc>
        <w:tc>
          <w:tcPr>
            <w:tcW w:w="361" w:type="pct"/>
            <w:vMerge w:val="restar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方法归类</w:t>
            </w:r>
          </w:p>
        </w:tc>
        <w:tc>
          <w:tcPr>
            <w:tcW w:w="991" w:type="pct"/>
            <w:gridSpan w:val="5"/>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计算公式</w:t>
            </w:r>
          </w:p>
        </w:tc>
        <w:tc>
          <w:tcPr>
            <w:tcW w:w="1348" w:type="pct"/>
            <w:vMerge w:val="continue"/>
            <w:vAlign w:val="center"/>
          </w:tcPr>
          <w:p>
            <w:pPr>
              <w:spacing w:line="400" w:lineRule="exact"/>
              <w:rPr>
                <w:rFonts w:ascii="仿宋_GB2312" w:hAnsi="Arial Unicode MS" w:cs="Arial Unicode MS"/>
                <w:b/>
                <w:bCs/>
                <w:kern w:val="0"/>
                <w:sz w:val="18"/>
                <w:szCs w:val="18"/>
              </w:rPr>
            </w:pPr>
          </w:p>
        </w:tc>
        <w:tc>
          <w:tcPr>
            <w:tcW w:w="211" w:type="pct"/>
            <w:vMerge w:val="continue"/>
            <w:vAlign w:val="center"/>
          </w:tcPr>
          <w:p>
            <w:pPr>
              <w:spacing w:line="400" w:lineRule="exact"/>
              <w:jc w:val="center"/>
              <w:rPr>
                <w:rFonts w:ascii="仿宋_GB2312" w:hAnsi="Arial Unicode MS" w:cs="Arial Unicode MS"/>
                <w:b/>
                <w:bC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400" w:lineRule="exact"/>
              <w:jc w:val="center"/>
              <w:rPr>
                <w:rFonts w:ascii="仿宋_GB2312" w:hAnsi="Arial Unicode MS" w:cs="Arial Unicode MS"/>
                <w:kern w:val="0"/>
                <w:sz w:val="18"/>
                <w:szCs w:val="18"/>
              </w:rPr>
            </w:pPr>
          </w:p>
        </w:tc>
        <w:tc>
          <w:tcPr>
            <w:tcW w:w="138" w:type="pct"/>
            <w:vMerge w:val="continue"/>
            <w:vAlign w:val="center"/>
          </w:tcPr>
          <w:p>
            <w:pPr>
              <w:spacing w:line="400" w:lineRule="exact"/>
              <w:jc w:val="center"/>
              <w:rPr>
                <w:rFonts w:ascii="仿宋_GB2312" w:hAnsi="Arial Unicode MS" w:cs="Arial Unicode MS"/>
                <w:kern w:val="0"/>
                <w:sz w:val="18"/>
                <w:szCs w:val="18"/>
              </w:rPr>
            </w:pPr>
          </w:p>
        </w:tc>
        <w:tc>
          <w:tcPr>
            <w:tcW w:w="449" w:type="pct"/>
            <w:vMerge w:val="continue"/>
            <w:vAlign w:val="center"/>
          </w:tcPr>
          <w:p>
            <w:pPr>
              <w:spacing w:line="400" w:lineRule="exact"/>
              <w:jc w:val="center"/>
              <w:rPr>
                <w:rFonts w:ascii="仿宋_GB2312" w:hAnsi="Arial Unicode MS" w:cs="Arial Unicode MS"/>
                <w:kern w:val="0"/>
                <w:sz w:val="18"/>
                <w:szCs w:val="18"/>
              </w:rPr>
            </w:pPr>
          </w:p>
        </w:tc>
        <w:tc>
          <w:tcPr>
            <w:tcW w:w="365" w:type="pct"/>
            <w:vMerge w:val="continue"/>
            <w:vAlign w:val="center"/>
          </w:tcPr>
          <w:p>
            <w:pPr>
              <w:spacing w:line="400" w:lineRule="exact"/>
              <w:jc w:val="center"/>
              <w:rPr>
                <w:rFonts w:ascii="仿宋_GB2312" w:hAnsi="Arial Unicode MS" w:cs="Arial Unicode MS"/>
                <w:kern w:val="0"/>
                <w:sz w:val="18"/>
                <w:szCs w:val="18"/>
              </w:rPr>
            </w:pPr>
          </w:p>
        </w:tc>
        <w:tc>
          <w:tcPr>
            <w:tcW w:w="343" w:type="pct"/>
            <w:vMerge w:val="continue"/>
            <w:vAlign w:val="center"/>
          </w:tcPr>
          <w:p>
            <w:pPr>
              <w:spacing w:line="400" w:lineRule="exact"/>
              <w:jc w:val="center"/>
              <w:rPr>
                <w:rFonts w:ascii="仿宋_GB2312" w:hAnsi="Arial Unicode MS" w:cs="Arial Unicode MS"/>
                <w:kern w:val="0"/>
                <w:sz w:val="18"/>
                <w:szCs w:val="18"/>
              </w:rPr>
            </w:pPr>
          </w:p>
        </w:tc>
        <w:tc>
          <w:tcPr>
            <w:tcW w:w="602" w:type="pct"/>
            <w:vMerge w:val="continue"/>
            <w:vAlign w:val="center"/>
          </w:tcPr>
          <w:p>
            <w:pPr>
              <w:spacing w:line="400" w:lineRule="exact"/>
              <w:jc w:val="center"/>
              <w:rPr>
                <w:rFonts w:ascii="仿宋_GB2312" w:hAnsi="Arial Unicode MS" w:cs="Arial Unicode MS"/>
                <w:kern w:val="0"/>
                <w:sz w:val="18"/>
                <w:szCs w:val="18"/>
              </w:rPr>
            </w:pPr>
          </w:p>
        </w:tc>
        <w:tc>
          <w:tcPr>
            <w:tcW w:w="361" w:type="pct"/>
            <w:vMerge w:val="continue"/>
            <w:vAlign w:val="center"/>
          </w:tcPr>
          <w:p>
            <w:pPr>
              <w:spacing w:line="400" w:lineRule="exact"/>
              <w:jc w:val="center"/>
              <w:rPr>
                <w:rFonts w:ascii="仿宋_GB2312" w:hAnsi="Arial Unicode MS" w:cs="Arial Unicode MS"/>
                <w:kern w:val="0"/>
                <w:sz w:val="18"/>
                <w:szCs w:val="18"/>
              </w:rPr>
            </w:pPr>
          </w:p>
        </w:tc>
        <w:tc>
          <w:tcPr>
            <w:tcW w:w="250"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w:t>
            </w:r>
          </w:p>
        </w:tc>
        <w:tc>
          <w:tcPr>
            <w:tcW w:w="18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0.3</w:t>
            </w:r>
          </w:p>
        </w:tc>
        <w:tc>
          <w:tcPr>
            <w:tcW w:w="162"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0.6</w:t>
            </w:r>
          </w:p>
        </w:tc>
        <w:tc>
          <w:tcPr>
            <w:tcW w:w="195"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0.8</w:t>
            </w:r>
          </w:p>
        </w:tc>
        <w:tc>
          <w:tcPr>
            <w:tcW w:w="197" w:type="pct"/>
            <w:vAlign w:val="center"/>
          </w:tcPr>
          <w:p>
            <w:pPr>
              <w:spacing w:line="400" w:lineRule="exact"/>
              <w:jc w:val="center"/>
              <w:rPr>
                <w:rFonts w:ascii="仿宋_GB2312" w:hAnsi="Arial Unicode MS" w:cs="Arial Unicode MS"/>
                <w:b/>
                <w:bCs/>
                <w:kern w:val="0"/>
                <w:sz w:val="18"/>
                <w:szCs w:val="18"/>
              </w:rPr>
            </w:pPr>
            <w:r>
              <w:rPr>
                <w:rFonts w:ascii="仿宋_GB2312" w:hAnsi="Arial Unicode MS" w:cs="Arial Unicode MS"/>
                <w:b/>
                <w:bCs/>
                <w:kern w:val="0"/>
                <w:sz w:val="18"/>
                <w:szCs w:val="18"/>
              </w:rPr>
              <w:t>1</w:t>
            </w:r>
          </w:p>
        </w:tc>
        <w:tc>
          <w:tcPr>
            <w:tcW w:w="1348" w:type="pct"/>
            <w:vMerge w:val="continue"/>
            <w:vAlign w:val="center"/>
          </w:tcPr>
          <w:p>
            <w:pPr>
              <w:spacing w:line="400" w:lineRule="exact"/>
              <w:rPr>
                <w:rFonts w:ascii="仿宋_GB2312" w:hAnsi="Arial Unicode MS" w:cs="Arial Unicode MS"/>
                <w:kern w:val="0"/>
                <w:sz w:val="18"/>
                <w:szCs w:val="18"/>
              </w:rPr>
            </w:pPr>
          </w:p>
        </w:tc>
        <w:tc>
          <w:tcPr>
            <w:tcW w:w="211" w:type="pct"/>
            <w:vMerge w:val="continue"/>
            <w:vAlign w:val="center"/>
          </w:tcPr>
          <w:p>
            <w:pPr>
              <w:spacing w:line="400" w:lineRule="exact"/>
              <w:jc w:val="center"/>
              <w:rPr>
                <w:rFonts w:ascii="仿宋_GB2312" w:hAnsi="Arial Unicode MS" w:cs="Arial Unicode MS"/>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通用指标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所有项目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项目决策</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程序严密</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项目设立是否经过严格评估论证，管理制度是否健全完善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不完善</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较完善</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主要查看新增项目是否经过事前评估或可行性论证，延续性项目资金管理办法是否健全完善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规划合理</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项目规划是否符合县委、县政府重大决策部署，是否与项目年度目标一致</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不合理</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较合理</w:t>
            </w: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设立依据是否充分，符合县委、县政府重大决策部署和宏观政策规划，项目年度绩效目标与中长期规划是否一致。样本评价中，规划是否与现实需求匹配，是否存在因规划不够合理导致项目效益欠佳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项目实施</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分配合理</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项目资金分配结果是否与规划计划一致；是否按规定及时分配专项预算资金</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是否评分法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否</w:t>
            </w:r>
          </w:p>
        </w:tc>
        <w:tc>
          <w:tcPr>
            <w:tcW w:w="187" w:type="pct"/>
            <w:vAlign w:val="center"/>
          </w:tcPr>
          <w:p>
            <w:pPr>
              <w:spacing w:line="300" w:lineRule="exact"/>
              <w:jc w:val="center"/>
              <w:rPr>
                <w:rFonts w:ascii="仿宋_GB2312" w:hAnsi="Arial Unicode MS" w:cs="Arial Unicode MS"/>
                <w:kern w:val="0"/>
                <w:sz w:val="18"/>
                <w:szCs w:val="18"/>
              </w:rPr>
            </w:pPr>
          </w:p>
        </w:tc>
        <w:tc>
          <w:tcPr>
            <w:tcW w:w="162" w:type="pct"/>
            <w:vAlign w:val="center"/>
          </w:tcPr>
          <w:p>
            <w:pPr>
              <w:spacing w:line="300" w:lineRule="exact"/>
              <w:jc w:val="center"/>
              <w:rPr>
                <w:rFonts w:ascii="仿宋_GB2312" w:hAnsi="Arial Unicode MS" w:cs="Arial Unicode MS"/>
                <w:kern w:val="0"/>
                <w:sz w:val="18"/>
                <w:szCs w:val="18"/>
              </w:rPr>
            </w:pPr>
          </w:p>
        </w:tc>
        <w:tc>
          <w:tcPr>
            <w:tcW w:w="195" w:type="pct"/>
            <w:vAlign w:val="center"/>
          </w:tcPr>
          <w:p>
            <w:pPr>
              <w:spacing w:line="300" w:lineRule="exact"/>
              <w:jc w:val="center"/>
              <w:rPr>
                <w:rFonts w:ascii="仿宋_GB2312" w:hAnsi="Arial Unicode MS" w:cs="Arial Unicode MS"/>
                <w:kern w:val="0"/>
                <w:sz w:val="18"/>
                <w:szCs w:val="18"/>
              </w:rPr>
            </w:pP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是</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按项目法分配的项目，以所有项目点实施完成情况与规划计划情况进行对比。按因素法分配的项目和据实据效分配的项目，将资金分配方向与规划计划支持方向进行对比；分配依据充分的得分，明显不充分扣分。两种情况分值权重各占一半</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使用合规</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项目资金使用是否符合相关的财务管理制度规定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项目资金是否符合国家财经法规和财务管理制度及有关专项资金管理办法规定；资金拨付是否有完整的审批程序和手续；是否符合项目预算批复或合同规定用途；是否存在截留、挤占、挪用、虚列支出等情况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执行有效</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项目实施是否符合相关管理制度规定</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缺（错）项扣分法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发现一处扣0.5分，直至扣完</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项目实施是否遵守相关法律法规；项目调整手续是否完备；项目合同、验收报告、技术鉴定等资料是否齐全并及时归档；项目实施的人员条件、场地设备、信息支撑等是否落实到位</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完成结果</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预算完成</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项目资金拨付到具体支持对象企业、项目（人）的情况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指标得分=项目资金到人到户额度/项目资金额度×100%*指标分值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主要查看项目资金拨付到人到户、到项目、到企业与资金总量的对比</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目标完成</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项目实施后是否完成预期目标</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指标得分=实际完成任务量/绩效目标设定任务量×100%*指标分值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主要查看项目实施后产出数量指标完成情况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违规记录</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项目管理是否合规</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分级评分法</w:t>
            </w:r>
          </w:p>
        </w:tc>
        <w:tc>
          <w:tcPr>
            <w:tcW w:w="250"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不合规</w:t>
            </w:r>
          </w:p>
        </w:tc>
        <w:tc>
          <w:tcPr>
            <w:tcW w:w="187"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3处及以上不合规</w:t>
            </w:r>
          </w:p>
        </w:tc>
        <w:tc>
          <w:tcPr>
            <w:tcW w:w="162" w:type="pct"/>
            <w:vAlign w:val="center"/>
          </w:tcPr>
          <w:p>
            <w:pPr>
              <w:spacing w:line="240" w:lineRule="exact"/>
              <w:jc w:val="center"/>
              <w:rPr>
                <w:rFonts w:ascii="仿宋_GB2312" w:hAnsi="Arial Unicode MS" w:cs="Arial Unicode MS"/>
                <w:kern w:val="0"/>
                <w:sz w:val="18"/>
                <w:szCs w:val="18"/>
              </w:rPr>
            </w:pPr>
            <w:r>
              <w:rPr>
                <w:rFonts w:ascii="仿宋_GB2312" w:hAnsi="Arial Unicode MS" w:cs="Arial Unicode MS"/>
                <w:kern w:val="0"/>
                <w:sz w:val="18"/>
                <w:szCs w:val="18"/>
              </w:rPr>
              <w:t>2处不合规</w:t>
            </w:r>
          </w:p>
        </w:tc>
        <w:tc>
          <w:tcPr>
            <w:tcW w:w="195" w:type="pct"/>
            <w:vAlign w:val="center"/>
          </w:tcPr>
          <w:p>
            <w:pPr>
              <w:spacing w:line="220" w:lineRule="exact"/>
              <w:jc w:val="center"/>
              <w:rPr>
                <w:rFonts w:ascii="仿宋_GB2312" w:hAnsi="Arial Unicode MS" w:cs="Arial Unicode MS"/>
                <w:kern w:val="0"/>
                <w:sz w:val="18"/>
                <w:szCs w:val="18"/>
              </w:rPr>
            </w:pPr>
            <w:r>
              <w:rPr>
                <w:rFonts w:ascii="仿宋_GB2312" w:hAnsi="Arial Unicode MS" w:cs="Arial Unicode MS"/>
                <w:kern w:val="0"/>
                <w:sz w:val="18"/>
                <w:szCs w:val="18"/>
              </w:rPr>
              <w:t>1处不合规</w:t>
            </w:r>
          </w:p>
        </w:tc>
        <w:tc>
          <w:tcPr>
            <w:tcW w:w="197"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合规</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根据巡视巡察、审计监督、财政检查结果反映专项管理是否合规</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20%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共性指标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产业发展项目</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项目效果</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符合性</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项目实施效果是否与县委、县政府重大产业政策、规划布局、资金投向等匹配吻合</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指标地方=项目实施符合的点位数/所有选点总数×100%*指标分值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根据项目现场评价实施效果与绩效目标进行对比，汇总所有样本点情况综合分析政策整体吻合度</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成长性</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反映不同类型产业政策实施对相关行业企业成长性的促进作用，主要反映支持对象的创新、创造、创业能力情况，产业结构情况，持续盈利能力情况。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指标得分=各项具体指标得分的平均分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根据产业政策实施对象的总资产增长率、固定资产增长率、主营业务收入增长率、主营利润增长率、净利润增长率等情况综合判断，统计年鉴相关数据为准</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50%</w:t>
            </w:r>
          </w:p>
        </w:tc>
        <w:tc>
          <w:tcPr>
            <w:tcW w:w="138"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特性指标</w:t>
            </w:r>
          </w:p>
        </w:tc>
        <w:tc>
          <w:tcPr>
            <w:tcW w:w="449"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农业产业（包括林业产业）</w:t>
            </w: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经济效益</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增加值提升</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项目实施涉及产值增长情况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指标得分=三年产值平均增长率/标准值*指标分值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产值增长率=当年涉农产值增量/上一年度涉农产值总量×100%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重点查看项目实施区域涉农增加值变动情况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年均收入变动率</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项目实施后农户收入变动情况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指标得分=三年人均年收入增长率/标准值*指标分值（三年人均年收入增长率/标准值负值为0，＞1按1计算）</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人均年收入增长率=（项目实施后人均年收入-项目实施前人均年收入）/项目实施前人均年收入×100%</w:t>
            </w:r>
          </w:p>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重点查看三年来农民人均年收入增长变化情况</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restar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社会效益</w:t>
            </w: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从业带动能力</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项目带动周边从事相关行业情况</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指标得分=三年平均新增带动就业户数/标准值*指标分值</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通过实地走访、调研、收集带动就业户数相关基础数据进行对比分析</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92" w:type="pct"/>
            <w:vMerge w:val="continue"/>
            <w:vAlign w:val="center"/>
          </w:tcPr>
          <w:p>
            <w:pPr>
              <w:spacing w:line="300" w:lineRule="exact"/>
              <w:jc w:val="center"/>
              <w:rPr>
                <w:rFonts w:ascii="仿宋_GB2312" w:hAnsi="Arial Unicode MS" w:cs="Arial Unicode MS"/>
                <w:kern w:val="0"/>
                <w:sz w:val="18"/>
                <w:szCs w:val="18"/>
              </w:rPr>
            </w:pPr>
          </w:p>
        </w:tc>
        <w:tc>
          <w:tcPr>
            <w:tcW w:w="138" w:type="pct"/>
            <w:vMerge w:val="continue"/>
            <w:vAlign w:val="center"/>
          </w:tcPr>
          <w:p>
            <w:pPr>
              <w:spacing w:line="300" w:lineRule="exact"/>
              <w:jc w:val="center"/>
              <w:rPr>
                <w:rFonts w:ascii="仿宋_GB2312" w:hAnsi="Arial Unicode MS" w:cs="Arial Unicode MS"/>
                <w:kern w:val="0"/>
                <w:sz w:val="18"/>
                <w:szCs w:val="18"/>
              </w:rPr>
            </w:pPr>
          </w:p>
        </w:tc>
        <w:tc>
          <w:tcPr>
            <w:tcW w:w="449" w:type="pct"/>
            <w:vMerge w:val="continue"/>
            <w:vAlign w:val="center"/>
          </w:tcPr>
          <w:p>
            <w:pPr>
              <w:spacing w:line="300" w:lineRule="exact"/>
              <w:jc w:val="center"/>
              <w:rPr>
                <w:rFonts w:ascii="仿宋_GB2312" w:hAnsi="Arial Unicode MS" w:cs="Arial Unicode MS"/>
                <w:kern w:val="0"/>
                <w:sz w:val="18"/>
                <w:szCs w:val="18"/>
              </w:rPr>
            </w:pPr>
          </w:p>
        </w:tc>
        <w:tc>
          <w:tcPr>
            <w:tcW w:w="365" w:type="pct"/>
            <w:vMerge w:val="continue"/>
            <w:vAlign w:val="center"/>
          </w:tcPr>
          <w:p>
            <w:pPr>
              <w:spacing w:line="300" w:lineRule="exact"/>
              <w:jc w:val="center"/>
              <w:rPr>
                <w:rFonts w:ascii="仿宋_GB2312" w:hAnsi="Arial Unicode MS" w:cs="Arial Unicode MS"/>
                <w:kern w:val="0"/>
                <w:sz w:val="18"/>
                <w:szCs w:val="18"/>
              </w:rPr>
            </w:pPr>
          </w:p>
        </w:tc>
        <w:tc>
          <w:tcPr>
            <w:tcW w:w="343"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满意度</w:t>
            </w:r>
          </w:p>
        </w:tc>
        <w:tc>
          <w:tcPr>
            <w:tcW w:w="602"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项目区域群体满意度</w:t>
            </w:r>
          </w:p>
        </w:tc>
        <w:tc>
          <w:tcPr>
            <w:tcW w:w="36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比率分值法</w:t>
            </w:r>
          </w:p>
        </w:tc>
        <w:tc>
          <w:tcPr>
            <w:tcW w:w="991" w:type="pct"/>
            <w:gridSpan w:val="5"/>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按根据实际满意度与满意度标准值的比率计算指标得分</w:t>
            </w:r>
          </w:p>
        </w:tc>
        <w:tc>
          <w:tcPr>
            <w:tcW w:w="1348" w:type="pct"/>
            <w:vAlign w:val="center"/>
          </w:tcPr>
          <w:p>
            <w:pPr>
              <w:spacing w:line="300" w:lineRule="exact"/>
              <w:rPr>
                <w:rFonts w:ascii="仿宋_GB2312" w:hAnsi="Arial Unicode MS" w:cs="Arial Unicode MS"/>
                <w:kern w:val="0"/>
                <w:sz w:val="18"/>
                <w:szCs w:val="18"/>
              </w:rPr>
            </w:pPr>
            <w:r>
              <w:rPr>
                <w:rFonts w:ascii="仿宋_GB2312" w:hAnsi="Arial Unicode MS" w:cs="Arial Unicode MS"/>
                <w:kern w:val="0"/>
                <w:sz w:val="18"/>
                <w:szCs w:val="18"/>
              </w:rPr>
              <w:t>主要调研政策和项目相关方在政策实施过程中的满意值，通过不满意情况汇总分析政策在顶层设计、制度构建、管理实施及成效各环节的情况。</w:t>
            </w:r>
          </w:p>
        </w:tc>
        <w:tc>
          <w:tcPr>
            <w:tcW w:w="211" w:type="pct"/>
            <w:vAlign w:val="center"/>
          </w:tcPr>
          <w:p>
            <w:pPr>
              <w:spacing w:line="300" w:lineRule="exact"/>
              <w:jc w:val="center"/>
              <w:rPr>
                <w:rFonts w:ascii="仿宋_GB2312" w:hAnsi="Arial Unicode MS" w:cs="Arial Unicode MS"/>
                <w:kern w:val="0"/>
                <w:sz w:val="18"/>
                <w:szCs w:val="18"/>
              </w:rPr>
            </w:pPr>
            <w:r>
              <w:rPr>
                <w:rFonts w:ascii="仿宋_GB2312" w:hAnsi="Arial Unicode MS" w:cs="Arial Unicode MS"/>
                <w:kern w:val="0"/>
                <w:sz w:val="18"/>
                <w:szCs w:val="18"/>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789" w:type="pct"/>
            <w:gridSpan w:val="13"/>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合计</w:t>
            </w:r>
          </w:p>
        </w:tc>
        <w:tc>
          <w:tcPr>
            <w:tcW w:w="211" w:type="pct"/>
            <w:vAlign w:val="center"/>
          </w:tcPr>
          <w:p>
            <w:pPr>
              <w:spacing w:line="300" w:lineRule="exact"/>
              <w:jc w:val="center"/>
              <w:rPr>
                <w:rFonts w:ascii="仿宋_GB2312" w:hAnsi="Arial Unicode MS" w:cs="Arial Unicode MS"/>
                <w:kern w:val="0"/>
                <w:sz w:val="18"/>
                <w:szCs w:val="18"/>
              </w:rPr>
            </w:pPr>
            <w:r>
              <w:rPr>
                <w:rFonts w:hint="eastAsia" w:ascii="仿宋_GB2312" w:hAnsi="Arial Unicode MS" w:cs="Arial Unicode MS"/>
                <w:kern w:val="0"/>
                <w:sz w:val="18"/>
                <w:szCs w:val="18"/>
              </w:rPr>
              <w:t>97</w:t>
            </w:r>
          </w:p>
        </w:tc>
      </w:tr>
    </w:tbl>
    <w:p>
      <w:pPr>
        <w:rPr>
          <w:b/>
          <w:bCs/>
          <w:sz w:val="24"/>
          <w:szCs w:val="24"/>
        </w:rPr>
      </w:pPr>
      <w:r>
        <w:rPr>
          <w:rFonts w:eastAsia="楷体_GB2312"/>
          <w:b/>
          <w:bCs/>
          <w:sz w:val="24"/>
          <w:szCs w:val="24"/>
        </w:rPr>
        <w:t>相关说明：</w:t>
      </w:r>
    </w:p>
    <w:p>
      <w:pPr>
        <w:rPr>
          <w:b/>
          <w:bCs/>
          <w:sz w:val="24"/>
          <w:szCs w:val="24"/>
        </w:rPr>
      </w:pPr>
      <w:r>
        <w:rPr>
          <w:rFonts w:eastAsia="楷体_GB2312"/>
          <w:b/>
          <w:bCs/>
          <w:sz w:val="24"/>
          <w:szCs w:val="24"/>
        </w:rPr>
        <w:t>1.评分方法归为六类：</w:t>
      </w:r>
    </w:p>
    <w:p>
      <w:pPr>
        <w:rPr>
          <w:sz w:val="24"/>
          <w:szCs w:val="24"/>
        </w:rPr>
      </w:pPr>
      <w:r>
        <w:rPr>
          <w:rFonts w:eastAsia="楷体_GB2312"/>
          <w:b/>
          <w:bCs/>
          <w:sz w:val="24"/>
          <w:szCs w:val="24"/>
        </w:rPr>
        <w:t>（1）是否评分法：</w:t>
      </w:r>
      <w:r>
        <w:rPr>
          <w:sz w:val="24"/>
          <w:szCs w:val="24"/>
        </w:rPr>
        <w:t>适用于合规性等正反判断指标，正向满分，反向0分。</w:t>
      </w:r>
    </w:p>
    <w:p>
      <w:pPr>
        <w:rPr>
          <w:sz w:val="24"/>
          <w:szCs w:val="24"/>
        </w:rPr>
      </w:pPr>
      <w:r>
        <w:rPr>
          <w:rFonts w:eastAsia="楷体_GB2312"/>
          <w:b/>
          <w:bCs/>
          <w:sz w:val="24"/>
          <w:szCs w:val="24"/>
        </w:rPr>
        <w:t>（2）分级评分法：</w:t>
      </w:r>
      <w:r>
        <w:rPr>
          <w:sz w:val="24"/>
          <w:szCs w:val="24"/>
        </w:rPr>
        <w:t>指标评分设置n级权重，指标得分按指标值所处区间的权重计算。</w:t>
      </w:r>
    </w:p>
    <w:p>
      <w:pPr>
        <w:rPr>
          <w:sz w:val="24"/>
          <w:szCs w:val="24"/>
        </w:rPr>
      </w:pPr>
      <w:r>
        <w:rPr>
          <w:rFonts w:eastAsia="楷体_GB2312"/>
          <w:b/>
          <w:bCs/>
          <w:sz w:val="24"/>
          <w:szCs w:val="24"/>
        </w:rPr>
        <w:t>（3）比率分值法：</w:t>
      </w:r>
      <w:r>
        <w:rPr>
          <w:sz w:val="24"/>
          <w:szCs w:val="24"/>
        </w:rPr>
        <w:t>对存在连续性比率的指标，按比率乘以指标分值计算得分。</w:t>
      </w:r>
    </w:p>
    <w:p>
      <w:pPr>
        <w:rPr>
          <w:sz w:val="24"/>
          <w:szCs w:val="24"/>
        </w:rPr>
      </w:pPr>
      <w:r>
        <w:rPr>
          <w:rFonts w:eastAsia="楷体_GB2312"/>
          <w:b/>
          <w:bCs/>
          <w:sz w:val="24"/>
          <w:szCs w:val="24"/>
        </w:rPr>
        <w:t>（4）缺（错）项扣分法：</w:t>
      </w:r>
      <w:r>
        <w:rPr>
          <w:sz w:val="24"/>
          <w:szCs w:val="24"/>
        </w:rPr>
        <w:t>按照要求所具备的事项计算，全部具备得满分，缺少一项扣X分。</w:t>
      </w:r>
    </w:p>
    <w:p>
      <w:pPr>
        <w:rPr>
          <w:sz w:val="24"/>
          <w:szCs w:val="24"/>
        </w:rPr>
      </w:pPr>
      <w:r>
        <w:rPr>
          <w:rFonts w:eastAsia="楷体_GB2312"/>
          <w:b/>
          <w:bCs/>
          <w:sz w:val="24"/>
          <w:szCs w:val="24"/>
        </w:rPr>
        <w:t>（5）满意值赋分法：</w:t>
      </w:r>
      <w:r>
        <w:rPr>
          <w:sz w:val="24"/>
          <w:szCs w:val="24"/>
        </w:rPr>
        <w:t>设置一个满意值，指标值达到满意值得满分，未达到不得分或扣分。</w:t>
      </w:r>
    </w:p>
    <w:p>
      <w:pPr>
        <w:rPr>
          <w:sz w:val="24"/>
          <w:szCs w:val="24"/>
        </w:rPr>
      </w:pPr>
      <w:r>
        <w:rPr>
          <w:rFonts w:eastAsia="楷体_GB2312"/>
          <w:b/>
          <w:bCs/>
          <w:sz w:val="24"/>
          <w:szCs w:val="24"/>
        </w:rPr>
        <w:t>（6）按数累加法：</w:t>
      </w:r>
      <w:r>
        <w:rPr>
          <w:sz w:val="24"/>
          <w:szCs w:val="24"/>
        </w:rPr>
        <w:t>若有必要用于加分项指标。</w:t>
      </w:r>
    </w:p>
    <w:p>
      <w:pPr>
        <w:pStyle w:val="11"/>
        <w:rPr>
          <w:rFonts w:ascii="Times New Roman" w:hAnsi="Times New Roman" w:cs="Times New Roman"/>
        </w:rPr>
      </w:pPr>
      <w:r>
        <w:rPr>
          <w:rFonts w:ascii="Times New Roman" w:hAnsi="Times New Roman" w:eastAsia="楷体_GB2312" w:cs="Times New Roman"/>
          <w:b/>
          <w:bCs/>
        </w:rPr>
        <w:t>2.特性指标二三级指标权重可自行分配。</w:t>
      </w:r>
    </w:p>
    <w:sectPr>
      <w:pgSz w:w="16838" w:h="11906" w:orient="landscape"/>
      <w:pgMar w:top="720" w:right="720" w:bottom="720" w:left="720" w:header="397" w:footer="454" w:gutter="0"/>
      <w:pgNumType w:fmt="numberInDash"/>
      <w:cols w:space="425"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swiss"/>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 w:name="方正公文小标宋">
    <w:altName w:val="微软雅黑"/>
    <w:panose1 w:val="00000000000000000000"/>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公文楷体">
    <w:altName w:val="微软雅黑"/>
    <w:panose1 w:val="00000000000000000000"/>
    <w:charset w:val="86"/>
    <w:family w:val="auto"/>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9"/>
                </w:pPr>
                <w:r>
                  <w:fldChar w:fldCharType="begin"/>
                </w:r>
                <w:r>
                  <w:instrText xml:space="preserve"> PAGE  \* MERGEFORMAT </w:instrText>
                </w:r>
                <w:r>
                  <w:fldChar w:fldCharType="separate"/>
                </w:r>
                <w:r>
                  <w:t>- 7 -</w:t>
                </w:r>
                <w: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60"/>
  <w:drawingGridVerticalSpacing w:val="435"/>
  <w:displayHorizont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DDF8953C-9B8F-4D3B-BB6A-EFC5210FEDF8}" w:val="KUr9E1jDwoctlTxO78vqBJIM23/+6g0CQSWey4p=PHafNzhkLRYZiAVun5bsmFdXG"/>
    <w:docVar w:name="commondata" w:val="eyJoZGlkIjoiZjJiYzRjZDg4ODIxMmZkMzVjYzYxNzIzMDEwYjJjY2IifQ=="/>
    <w:docVar w:name="DocumentID" w:val="{7CF01B39-0BCB-496D-874A-48DC8132ED3A}"/>
  </w:docVars>
  <w:rsids>
    <w:rsidRoot w:val="0B0634F0"/>
    <w:rsid w:val="00082BB6"/>
    <w:rsid w:val="000F5A5A"/>
    <w:rsid w:val="001676F9"/>
    <w:rsid w:val="001D6460"/>
    <w:rsid w:val="00252BF5"/>
    <w:rsid w:val="002D4AFF"/>
    <w:rsid w:val="00360C56"/>
    <w:rsid w:val="003F3298"/>
    <w:rsid w:val="00427F86"/>
    <w:rsid w:val="004776FC"/>
    <w:rsid w:val="005E087A"/>
    <w:rsid w:val="00634FA8"/>
    <w:rsid w:val="006D4E0C"/>
    <w:rsid w:val="00B25794"/>
    <w:rsid w:val="00B26E11"/>
    <w:rsid w:val="00CB55A5"/>
    <w:rsid w:val="00F005FE"/>
    <w:rsid w:val="00F01F96"/>
    <w:rsid w:val="0890362F"/>
    <w:rsid w:val="0B0634F0"/>
    <w:rsid w:val="0D3E4DA6"/>
    <w:rsid w:val="10F772D2"/>
    <w:rsid w:val="128251CD"/>
    <w:rsid w:val="13BE1B79"/>
    <w:rsid w:val="1A395A32"/>
    <w:rsid w:val="2101264B"/>
    <w:rsid w:val="25755F61"/>
    <w:rsid w:val="2DEE510B"/>
    <w:rsid w:val="34857A58"/>
    <w:rsid w:val="3E0844C2"/>
    <w:rsid w:val="402D539C"/>
    <w:rsid w:val="4089585B"/>
    <w:rsid w:val="4FBB1C67"/>
    <w:rsid w:val="58102D59"/>
    <w:rsid w:val="5F021EAC"/>
    <w:rsid w:val="63335D92"/>
    <w:rsid w:val="6DED6A5F"/>
    <w:rsid w:val="6E881A5B"/>
    <w:rsid w:val="75562450"/>
    <w:rsid w:val="7E7350C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9"/>
    <w:qFormat/>
    <w:uiPriority w:val="0"/>
    <w:pPr>
      <w:keepNext/>
      <w:keepLines/>
      <w:spacing w:before="340" w:after="330" w:line="576" w:lineRule="auto"/>
      <w:outlineLvl w:val="0"/>
    </w:pPr>
    <w:rPr>
      <w:b/>
      <w:kern w:val="44"/>
      <w:sz w:val="44"/>
    </w:rPr>
  </w:style>
  <w:style w:type="paragraph" w:styleId="4">
    <w:name w:val="heading 2"/>
    <w:basedOn w:val="1"/>
    <w:next w:val="1"/>
    <w:link w:val="20"/>
    <w:unhideWhenUsed/>
    <w:qFormat/>
    <w:uiPriority w:val="0"/>
    <w:pPr>
      <w:keepNext/>
      <w:keepLines/>
      <w:spacing w:before="260" w:after="260" w:line="413" w:lineRule="auto"/>
      <w:outlineLvl w:val="1"/>
    </w:pPr>
    <w:rPr>
      <w:rFonts w:ascii="Arial" w:hAnsi="Arial" w:eastAsia="黑体"/>
      <w:b/>
    </w:rPr>
  </w:style>
  <w:style w:type="paragraph" w:styleId="5">
    <w:name w:val="heading 3"/>
    <w:basedOn w:val="1"/>
    <w:next w:val="1"/>
    <w:unhideWhenUsed/>
    <w:qFormat/>
    <w:uiPriority w:val="0"/>
    <w:pPr>
      <w:keepNext/>
      <w:keepLines/>
      <w:spacing w:before="260" w:after="260" w:line="413" w:lineRule="auto"/>
      <w:outlineLvl w:val="2"/>
    </w:pPr>
    <w:rPr>
      <w:b/>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99"/>
    <w:pPr>
      <w:ind w:firstLine="680"/>
    </w:pPr>
  </w:style>
  <w:style w:type="paragraph" w:styleId="6">
    <w:name w:val="index 5"/>
    <w:basedOn w:val="1"/>
    <w:next w:val="1"/>
    <w:qFormat/>
    <w:uiPriority w:val="0"/>
    <w:pPr>
      <w:ind w:left="1680"/>
    </w:pPr>
  </w:style>
  <w:style w:type="paragraph" w:styleId="7">
    <w:name w:val="Body Text"/>
    <w:basedOn w:val="1"/>
    <w:qFormat/>
    <w:uiPriority w:val="1"/>
    <w:pPr>
      <w:ind w:left="492"/>
    </w:pPr>
    <w:rPr>
      <w:rFonts w:ascii="微软雅黑" w:hAnsi="微软雅黑" w:eastAsia="微软雅黑" w:cs="微软雅黑"/>
      <w:b/>
      <w:bCs/>
      <w:lang w:val="zh-CN" w:bidi="zh-CN"/>
    </w:rPr>
  </w:style>
  <w:style w:type="paragraph" w:styleId="8">
    <w:name w:val="Body Text Indent"/>
    <w:basedOn w:val="1"/>
    <w:next w:val="9"/>
    <w:semiHidden/>
    <w:unhideWhenUsed/>
    <w:qFormat/>
    <w:uiPriority w:val="99"/>
    <w:pPr>
      <w:spacing w:after="120"/>
      <w:ind w:left="420" w:leftChars="200"/>
    </w:p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sz w:val="24"/>
      <w:szCs w:val="24"/>
    </w:r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8"/>
    <w:next w:val="6"/>
    <w:qFormat/>
    <w:uiPriority w:val="0"/>
    <w:pPr>
      <w:spacing w:after="0" w:line="440" w:lineRule="exact"/>
      <w:ind w:left="0" w:leftChars="0" w:firstLine="420" w:firstLineChars="200"/>
    </w:pPr>
    <w:rPr>
      <w:rFonts w:ascii="仿宋_GB2312"/>
    </w:rPr>
  </w:style>
  <w:style w:type="table" w:styleId="15">
    <w:name w:val="Table Grid"/>
    <w:basedOn w:val="14"/>
    <w:qFormat/>
    <w:uiPriority w:val="39"/>
    <w:rPr>
      <w:rFonts w:ascii="仿宋_GB2312" w:hAnsi="Arial Unicode MS" w:eastAsia="仿宋_GB2312" w:cs="Arial Unicode MS"/>
      <w:sz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page number"/>
    <w:basedOn w:val="16"/>
    <w:qFormat/>
    <w:uiPriority w:val="0"/>
  </w:style>
  <w:style w:type="character" w:customStyle="1" w:styleId="18">
    <w:name w:val="font01"/>
    <w:basedOn w:val="16"/>
    <w:qFormat/>
    <w:uiPriority w:val="0"/>
    <w:rPr>
      <w:rFonts w:hint="eastAsia" w:ascii="宋体" w:hAnsi="宋体" w:eastAsia="宋体" w:cs="宋体"/>
      <w:color w:val="000000"/>
      <w:sz w:val="16"/>
      <w:szCs w:val="16"/>
      <w:u w:val="none"/>
    </w:rPr>
  </w:style>
  <w:style w:type="character" w:customStyle="1" w:styleId="19">
    <w:name w:val="标题 1 Char"/>
    <w:link w:val="3"/>
    <w:qFormat/>
    <w:uiPriority w:val="0"/>
    <w:rPr>
      <w:b/>
      <w:kern w:val="44"/>
      <w:sz w:val="44"/>
    </w:rPr>
  </w:style>
  <w:style w:type="character" w:customStyle="1" w:styleId="20">
    <w:name w:val="标题 2 Char"/>
    <w:link w:val="4"/>
    <w:qFormat/>
    <w:uiPriority w:val="0"/>
    <w:rPr>
      <w:rFonts w:ascii="Arial" w:hAnsi="Arial" w:eastAsia="黑体"/>
      <w:b/>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649</Words>
  <Characters>3705</Characters>
  <Lines>30</Lines>
  <Paragraphs>8</Paragraphs>
  <TotalTime>10</TotalTime>
  <ScaleCrop>false</ScaleCrop>
  <LinksUpToDate>false</LinksUpToDate>
  <CharactersWithSpaces>4346</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2023-07-11T01:34:00Z</dcterms:created>
  <dc:creator>徐泉</dc:creator>
  <cp:lastModifiedBy>Administrator</cp:lastModifiedBy>
  <cp:lastPrinted>2023-08-01T02:06:00Z</cp:lastPrinted>
  <dcterms:modified xsi:type="dcterms:W3CDTF">2023-11-28T06:48:46Z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23365E4A76BC40789C715C73995BE054_11</vt:lpwstr>
  </property>
</Properties>
</file>