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insoku w:val="0"/>
        <w:overflowPunct w:val="0"/>
        <w:spacing w:line="700" w:lineRule="exact"/>
        <w:jc w:val="center"/>
        <w:rPr>
          <w:rFonts w:eastAsia="方正小标宋简体"/>
          <w:spacing w:val="1"/>
          <w:sz w:val="36"/>
          <w:szCs w:val="36"/>
        </w:rPr>
      </w:pPr>
      <w:r>
        <w:rPr>
          <w:rFonts w:eastAsia="方正小标宋简体"/>
          <w:spacing w:val="1"/>
          <w:sz w:val="36"/>
          <w:szCs w:val="36"/>
        </w:rPr>
        <w:t>沐川县林业局</w:t>
      </w:r>
    </w:p>
    <w:p>
      <w:pPr>
        <w:kinsoku w:val="0"/>
        <w:overflowPunct w:val="0"/>
        <w:spacing w:line="700" w:lineRule="exact"/>
        <w:jc w:val="center"/>
        <w:rPr>
          <w:rFonts w:eastAsia="方正小标宋简体"/>
          <w:spacing w:val="1"/>
          <w:sz w:val="36"/>
          <w:szCs w:val="36"/>
        </w:rPr>
      </w:pPr>
      <w:r>
        <w:rPr>
          <w:rFonts w:eastAsia="方正小标宋简体"/>
          <w:b/>
          <w:bCs/>
          <w:spacing w:val="1"/>
          <w:sz w:val="36"/>
          <w:szCs w:val="36"/>
        </w:rPr>
        <w:t>2022</w:t>
      </w:r>
      <w:r>
        <w:rPr>
          <w:rFonts w:eastAsia="方正小标宋简体"/>
          <w:spacing w:val="1"/>
          <w:sz w:val="36"/>
          <w:szCs w:val="36"/>
        </w:rPr>
        <w:t>年度森林生态效益补偿</w:t>
      </w:r>
    </w:p>
    <w:p>
      <w:pPr>
        <w:kinsoku w:val="0"/>
        <w:overflowPunct w:val="0"/>
        <w:spacing w:line="700" w:lineRule="exact"/>
        <w:jc w:val="center"/>
        <w:rPr>
          <w:rFonts w:eastAsia="方正小标宋简体"/>
          <w:spacing w:val="1"/>
          <w:sz w:val="36"/>
          <w:szCs w:val="36"/>
        </w:rPr>
      </w:pPr>
      <w:r>
        <w:rPr>
          <w:rFonts w:eastAsia="方正小标宋简体"/>
          <w:spacing w:val="1"/>
          <w:sz w:val="36"/>
          <w:szCs w:val="36"/>
        </w:rPr>
        <w:t>项目支出绩效自评报告</w:t>
      </w:r>
    </w:p>
    <w:p>
      <w:pPr>
        <w:pStyle w:val="3"/>
        <w:spacing w:before="0" w:after="0" w:line="360" w:lineRule="auto"/>
        <w:rPr>
          <w:rFonts w:eastAsia="黑体"/>
          <w:sz w:val="32"/>
        </w:rPr>
      </w:pPr>
      <w:r>
        <w:rPr>
          <w:rFonts w:eastAsia="黑体"/>
          <w:sz w:val="32"/>
        </w:rPr>
        <w:t>一、项目基本情况</w:t>
      </w:r>
    </w:p>
    <w:p>
      <w:pPr>
        <w:pStyle w:val="4"/>
        <w:spacing w:before="0" w:after="0" w:line="360" w:lineRule="auto"/>
        <w:rPr>
          <w:rFonts w:ascii="Times New Roman" w:hAnsi="Times New Roman" w:eastAsia="楷体"/>
          <w:b w:val="0"/>
          <w:bCs/>
        </w:rPr>
      </w:pPr>
      <w:r>
        <w:rPr>
          <w:rFonts w:ascii="Times New Roman" w:hAnsi="Times New Roman" w:eastAsia="楷体"/>
          <w:b w:val="0"/>
          <w:bCs/>
        </w:rPr>
        <w:t>（一）绩效目标情况</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项目总体目标是对本县生态公益林实施森林生态效益补偿。2022年的具体目标为：</w:t>
      </w:r>
    </w:p>
    <w:p>
      <w:pPr>
        <w:pStyle w:val="10"/>
        <w:spacing w:line="360" w:lineRule="auto"/>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w:t>
      </w:r>
      <w:r>
        <w:rPr>
          <w:rFonts w:ascii="Times New Roman" w:hAnsi="Times New Roman" w:eastAsia="仿宋_GB2312" w:cs="Times New Roman"/>
          <w:sz w:val="32"/>
          <w:szCs w:val="32"/>
        </w:rPr>
        <w:t>根据《四川省财政厅四川省林业和草原局关于下达2022年中央财政林业改革发展资金预算(第一批)的通知》（川财资环〔2022〕34号），下达我县公益林生态效益补偿资金371.26万元，绩效目标为用于国家公园外非国有国家级公益林生态效益补偿249263亩</w:t>
      </w:r>
      <w:r>
        <w:rPr>
          <w:rFonts w:hint="eastAsia" w:ascii="Times New Roman" w:hAnsi="Times New Roman" w:eastAsia="仿宋_GB2312" w:cs="Times New Roman"/>
          <w:sz w:val="32"/>
          <w:szCs w:val="32"/>
        </w:rPr>
        <w:t>。</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根据《四川省财政厅 四川省林业和草原局关于下达2022年中央财政林业改革发展资金预算(第二批)的通知》（川财资环〔2022〕44号），下达我县公益林生态效益补偿资金45.97万元，绩效目标为完成非国有国家级公益林生态效益补偿</w:t>
      </w:r>
      <w:r>
        <w:rPr>
          <w:rFonts w:hint="eastAsia" w:ascii="Times New Roman" w:hAnsi="Times New Roman" w:eastAsia="仿宋_GB2312" w:cs="Times New Roman"/>
          <w:sz w:val="32"/>
          <w:szCs w:val="32"/>
        </w:rPr>
        <w:t>249263亩</w:t>
      </w:r>
      <w:r>
        <w:rPr>
          <w:rFonts w:ascii="Times New Roman" w:hAnsi="Times New Roman" w:eastAsia="仿宋_GB2312" w:cs="Times New Roman"/>
          <w:sz w:val="32"/>
          <w:szCs w:val="32"/>
        </w:rPr>
        <w:t>和非国有省级公益林生态效益补偿61383亩</w:t>
      </w:r>
      <w:r>
        <w:rPr>
          <w:rFonts w:hint="eastAsia" w:ascii="Times New Roman" w:hAnsi="Times New Roman" w:eastAsia="仿宋_GB2312" w:cs="Times New Roman"/>
          <w:sz w:val="32"/>
          <w:szCs w:val="32"/>
        </w:rPr>
        <w:t>。</w:t>
      </w:r>
    </w:p>
    <w:p>
      <w:pPr>
        <w:pStyle w:val="10"/>
        <w:spacing w:line="360" w:lineRule="auto"/>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w:t>
      </w:r>
      <w:r>
        <w:rPr>
          <w:rFonts w:ascii="Times New Roman" w:hAnsi="Times New Roman" w:eastAsia="仿宋_GB2312" w:cs="Times New Roman"/>
          <w:sz w:val="32"/>
          <w:szCs w:val="32"/>
        </w:rPr>
        <w:t>根据《四川省财政厅四川省林业和草原局关于下达2022年省级林业草原改革发展专项资金(第二批)预算的通知》（川财资环〔2022〕68号），下达我县公益林生态效益补偿资金79.8万元，绩效目标为省级公益林生态效益补偿61383亩。</w:t>
      </w:r>
    </w:p>
    <w:p>
      <w:pPr>
        <w:pStyle w:val="4"/>
        <w:spacing w:before="0" w:after="0" w:line="360" w:lineRule="auto"/>
        <w:rPr>
          <w:rFonts w:ascii="Times New Roman" w:hAnsi="Times New Roman" w:eastAsia="楷体"/>
          <w:b w:val="0"/>
          <w:bCs/>
        </w:rPr>
      </w:pPr>
      <w:r>
        <w:rPr>
          <w:rFonts w:ascii="Times New Roman" w:hAnsi="Times New Roman" w:eastAsia="楷体"/>
          <w:b w:val="0"/>
          <w:bCs/>
        </w:rPr>
        <w:t>（二）资金安排情况</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1、资金计划及到位。根据《四川省财政厅四川省林业和草原局关于下达2022年中央财政林业改革发展资金预算(第一批)的通知》（川财资环〔2022〕34号）、（川财资环〔2022〕44号）、（川财资环〔2022〕68号）等文件精神，下达我县公益林生态效益补偿资金共计497.03万元，其中:中央资金417.23万元，省级资金79.8万元，资金下达率100%。</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2、资金使用。截止评价时点项目资金的实际支出492.4128万元，资金开支范围、标准及支付进度严格按照规定，支付依据合规合法，资金支付与预算相符。</w:t>
      </w:r>
    </w:p>
    <w:p>
      <w:pPr>
        <w:pStyle w:val="3"/>
        <w:spacing w:before="0" w:after="0" w:line="360" w:lineRule="auto"/>
        <w:rPr>
          <w:rFonts w:eastAsia="黑体"/>
          <w:sz w:val="32"/>
        </w:rPr>
      </w:pPr>
      <w:r>
        <w:rPr>
          <w:rFonts w:eastAsia="黑体"/>
          <w:sz w:val="32"/>
        </w:rPr>
        <w:t>二、绩效目标完成情况分析</w:t>
      </w:r>
    </w:p>
    <w:p>
      <w:pPr>
        <w:pStyle w:val="4"/>
        <w:spacing w:before="0" w:after="0" w:line="360" w:lineRule="auto"/>
        <w:rPr>
          <w:rFonts w:ascii="Times New Roman" w:hAnsi="Times New Roman" w:eastAsia="楷体"/>
          <w:b w:val="0"/>
          <w:bCs/>
        </w:rPr>
      </w:pPr>
      <w:r>
        <w:rPr>
          <w:rFonts w:ascii="Times New Roman" w:hAnsi="Times New Roman" w:eastAsia="楷体"/>
          <w:b w:val="0"/>
          <w:bCs/>
        </w:rPr>
        <w:t>（一）预算执行进度情况分析</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项目预算批复资金为497.03万元，上述资金已财政分解预算指标下达各受益乡镇，按照16元/亩标准兑现到户，资金通过“一卡通”的形式拨付，资金实际支付为492.4128万元，预算执行率99.07%</w:t>
      </w:r>
      <w:r>
        <w:rPr>
          <w:rFonts w:hint="eastAsia" w:ascii="Times New Roman" w:hAnsi="Times New Roman" w:eastAsia="仿宋_GB2312" w:cs="Times New Roman"/>
          <w:sz w:val="32"/>
          <w:szCs w:val="32"/>
        </w:rPr>
        <w:t>。</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我县根据生态公益林补偿项目和省级林业专项资金管理使用要求，各项目资金使用科学合理，做到专款专用，拨付及时，不存在虚列项目支出，截留、挤占、挪用、超标准开支等情况。</w:t>
      </w:r>
    </w:p>
    <w:p>
      <w:pPr>
        <w:pStyle w:val="4"/>
        <w:spacing w:before="0" w:after="0" w:line="360" w:lineRule="auto"/>
        <w:rPr>
          <w:rFonts w:ascii="Times New Roman" w:hAnsi="Times New Roman" w:eastAsia="楷体"/>
          <w:b w:val="0"/>
          <w:bCs/>
        </w:rPr>
      </w:pPr>
      <w:r>
        <w:rPr>
          <w:rFonts w:ascii="Times New Roman" w:hAnsi="Times New Roman" w:eastAsia="楷体"/>
          <w:b w:val="0"/>
          <w:bCs/>
        </w:rPr>
        <w:t>（二）总体绩效目标完成情况分析</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完成全县2022年度31.06万亩生态公益林的管护、核查、验收工作，并于2022年底前将补偿资金发放到位。</w:t>
      </w:r>
    </w:p>
    <w:p>
      <w:pPr>
        <w:pStyle w:val="4"/>
        <w:spacing w:before="0" w:after="0" w:line="360" w:lineRule="auto"/>
        <w:rPr>
          <w:rFonts w:ascii="Times New Roman" w:hAnsi="Times New Roman" w:eastAsia="楷体"/>
          <w:b w:val="0"/>
          <w:bCs/>
        </w:rPr>
      </w:pPr>
      <w:r>
        <w:rPr>
          <w:rFonts w:ascii="Times New Roman" w:hAnsi="Times New Roman" w:eastAsia="楷体"/>
          <w:b w:val="0"/>
          <w:bCs/>
        </w:rPr>
        <w:t>（三）绩效指标完成情况分析</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1、数量指标：国家级公益林生态效益管护249263亩，非国有省级公益林生态效益管护61383亩，年度任务已完成。</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2、质量指标：管护任务完成合格率≥92%。</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3、时效指标：项目当期任务完成率100%。</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4、成本指标：16元/亩。</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5、满意度指标：满意度≥92%</w:t>
      </w:r>
    </w:p>
    <w:p>
      <w:pPr>
        <w:pStyle w:val="4"/>
        <w:spacing w:before="0" w:after="0" w:line="360" w:lineRule="auto"/>
        <w:rPr>
          <w:rFonts w:ascii="Times New Roman" w:hAnsi="Times New Roman" w:eastAsia="楷体"/>
          <w:b w:val="0"/>
          <w:bCs/>
        </w:rPr>
      </w:pPr>
      <w:r>
        <w:rPr>
          <w:rFonts w:ascii="Times New Roman" w:hAnsi="Times New Roman" w:eastAsia="楷体"/>
          <w:b w:val="0"/>
          <w:bCs/>
        </w:rPr>
        <w:t>（四）项目效益分析</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1、生态效益：国家级公益林、省级公益林对生态环境改善情况明显，促进林分结构改善程度明显。</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2、社会效益：生态效益林管护带动了就业人数</w:t>
      </w:r>
      <w:r>
        <w:rPr>
          <w:rFonts w:hint="eastAsia" w:ascii="Times New Roman" w:hAnsi="Times New Roman" w:eastAsia="仿宋_GB2312" w:cs="Times New Roman"/>
          <w:sz w:val="32"/>
          <w:szCs w:val="32"/>
        </w:rPr>
        <w:t>200</w:t>
      </w:r>
      <w:r>
        <w:rPr>
          <w:rFonts w:ascii="Times New Roman" w:hAnsi="Times New Roman" w:eastAsia="仿宋_GB2312" w:cs="Times New Roman"/>
          <w:sz w:val="32"/>
          <w:szCs w:val="32"/>
        </w:rPr>
        <w:t>人。</w:t>
      </w:r>
    </w:p>
    <w:p>
      <w:pPr>
        <w:pStyle w:val="3"/>
        <w:spacing w:before="0" w:after="0" w:line="360" w:lineRule="auto"/>
        <w:rPr>
          <w:rFonts w:eastAsia="黑体"/>
          <w:sz w:val="32"/>
        </w:rPr>
      </w:pPr>
      <w:r>
        <w:rPr>
          <w:rFonts w:eastAsia="黑体"/>
          <w:sz w:val="32"/>
        </w:rPr>
        <w:t>三、偏离绩效目标的原因和下一步改进措施</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无。</w:t>
      </w:r>
    </w:p>
    <w:p>
      <w:pPr>
        <w:pStyle w:val="3"/>
        <w:spacing w:before="0" w:after="0" w:line="360" w:lineRule="auto"/>
        <w:rPr>
          <w:rFonts w:eastAsia="黑体"/>
          <w:sz w:val="32"/>
        </w:rPr>
      </w:pPr>
      <w:r>
        <w:rPr>
          <w:rFonts w:eastAsia="黑体"/>
          <w:sz w:val="32"/>
        </w:rPr>
        <w:t>四、绩效自评结果拟应用和公开情况</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2022年度项目自评得分为98.5分，每年绩效目标与预算同步批复、同步公开。</w:t>
      </w:r>
    </w:p>
    <w:p>
      <w:pPr>
        <w:pStyle w:val="3"/>
        <w:spacing w:before="0" w:after="0" w:line="360" w:lineRule="auto"/>
        <w:rPr>
          <w:rFonts w:eastAsia="黑体"/>
          <w:sz w:val="32"/>
        </w:rPr>
      </w:pPr>
      <w:r>
        <w:rPr>
          <w:rFonts w:eastAsia="黑体"/>
          <w:sz w:val="32"/>
        </w:rPr>
        <w:t>五、其他需要说明的问题</w:t>
      </w:r>
    </w:p>
    <w:p>
      <w:pPr>
        <w:pStyle w:val="10"/>
        <w:spacing w:line="360" w:lineRule="auto"/>
        <w:ind w:firstLine="640" w:firstLineChars="200"/>
        <w:rPr>
          <w:rFonts w:ascii="Times New Roman" w:hAnsi="Times New Roman" w:eastAsia="仿宋_GB2312" w:cs="Times New Roman"/>
          <w:b/>
          <w:bCs/>
          <w:sz w:val="32"/>
          <w:szCs w:val="32"/>
        </w:rPr>
      </w:pPr>
      <w:r>
        <w:rPr>
          <w:rFonts w:ascii="Times New Roman" w:hAnsi="Times New Roman" w:eastAsia="仿宋_GB2312" w:cs="Times New Roman"/>
          <w:sz w:val="32"/>
          <w:szCs w:val="32"/>
        </w:rPr>
        <w:t>无</w:t>
      </w:r>
    </w:p>
    <w:p>
      <w:pPr>
        <w:pStyle w:val="10"/>
        <w:spacing w:line="360" w:lineRule="auto"/>
        <w:ind w:firstLine="643" w:firstLineChars="200"/>
        <w:rPr>
          <w:rFonts w:ascii="Times New Roman" w:hAnsi="Times New Roman" w:eastAsia="仿宋_GB2312" w:cs="Times New Roman"/>
          <w:b/>
          <w:bCs/>
          <w:sz w:val="32"/>
          <w:szCs w:val="32"/>
        </w:rPr>
      </w:pPr>
    </w:p>
    <w:p>
      <w:pPr>
        <w:pStyle w:val="10"/>
        <w:spacing w:line="360" w:lineRule="auto"/>
        <w:jc w:val="both"/>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附件：1.2022年度森林生态效益补偿项目绩效目标自评表</w:t>
      </w:r>
    </w:p>
    <w:p>
      <w:pPr>
        <w:pStyle w:val="10"/>
        <w:spacing w:line="360" w:lineRule="auto"/>
        <w:ind w:left="960" w:leftChars="300"/>
        <w:jc w:val="both"/>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2.2022年度森林生态效益补偿项目支出绩效评价</w:t>
      </w:r>
      <w:r>
        <w:rPr>
          <w:rFonts w:hint="eastAsia" w:ascii="Times New Roman" w:hAnsi="Times New Roman" w:eastAsia="仿宋_GB2312" w:cs="Times New Roman"/>
          <w:b/>
          <w:bCs/>
          <w:sz w:val="32"/>
          <w:szCs w:val="32"/>
        </w:rPr>
        <w:t>自评得分表</w:t>
      </w:r>
    </w:p>
    <w:p>
      <w:pPr>
        <w:pStyle w:val="10"/>
        <w:spacing w:line="360" w:lineRule="auto"/>
        <w:ind w:right="320" w:firstLine="1600" w:firstLineChars="500"/>
        <w:jc w:val="right"/>
        <w:rPr>
          <w:rFonts w:ascii="Times New Roman" w:hAnsi="Times New Roman" w:eastAsia="仿宋_GB2312" w:cs="Times New Roman"/>
          <w:sz w:val="32"/>
          <w:szCs w:val="32"/>
        </w:rPr>
      </w:pPr>
      <w:r>
        <w:rPr>
          <w:rFonts w:ascii="Times New Roman" w:hAnsi="Times New Roman" w:eastAsia="仿宋_GB2312" w:cs="Times New Roman"/>
          <w:sz w:val="32"/>
          <w:szCs w:val="32"/>
        </w:rPr>
        <w:t>沐川县林业局</w:t>
      </w:r>
    </w:p>
    <w:p>
      <w:pPr>
        <w:pStyle w:val="10"/>
        <w:spacing w:line="360" w:lineRule="auto"/>
        <w:ind w:firstLine="1600" w:firstLineChars="500"/>
        <w:jc w:val="right"/>
        <w:rPr>
          <w:rFonts w:ascii="Times New Roman" w:hAnsi="Times New Roman" w:eastAsia="仿宋_GB2312" w:cs="Times New Roman"/>
          <w:sz w:val="32"/>
          <w:szCs w:val="32"/>
        </w:rPr>
      </w:pPr>
      <w:r>
        <w:rPr>
          <w:rFonts w:ascii="Times New Roman" w:hAnsi="Times New Roman" w:eastAsia="仿宋_GB2312" w:cs="Times New Roman"/>
          <w:sz w:val="32"/>
          <w:szCs w:val="32"/>
        </w:rPr>
        <w:t>2023年7</w:t>
      </w:r>
      <w:bookmarkStart w:id="1" w:name="_GoBack"/>
      <w:bookmarkEnd w:id="1"/>
      <w:r>
        <w:rPr>
          <w:rFonts w:ascii="Times New Roman" w:hAnsi="Times New Roman" w:eastAsia="仿宋_GB2312" w:cs="Times New Roman"/>
          <w:sz w:val="32"/>
          <w:szCs w:val="32"/>
        </w:rPr>
        <w:t>月1</w:t>
      </w:r>
      <w:r>
        <w:rPr>
          <w:rFonts w:hint="eastAsia" w:ascii="Times New Roman" w:hAnsi="Times New Roman" w:eastAsia="仿宋_GB2312" w:cs="Times New Roman"/>
          <w:sz w:val="32"/>
          <w:szCs w:val="32"/>
        </w:rPr>
        <w:t>5</w:t>
      </w:r>
      <w:r>
        <w:rPr>
          <w:rFonts w:ascii="Times New Roman" w:hAnsi="Times New Roman" w:eastAsia="仿宋_GB2312" w:cs="Times New Roman"/>
          <w:sz w:val="32"/>
          <w:szCs w:val="32"/>
        </w:rPr>
        <w:t>日</w:t>
      </w:r>
    </w:p>
    <w:p>
      <w:r>
        <w:br w:type="page"/>
      </w:r>
    </w:p>
    <w:p>
      <w:pPr>
        <w:pStyle w:val="3"/>
        <w:spacing w:before="0" w:after="0" w:line="360" w:lineRule="auto"/>
        <w:rPr>
          <w:rFonts w:eastAsia="黑体"/>
          <w:sz w:val="32"/>
        </w:rPr>
      </w:pPr>
      <w:r>
        <w:rPr>
          <w:rFonts w:eastAsia="黑体"/>
          <w:sz w:val="32"/>
        </w:rPr>
        <w:t>附件1</w:t>
      </w:r>
    </w:p>
    <w:p>
      <w:pPr>
        <w:jc w:val="center"/>
        <w:rPr>
          <w:rFonts w:eastAsia="方正公文楷体"/>
          <w:sz w:val="24"/>
          <w:szCs w:val="24"/>
        </w:rPr>
      </w:pPr>
      <w:r>
        <w:rPr>
          <w:rFonts w:eastAsia="方正公文楷体"/>
          <w:color w:val="000000"/>
          <w:kern w:val="0"/>
          <w:sz w:val="24"/>
          <w:szCs w:val="24"/>
        </w:rPr>
        <w:t>2022年度森林生态效益补偿项目绩效目标自评表</w:t>
      </w:r>
    </w:p>
    <w:tbl>
      <w:tblPr>
        <w:tblStyle w:val="1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1"/>
        <w:gridCol w:w="496"/>
        <w:gridCol w:w="1130"/>
        <w:gridCol w:w="1381"/>
        <w:gridCol w:w="1133"/>
        <w:gridCol w:w="1091"/>
        <w:gridCol w:w="1149"/>
        <w:gridCol w:w="14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5000" w:type="pct"/>
            <w:gridSpan w:val="8"/>
          </w:tcPr>
          <w:p>
            <w:pPr>
              <w:widowControl/>
              <w:spacing w:line="320" w:lineRule="exact"/>
              <w:jc w:val="center"/>
              <w:textAlignment w:val="top"/>
              <w:rPr>
                <w:rFonts w:eastAsia="宋体"/>
                <w:color w:val="000000"/>
                <w:sz w:val="22"/>
                <w:szCs w:val="22"/>
              </w:rPr>
            </w:pPr>
            <w:r>
              <w:rPr>
                <w:rFonts w:eastAsia="宋体"/>
                <w:color w:val="000000"/>
                <w:kern w:val="0"/>
                <w:sz w:val="22"/>
                <w:szCs w:val="22"/>
              </w:rPr>
              <w:t>（2022年度）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7" w:type="pct"/>
            <w:gridSpan w:val="3"/>
            <w:vAlign w:val="center"/>
          </w:tcPr>
          <w:p>
            <w:pPr>
              <w:widowControl/>
              <w:spacing w:line="200" w:lineRule="exact"/>
              <w:jc w:val="center"/>
              <w:textAlignment w:val="center"/>
              <w:rPr>
                <w:color w:val="000000"/>
                <w:sz w:val="20"/>
                <w:szCs w:val="20"/>
              </w:rPr>
            </w:pPr>
            <w:r>
              <w:rPr>
                <w:color w:val="000000"/>
                <w:kern w:val="0"/>
                <w:sz w:val="20"/>
                <w:szCs w:val="20"/>
              </w:rPr>
              <w:t>项目（政策）名称</w:t>
            </w:r>
          </w:p>
        </w:tc>
        <w:tc>
          <w:tcPr>
            <w:tcW w:w="3622" w:type="pct"/>
            <w:gridSpan w:val="5"/>
            <w:vAlign w:val="center"/>
          </w:tcPr>
          <w:p>
            <w:pPr>
              <w:widowControl/>
              <w:spacing w:line="200" w:lineRule="exact"/>
              <w:jc w:val="center"/>
              <w:rPr>
                <w:color w:val="000000"/>
                <w:sz w:val="20"/>
                <w:szCs w:val="20"/>
              </w:rPr>
            </w:pPr>
            <w:r>
              <w:rPr>
                <w:color w:val="000000"/>
                <w:sz w:val="20"/>
                <w:szCs w:val="20"/>
              </w:rPr>
              <w:t>森林生态效益补偿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7" w:type="pct"/>
            <w:gridSpan w:val="3"/>
            <w:vAlign w:val="center"/>
          </w:tcPr>
          <w:p>
            <w:pPr>
              <w:widowControl/>
              <w:spacing w:line="200" w:lineRule="exact"/>
              <w:jc w:val="center"/>
              <w:textAlignment w:val="center"/>
              <w:rPr>
                <w:color w:val="000000"/>
                <w:sz w:val="20"/>
                <w:szCs w:val="20"/>
              </w:rPr>
            </w:pPr>
            <w:r>
              <w:rPr>
                <w:color w:val="000000"/>
                <w:kern w:val="0"/>
                <w:sz w:val="20"/>
                <w:szCs w:val="20"/>
              </w:rPr>
              <w:t>项目主管部门</w:t>
            </w:r>
          </w:p>
        </w:tc>
        <w:tc>
          <w:tcPr>
            <w:tcW w:w="1475" w:type="pct"/>
            <w:gridSpan w:val="2"/>
            <w:vAlign w:val="center"/>
          </w:tcPr>
          <w:p>
            <w:pPr>
              <w:widowControl/>
              <w:spacing w:line="200" w:lineRule="exact"/>
              <w:jc w:val="center"/>
              <w:rPr>
                <w:color w:val="000000"/>
                <w:sz w:val="20"/>
                <w:szCs w:val="20"/>
              </w:rPr>
            </w:pPr>
            <w:r>
              <w:rPr>
                <w:color w:val="000000"/>
                <w:sz w:val="20"/>
                <w:szCs w:val="20"/>
              </w:rPr>
              <w:t>林业局</w:t>
            </w:r>
          </w:p>
        </w:tc>
        <w:tc>
          <w:tcPr>
            <w:tcW w:w="640" w:type="pct"/>
            <w:vAlign w:val="center"/>
          </w:tcPr>
          <w:p>
            <w:pPr>
              <w:widowControl/>
              <w:spacing w:line="200" w:lineRule="exact"/>
              <w:jc w:val="center"/>
              <w:textAlignment w:val="center"/>
              <w:rPr>
                <w:color w:val="000000"/>
                <w:kern w:val="0"/>
                <w:sz w:val="20"/>
                <w:szCs w:val="20"/>
              </w:rPr>
            </w:pPr>
            <w:r>
              <w:rPr>
                <w:color w:val="000000"/>
                <w:kern w:val="0"/>
                <w:sz w:val="20"/>
                <w:szCs w:val="20"/>
              </w:rPr>
              <w:t>资金使用单位</w:t>
            </w:r>
          </w:p>
        </w:tc>
        <w:tc>
          <w:tcPr>
            <w:tcW w:w="1507" w:type="pct"/>
            <w:gridSpan w:val="2"/>
            <w:vAlign w:val="center"/>
          </w:tcPr>
          <w:p>
            <w:pPr>
              <w:widowControl/>
              <w:spacing w:line="200" w:lineRule="exact"/>
              <w:jc w:val="center"/>
              <w:rPr>
                <w:color w:val="000000"/>
                <w:sz w:val="20"/>
                <w:szCs w:val="20"/>
              </w:rPr>
            </w:pPr>
            <w:r>
              <w:rPr>
                <w:color w:val="000000"/>
                <w:sz w:val="20"/>
                <w:szCs w:val="20"/>
              </w:rPr>
              <w:t>林业局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7" w:type="pct"/>
            <w:gridSpan w:val="3"/>
            <w:vMerge w:val="restart"/>
            <w:vAlign w:val="center"/>
          </w:tcPr>
          <w:p>
            <w:pPr>
              <w:widowControl/>
              <w:spacing w:line="200" w:lineRule="exact"/>
              <w:jc w:val="center"/>
              <w:textAlignment w:val="center"/>
              <w:rPr>
                <w:color w:val="000000"/>
                <w:kern w:val="0"/>
                <w:sz w:val="20"/>
                <w:szCs w:val="20"/>
              </w:rPr>
            </w:pPr>
            <w:r>
              <w:rPr>
                <w:color w:val="000000"/>
                <w:kern w:val="0"/>
                <w:sz w:val="20"/>
                <w:szCs w:val="20"/>
              </w:rPr>
              <w:t>项目资金</w:t>
            </w:r>
          </w:p>
          <w:p>
            <w:pPr>
              <w:widowControl/>
              <w:spacing w:line="200" w:lineRule="exact"/>
              <w:jc w:val="center"/>
              <w:textAlignment w:val="center"/>
              <w:rPr>
                <w:color w:val="000000"/>
                <w:sz w:val="20"/>
                <w:szCs w:val="20"/>
              </w:rPr>
            </w:pPr>
            <w:r>
              <w:rPr>
                <w:color w:val="000000"/>
                <w:kern w:val="0"/>
                <w:sz w:val="20"/>
                <w:szCs w:val="20"/>
              </w:rPr>
              <w:t>（万元）</w:t>
            </w:r>
          </w:p>
        </w:tc>
        <w:tc>
          <w:tcPr>
            <w:tcW w:w="810" w:type="pct"/>
            <w:vAlign w:val="center"/>
          </w:tcPr>
          <w:p>
            <w:pPr>
              <w:widowControl/>
              <w:spacing w:line="200" w:lineRule="exact"/>
              <w:jc w:val="center"/>
              <w:rPr>
                <w:color w:val="000000"/>
                <w:sz w:val="20"/>
                <w:szCs w:val="20"/>
              </w:rPr>
            </w:pPr>
          </w:p>
        </w:tc>
        <w:tc>
          <w:tcPr>
            <w:tcW w:w="664" w:type="pct"/>
            <w:vAlign w:val="center"/>
          </w:tcPr>
          <w:p>
            <w:pPr>
              <w:widowControl/>
              <w:spacing w:line="200" w:lineRule="exact"/>
              <w:jc w:val="center"/>
              <w:textAlignment w:val="center"/>
              <w:rPr>
                <w:color w:val="000000"/>
                <w:sz w:val="20"/>
                <w:szCs w:val="20"/>
              </w:rPr>
            </w:pPr>
            <w:r>
              <w:rPr>
                <w:color w:val="000000"/>
                <w:kern w:val="0"/>
                <w:sz w:val="20"/>
                <w:szCs w:val="20"/>
              </w:rPr>
              <w:t>全年预算数</w:t>
            </w:r>
          </w:p>
        </w:tc>
        <w:tc>
          <w:tcPr>
            <w:tcW w:w="1314" w:type="pct"/>
            <w:gridSpan w:val="2"/>
            <w:vAlign w:val="center"/>
          </w:tcPr>
          <w:p>
            <w:pPr>
              <w:widowControl/>
              <w:spacing w:line="200" w:lineRule="exact"/>
              <w:jc w:val="center"/>
              <w:textAlignment w:val="center"/>
              <w:rPr>
                <w:color w:val="000000"/>
                <w:sz w:val="20"/>
                <w:szCs w:val="20"/>
              </w:rPr>
            </w:pPr>
            <w:r>
              <w:rPr>
                <w:color w:val="000000"/>
                <w:kern w:val="0"/>
                <w:sz w:val="20"/>
                <w:szCs w:val="20"/>
              </w:rPr>
              <w:t>全年执行数</w:t>
            </w:r>
          </w:p>
        </w:tc>
        <w:tc>
          <w:tcPr>
            <w:tcW w:w="833" w:type="pct"/>
            <w:vAlign w:val="center"/>
          </w:tcPr>
          <w:p>
            <w:pPr>
              <w:widowControl/>
              <w:spacing w:line="200" w:lineRule="exact"/>
              <w:jc w:val="center"/>
              <w:textAlignment w:val="center"/>
              <w:rPr>
                <w:color w:val="000000"/>
                <w:sz w:val="20"/>
                <w:szCs w:val="20"/>
              </w:rPr>
            </w:pPr>
            <w:r>
              <w:rPr>
                <w:color w:val="000000"/>
                <w:kern w:val="0"/>
                <w:sz w:val="20"/>
                <w:szCs w:val="20"/>
              </w:rPr>
              <w:t>预算执行率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7"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color w:val="000000"/>
                <w:kern w:val="0"/>
                <w:sz w:val="20"/>
                <w:szCs w:val="20"/>
              </w:rPr>
              <w:t>年度资金总额：</w:t>
            </w:r>
          </w:p>
        </w:tc>
        <w:tc>
          <w:tcPr>
            <w:tcW w:w="664" w:type="pct"/>
            <w:vAlign w:val="center"/>
          </w:tcPr>
          <w:p>
            <w:pPr>
              <w:widowControl/>
              <w:spacing w:line="200" w:lineRule="exact"/>
              <w:jc w:val="center"/>
              <w:rPr>
                <w:color w:val="000000"/>
                <w:sz w:val="20"/>
                <w:szCs w:val="20"/>
              </w:rPr>
            </w:pPr>
            <w:r>
              <w:rPr>
                <w:color w:val="000000"/>
                <w:sz w:val="20"/>
                <w:szCs w:val="20"/>
              </w:rPr>
              <w:t>497.03</w:t>
            </w:r>
          </w:p>
        </w:tc>
        <w:tc>
          <w:tcPr>
            <w:tcW w:w="1314" w:type="pct"/>
            <w:gridSpan w:val="2"/>
            <w:vAlign w:val="center"/>
          </w:tcPr>
          <w:p>
            <w:pPr>
              <w:widowControl/>
              <w:spacing w:line="200" w:lineRule="exact"/>
              <w:jc w:val="center"/>
              <w:rPr>
                <w:color w:val="000000"/>
                <w:sz w:val="20"/>
                <w:szCs w:val="20"/>
              </w:rPr>
            </w:pPr>
            <w:r>
              <w:rPr>
                <w:color w:val="000000"/>
                <w:sz w:val="20"/>
                <w:szCs w:val="20"/>
              </w:rPr>
              <w:t>492.4128</w:t>
            </w:r>
          </w:p>
        </w:tc>
        <w:tc>
          <w:tcPr>
            <w:tcW w:w="833" w:type="pct"/>
            <w:vAlign w:val="center"/>
          </w:tcPr>
          <w:p>
            <w:pPr>
              <w:widowControl/>
              <w:spacing w:line="200" w:lineRule="exact"/>
              <w:jc w:val="center"/>
              <w:rPr>
                <w:color w:val="000000"/>
                <w:sz w:val="20"/>
                <w:szCs w:val="20"/>
              </w:rPr>
            </w:pPr>
            <w:r>
              <w:rPr>
                <w:color w:val="000000"/>
                <w:sz w:val="20"/>
                <w:szCs w:val="20"/>
              </w:rPr>
              <w:t>99.07%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7"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rStyle w:val="17"/>
                <w:rFonts w:hint="default" w:ascii="Times New Roman" w:hAnsi="Times New Roman" w:eastAsia="仿宋_GB2312" w:cs="Times New Roman"/>
                <w:sz w:val="20"/>
                <w:szCs w:val="20"/>
              </w:rPr>
              <w:t>其中：中央、省补助</w:t>
            </w:r>
          </w:p>
        </w:tc>
        <w:tc>
          <w:tcPr>
            <w:tcW w:w="1133" w:type="dxa"/>
            <w:vAlign w:val="center"/>
          </w:tcPr>
          <w:p>
            <w:pPr>
              <w:widowControl/>
              <w:spacing w:line="200" w:lineRule="exact"/>
              <w:jc w:val="center"/>
              <w:rPr>
                <w:color w:val="000000"/>
                <w:sz w:val="20"/>
                <w:szCs w:val="20"/>
              </w:rPr>
            </w:pPr>
            <w:r>
              <w:rPr>
                <w:color w:val="000000"/>
                <w:sz w:val="20"/>
                <w:szCs w:val="20"/>
              </w:rPr>
              <w:t>497.03</w:t>
            </w:r>
          </w:p>
        </w:tc>
        <w:tc>
          <w:tcPr>
            <w:tcW w:w="2240" w:type="dxa"/>
            <w:gridSpan w:val="2"/>
            <w:vAlign w:val="center"/>
          </w:tcPr>
          <w:p>
            <w:pPr>
              <w:widowControl/>
              <w:spacing w:line="200" w:lineRule="exact"/>
              <w:jc w:val="center"/>
              <w:rPr>
                <w:color w:val="000000"/>
                <w:sz w:val="20"/>
                <w:szCs w:val="20"/>
              </w:rPr>
            </w:pPr>
            <w:r>
              <w:rPr>
                <w:color w:val="000000"/>
                <w:sz w:val="20"/>
                <w:szCs w:val="20"/>
              </w:rPr>
              <w:t>492.4128</w:t>
            </w:r>
          </w:p>
        </w:tc>
        <w:tc>
          <w:tcPr>
            <w:tcW w:w="1421" w:type="dxa"/>
            <w:vAlign w:val="center"/>
          </w:tcPr>
          <w:p>
            <w:pPr>
              <w:widowControl/>
              <w:spacing w:line="200" w:lineRule="exact"/>
              <w:jc w:val="center"/>
              <w:rPr>
                <w:color w:val="000000"/>
                <w:sz w:val="20"/>
                <w:szCs w:val="20"/>
              </w:rPr>
            </w:pPr>
            <w:r>
              <w:rPr>
                <w:color w:val="000000"/>
                <w:sz w:val="20"/>
                <w:szCs w:val="20"/>
              </w:rPr>
              <w:t>99.07%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7"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rStyle w:val="17"/>
                <w:rFonts w:hint="default" w:ascii="Times New Roman" w:hAnsi="Times New Roman" w:eastAsia="仿宋_GB2312" w:cs="Times New Roman"/>
                <w:sz w:val="20"/>
                <w:szCs w:val="20"/>
              </w:rPr>
              <w:t>市级财政资</w:t>
            </w:r>
          </w:p>
        </w:tc>
        <w:tc>
          <w:tcPr>
            <w:tcW w:w="664" w:type="pct"/>
            <w:vAlign w:val="center"/>
          </w:tcPr>
          <w:p>
            <w:pPr>
              <w:widowControl/>
              <w:spacing w:line="200" w:lineRule="exact"/>
              <w:jc w:val="center"/>
              <w:rPr>
                <w:color w:val="000000"/>
                <w:sz w:val="20"/>
                <w:szCs w:val="20"/>
              </w:rPr>
            </w:pPr>
          </w:p>
        </w:tc>
        <w:tc>
          <w:tcPr>
            <w:tcW w:w="1314" w:type="pct"/>
            <w:gridSpan w:val="2"/>
            <w:vAlign w:val="center"/>
          </w:tcPr>
          <w:p>
            <w:pPr>
              <w:widowControl/>
              <w:spacing w:line="200" w:lineRule="exact"/>
              <w:jc w:val="center"/>
              <w:rPr>
                <w:color w:val="000000"/>
                <w:sz w:val="20"/>
                <w:szCs w:val="20"/>
              </w:rPr>
            </w:pPr>
          </w:p>
        </w:tc>
        <w:tc>
          <w:tcPr>
            <w:tcW w:w="833"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7"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color w:val="000000"/>
                <w:kern w:val="0"/>
                <w:sz w:val="20"/>
                <w:szCs w:val="20"/>
              </w:rPr>
              <w:t>县级财政资</w:t>
            </w:r>
          </w:p>
        </w:tc>
        <w:tc>
          <w:tcPr>
            <w:tcW w:w="664" w:type="pct"/>
            <w:vAlign w:val="center"/>
          </w:tcPr>
          <w:p>
            <w:pPr>
              <w:widowControl/>
              <w:spacing w:line="200" w:lineRule="exact"/>
              <w:jc w:val="center"/>
              <w:rPr>
                <w:color w:val="000000"/>
                <w:sz w:val="20"/>
                <w:szCs w:val="20"/>
              </w:rPr>
            </w:pPr>
          </w:p>
        </w:tc>
        <w:tc>
          <w:tcPr>
            <w:tcW w:w="1314" w:type="pct"/>
            <w:gridSpan w:val="2"/>
            <w:vAlign w:val="center"/>
          </w:tcPr>
          <w:p>
            <w:pPr>
              <w:widowControl/>
              <w:spacing w:line="200" w:lineRule="exact"/>
              <w:jc w:val="center"/>
              <w:rPr>
                <w:color w:val="000000"/>
                <w:sz w:val="20"/>
                <w:szCs w:val="20"/>
              </w:rPr>
            </w:pPr>
          </w:p>
        </w:tc>
        <w:tc>
          <w:tcPr>
            <w:tcW w:w="833"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7"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rStyle w:val="17"/>
                <w:rFonts w:hint="default" w:ascii="Times New Roman" w:hAnsi="Times New Roman" w:eastAsia="仿宋_GB2312" w:cs="Times New Roman"/>
                <w:sz w:val="20"/>
                <w:szCs w:val="20"/>
              </w:rPr>
              <w:t>其他资金</w:t>
            </w:r>
          </w:p>
        </w:tc>
        <w:tc>
          <w:tcPr>
            <w:tcW w:w="664" w:type="pct"/>
            <w:vAlign w:val="center"/>
          </w:tcPr>
          <w:p>
            <w:pPr>
              <w:widowControl/>
              <w:spacing w:line="200" w:lineRule="exact"/>
              <w:jc w:val="center"/>
              <w:rPr>
                <w:color w:val="000000"/>
                <w:sz w:val="20"/>
                <w:szCs w:val="20"/>
              </w:rPr>
            </w:pPr>
          </w:p>
        </w:tc>
        <w:tc>
          <w:tcPr>
            <w:tcW w:w="1314" w:type="pct"/>
            <w:gridSpan w:val="2"/>
            <w:vAlign w:val="center"/>
          </w:tcPr>
          <w:p>
            <w:pPr>
              <w:widowControl/>
              <w:spacing w:line="200" w:lineRule="exact"/>
              <w:jc w:val="center"/>
              <w:rPr>
                <w:color w:val="000000"/>
                <w:sz w:val="20"/>
                <w:szCs w:val="20"/>
              </w:rPr>
            </w:pPr>
          </w:p>
        </w:tc>
        <w:tc>
          <w:tcPr>
            <w:tcW w:w="833"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3" w:type="pct"/>
            <w:vMerge w:val="restart"/>
            <w:vAlign w:val="center"/>
          </w:tcPr>
          <w:p>
            <w:pPr>
              <w:widowControl/>
              <w:spacing w:line="180" w:lineRule="exact"/>
              <w:jc w:val="center"/>
              <w:textAlignment w:val="center"/>
              <w:rPr>
                <w:color w:val="000000"/>
                <w:sz w:val="20"/>
                <w:szCs w:val="20"/>
              </w:rPr>
            </w:pPr>
            <w:r>
              <w:rPr>
                <w:color w:val="000000"/>
                <w:kern w:val="0"/>
                <w:sz w:val="20"/>
                <w:szCs w:val="20"/>
              </w:rPr>
              <w:t>总体目标完成情况</w:t>
            </w:r>
          </w:p>
        </w:tc>
        <w:tc>
          <w:tcPr>
            <w:tcW w:w="2429" w:type="pct"/>
            <w:gridSpan w:val="4"/>
            <w:vAlign w:val="center"/>
          </w:tcPr>
          <w:p>
            <w:pPr>
              <w:widowControl/>
              <w:spacing w:line="200" w:lineRule="exact"/>
              <w:jc w:val="center"/>
              <w:textAlignment w:val="center"/>
              <w:rPr>
                <w:color w:val="000000"/>
                <w:sz w:val="20"/>
                <w:szCs w:val="20"/>
              </w:rPr>
            </w:pPr>
            <w:r>
              <w:rPr>
                <w:color w:val="000000"/>
                <w:kern w:val="0"/>
                <w:sz w:val="20"/>
                <w:szCs w:val="20"/>
              </w:rPr>
              <w:t>总体目标</w:t>
            </w:r>
          </w:p>
        </w:tc>
        <w:tc>
          <w:tcPr>
            <w:tcW w:w="2147" w:type="pct"/>
            <w:gridSpan w:val="3"/>
            <w:vAlign w:val="center"/>
          </w:tcPr>
          <w:p>
            <w:pPr>
              <w:widowControl/>
              <w:spacing w:line="200" w:lineRule="exact"/>
              <w:jc w:val="center"/>
              <w:textAlignment w:val="center"/>
              <w:rPr>
                <w:color w:val="000000"/>
                <w:sz w:val="20"/>
                <w:szCs w:val="20"/>
              </w:rPr>
            </w:pPr>
            <w:r>
              <w:rPr>
                <w:color w:val="000000"/>
                <w:kern w:val="0"/>
                <w:sz w:val="20"/>
                <w:szCs w:val="20"/>
              </w:rPr>
              <w:t>全年实际完成情况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8" w:hRule="atLeast"/>
          <w:jc w:val="center"/>
        </w:trPr>
        <w:tc>
          <w:tcPr>
            <w:tcW w:w="423" w:type="pct"/>
            <w:vMerge w:val="continue"/>
            <w:vAlign w:val="center"/>
          </w:tcPr>
          <w:p>
            <w:pPr>
              <w:widowControl/>
              <w:spacing w:line="200" w:lineRule="exact"/>
              <w:jc w:val="center"/>
              <w:rPr>
                <w:color w:val="000000"/>
                <w:sz w:val="20"/>
                <w:szCs w:val="20"/>
              </w:rPr>
            </w:pPr>
          </w:p>
        </w:tc>
        <w:tc>
          <w:tcPr>
            <w:tcW w:w="2429" w:type="pct"/>
            <w:gridSpan w:val="4"/>
            <w:vAlign w:val="center"/>
          </w:tcPr>
          <w:p>
            <w:pPr>
              <w:widowControl/>
              <w:spacing w:line="200" w:lineRule="exact"/>
              <w:rPr>
                <w:color w:val="000000"/>
                <w:sz w:val="20"/>
                <w:szCs w:val="20"/>
              </w:rPr>
            </w:pPr>
            <w:r>
              <w:rPr>
                <w:color w:val="000000"/>
                <w:sz w:val="20"/>
                <w:szCs w:val="20"/>
              </w:rPr>
              <w:t>对本县生态公益林实施森林生态效益补偿。</w:t>
            </w:r>
          </w:p>
        </w:tc>
        <w:tc>
          <w:tcPr>
            <w:tcW w:w="2147" w:type="pct"/>
            <w:gridSpan w:val="3"/>
            <w:vAlign w:val="center"/>
          </w:tcPr>
          <w:p>
            <w:pPr>
              <w:widowControl/>
              <w:spacing w:line="200" w:lineRule="exact"/>
              <w:rPr>
                <w:color w:val="000000"/>
                <w:sz w:val="20"/>
                <w:szCs w:val="20"/>
              </w:rPr>
            </w:pPr>
            <w:r>
              <w:rPr>
                <w:color w:val="000000"/>
                <w:sz w:val="20"/>
                <w:szCs w:val="20"/>
              </w:rPr>
              <w:t>完成全县31.06万亩生态公益林生态效益补偿。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3" w:type="pct"/>
            <w:vMerge w:val="restart"/>
            <w:textDirection w:val="tbRlV"/>
            <w:vAlign w:val="center"/>
          </w:tcPr>
          <w:p>
            <w:pPr>
              <w:widowControl/>
              <w:spacing w:line="200" w:lineRule="exact"/>
              <w:jc w:val="center"/>
              <w:textAlignment w:val="center"/>
              <w:rPr>
                <w:color w:val="000000"/>
                <w:sz w:val="20"/>
                <w:szCs w:val="20"/>
              </w:rPr>
            </w:pPr>
            <w:r>
              <w:rPr>
                <w:color w:val="000000"/>
                <w:kern w:val="0"/>
                <w:sz w:val="20"/>
                <w:szCs w:val="20"/>
              </w:rPr>
              <w:t>绩效指标</w:t>
            </w:r>
          </w:p>
        </w:tc>
        <w:tc>
          <w:tcPr>
            <w:tcW w:w="291" w:type="pct"/>
            <w:vAlign w:val="center"/>
          </w:tcPr>
          <w:p>
            <w:pPr>
              <w:widowControl/>
              <w:spacing w:line="180" w:lineRule="exact"/>
              <w:jc w:val="center"/>
              <w:textAlignment w:val="center"/>
              <w:rPr>
                <w:color w:val="000000"/>
                <w:kern w:val="0"/>
                <w:sz w:val="20"/>
                <w:szCs w:val="20"/>
              </w:rPr>
            </w:pPr>
            <w:r>
              <w:rPr>
                <w:color w:val="000000"/>
                <w:kern w:val="0"/>
                <w:sz w:val="20"/>
                <w:szCs w:val="20"/>
              </w:rPr>
              <w:t>一级</w:t>
            </w:r>
          </w:p>
          <w:p>
            <w:pPr>
              <w:widowControl/>
              <w:spacing w:line="180" w:lineRule="exact"/>
              <w:jc w:val="center"/>
              <w:textAlignment w:val="center"/>
              <w:rPr>
                <w:color w:val="000000"/>
                <w:sz w:val="20"/>
                <w:szCs w:val="20"/>
              </w:rPr>
            </w:pPr>
            <w:r>
              <w:rPr>
                <w:color w:val="000000"/>
                <w:kern w:val="0"/>
                <w:sz w:val="20"/>
                <w:szCs w:val="20"/>
              </w:rPr>
              <w:t>指标</w:t>
            </w:r>
          </w:p>
        </w:tc>
        <w:tc>
          <w:tcPr>
            <w:tcW w:w="662" w:type="pct"/>
            <w:vAlign w:val="center"/>
          </w:tcPr>
          <w:p>
            <w:pPr>
              <w:widowControl/>
              <w:spacing w:line="200" w:lineRule="exact"/>
              <w:jc w:val="center"/>
              <w:textAlignment w:val="center"/>
              <w:rPr>
                <w:color w:val="000000"/>
                <w:sz w:val="20"/>
                <w:szCs w:val="20"/>
              </w:rPr>
            </w:pPr>
            <w:r>
              <w:rPr>
                <w:color w:val="000000"/>
                <w:kern w:val="0"/>
                <w:sz w:val="20"/>
                <w:szCs w:val="20"/>
              </w:rPr>
              <w:t>二级指标</w:t>
            </w:r>
          </w:p>
        </w:tc>
        <w:tc>
          <w:tcPr>
            <w:tcW w:w="1475" w:type="pct"/>
            <w:gridSpan w:val="2"/>
            <w:vAlign w:val="center"/>
          </w:tcPr>
          <w:p>
            <w:pPr>
              <w:widowControl/>
              <w:spacing w:line="200" w:lineRule="exact"/>
              <w:jc w:val="center"/>
              <w:textAlignment w:val="center"/>
              <w:rPr>
                <w:color w:val="000000"/>
                <w:sz w:val="20"/>
                <w:szCs w:val="20"/>
              </w:rPr>
            </w:pPr>
            <w:r>
              <w:rPr>
                <w:color w:val="000000"/>
                <w:kern w:val="0"/>
                <w:sz w:val="20"/>
                <w:szCs w:val="20"/>
              </w:rPr>
              <w:t>三级指标</w:t>
            </w:r>
          </w:p>
        </w:tc>
        <w:tc>
          <w:tcPr>
            <w:tcW w:w="640" w:type="pct"/>
            <w:vAlign w:val="center"/>
          </w:tcPr>
          <w:p>
            <w:pPr>
              <w:widowControl/>
              <w:spacing w:line="200" w:lineRule="exact"/>
              <w:jc w:val="center"/>
              <w:textAlignment w:val="center"/>
              <w:rPr>
                <w:color w:val="000000"/>
                <w:sz w:val="20"/>
                <w:szCs w:val="20"/>
              </w:rPr>
            </w:pPr>
            <w:r>
              <w:rPr>
                <w:color w:val="000000"/>
                <w:kern w:val="0"/>
                <w:sz w:val="20"/>
                <w:szCs w:val="20"/>
              </w:rPr>
              <w:t>指标值</w:t>
            </w:r>
          </w:p>
        </w:tc>
        <w:tc>
          <w:tcPr>
            <w:tcW w:w="674" w:type="pct"/>
            <w:vAlign w:val="center"/>
          </w:tcPr>
          <w:p>
            <w:pPr>
              <w:widowControl/>
              <w:spacing w:line="200" w:lineRule="exact"/>
              <w:jc w:val="center"/>
              <w:textAlignment w:val="center"/>
              <w:rPr>
                <w:color w:val="000000"/>
                <w:sz w:val="20"/>
                <w:szCs w:val="20"/>
              </w:rPr>
            </w:pPr>
            <w:r>
              <w:rPr>
                <w:color w:val="000000"/>
                <w:kern w:val="0"/>
                <w:sz w:val="20"/>
                <w:szCs w:val="20"/>
              </w:rPr>
              <w:t>全年实际完成值</w:t>
            </w:r>
          </w:p>
        </w:tc>
        <w:tc>
          <w:tcPr>
            <w:tcW w:w="833" w:type="pct"/>
            <w:vAlign w:val="center"/>
          </w:tcPr>
          <w:p>
            <w:pPr>
              <w:widowControl/>
              <w:spacing w:line="200" w:lineRule="exact"/>
              <w:jc w:val="center"/>
              <w:textAlignment w:val="center"/>
              <w:rPr>
                <w:color w:val="000000"/>
                <w:sz w:val="20"/>
                <w:szCs w:val="20"/>
              </w:rPr>
            </w:pPr>
            <w:r>
              <w:rPr>
                <w:color w:val="000000"/>
                <w:kern w:val="0"/>
                <w:sz w:val="20"/>
                <w:szCs w:val="20"/>
              </w:rPr>
              <w:t>未完成原因和改进措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3" w:type="pct"/>
            <w:vMerge w:val="continue"/>
            <w:textDirection w:val="tbRlV"/>
            <w:vAlign w:val="center"/>
          </w:tcPr>
          <w:p>
            <w:pPr>
              <w:widowControl/>
              <w:spacing w:line="200" w:lineRule="exact"/>
              <w:jc w:val="center"/>
              <w:rPr>
                <w:color w:val="000000"/>
                <w:sz w:val="20"/>
                <w:szCs w:val="20"/>
              </w:rPr>
            </w:pPr>
          </w:p>
        </w:tc>
        <w:tc>
          <w:tcPr>
            <w:tcW w:w="291" w:type="pct"/>
            <w:vMerge w:val="restart"/>
            <w:vAlign w:val="center"/>
          </w:tcPr>
          <w:p>
            <w:pPr>
              <w:widowControl/>
              <w:spacing w:line="200" w:lineRule="exact"/>
              <w:jc w:val="center"/>
              <w:textAlignment w:val="center"/>
              <w:rPr>
                <w:color w:val="000000"/>
                <w:kern w:val="0"/>
                <w:sz w:val="20"/>
                <w:szCs w:val="20"/>
              </w:rPr>
            </w:pPr>
            <w:r>
              <w:rPr>
                <w:color w:val="000000"/>
                <w:kern w:val="0"/>
                <w:sz w:val="20"/>
                <w:szCs w:val="20"/>
              </w:rPr>
              <w:t>产</w:t>
            </w:r>
          </w:p>
          <w:p>
            <w:pPr>
              <w:widowControl/>
              <w:spacing w:line="200" w:lineRule="exact"/>
              <w:jc w:val="center"/>
              <w:textAlignment w:val="center"/>
              <w:rPr>
                <w:color w:val="000000"/>
                <w:kern w:val="0"/>
                <w:sz w:val="20"/>
                <w:szCs w:val="20"/>
              </w:rPr>
            </w:pPr>
            <w:r>
              <w:rPr>
                <w:color w:val="000000"/>
                <w:kern w:val="0"/>
                <w:sz w:val="20"/>
                <w:szCs w:val="20"/>
              </w:rPr>
              <w:t>出</w:t>
            </w:r>
          </w:p>
          <w:p>
            <w:pPr>
              <w:widowControl/>
              <w:spacing w:line="200" w:lineRule="exact"/>
              <w:jc w:val="center"/>
              <w:textAlignment w:val="center"/>
              <w:rPr>
                <w:color w:val="000000"/>
                <w:kern w:val="0"/>
                <w:sz w:val="20"/>
                <w:szCs w:val="20"/>
              </w:rPr>
            </w:pPr>
            <w:r>
              <w:rPr>
                <w:color w:val="000000"/>
                <w:kern w:val="0"/>
                <w:sz w:val="20"/>
                <w:szCs w:val="20"/>
              </w:rPr>
              <w:t>指</w:t>
            </w:r>
          </w:p>
          <w:p>
            <w:pPr>
              <w:widowControl/>
              <w:spacing w:line="200" w:lineRule="exact"/>
              <w:jc w:val="center"/>
              <w:textAlignment w:val="center"/>
              <w:rPr>
                <w:color w:val="000000"/>
                <w:sz w:val="20"/>
                <w:szCs w:val="20"/>
              </w:rPr>
            </w:pPr>
            <w:r>
              <w:rPr>
                <w:color w:val="000000"/>
                <w:kern w:val="0"/>
                <w:sz w:val="20"/>
                <w:szCs w:val="20"/>
              </w:rPr>
              <w:t>标</w:t>
            </w:r>
          </w:p>
        </w:tc>
        <w:tc>
          <w:tcPr>
            <w:tcW w:w="662" w:type="pct"/>
            <w:vMerge w:val="restart"/>
            <w:vAlign w:val="center"/>
          </w:tcPr>
          <w:p>
            <w:pPr>
              <w:widowControl/>
              <w:spacing w:line="200" w:lineRule="exact"/>
              <w:jc w:val="center"/>
              <w:textAlignment w:val="center"/>
              <w:rPr>
                <w:color w:val="000000"/>
                <w:sz w:val="20"/>
                <w:szCs w:val="20"/>
              </w:rPr>
            </w:pPr>
            <w:r>
              <w:rPr>
                <w:color w:val="000000"/>
                <w:kern w:val="0"/>
                <w:sz w:val="20"/>
                <w:szCs w:val="20"/>
              </w:rPr>
              <w:t>数量指标</w:t>
            </w:r>
          </w:p>
        </w:tc>
        <w:tc>
          <w:tcPr>
            <w:tcW w:w="1475" w:type="pct"/>
            <w:gridSpan w:val="2"/>
            <w:vAlign w:val="center"/>
          </w:tcPr>
          <w:p>
            <w:pPr>
              <w:widowControl/>
              <w:spacing w:line="200" w:lineRule="exact"/>
              <w:jc w:val="center"/>
              <w:rPr>
                <w:color w:val="000000"/>
                <w:sz w:val="20"/>
                <w:szCs w:val="20"/>
              </w:rPr>
            </w:pPr>
            <w:r>
              <w:rPr>
                <w:color w:val="000000"/>
                <w:sz w:val="20"/>
                <w:szCs w:val="20"/>
              </w:rPr>
              <w:t>国家级公益林面积</w:t>
            </w:r>
          </w:p>
        </w:tc>
        <w:tc>
          <w:tcPr>
            <w:tcW w:w="640" w:type="pct"/>
            <w:vAlign w:val="center"/>
          </w:tcPr>
          <w:p>
            <w:pPr>
              <w:widowControl/>
              <w:spacing w:line="200" w:lineRule="exact"/>
              <w:jc w:val="center"/>
              <w:rPr>
                <w:color w:val="000000"/>
                <w:sz w:val="20"/>
                <w:szCs w:val="20"/>
              </w:rPr>
            </w:pPr>
            <w:r>
              <w:rPr>
                <w:color w:val="000000"/>
                <w:sz w:val="20"/>
                <w:szCs w:val="20"/>
              </w:rPr>
              <w:t>＝249263亩</w:t>
            </w:r>
          </w:p>
        </w:tc>
        <w:tc>
          <w:tcPr>
            <w:tcW w:w="674" w:type="pct"/>
            <w:vAlign w:val="center"/>
          </w:tcPr>
          <w:p>
            <w:pPr>
              <w:widowControl/>
              <w:spacing w:line="200" w:lineRule="exact"/>
              <w:jc w:val="center"/>
              <w:rPr>
                <w:color w:val="000000"/>
                <w:sz w:val="20"/>
                <w:szCs w:val="20"/>
              </w:rPr>
            </w:pPr>
            <w:r>
              <w:rPr>
                <w:color w:val="000000"/>
                <w:sz w:val="20"/>
                <w:szCs w:val="20"/>
              </w:rPr>
              <w:t>＝249263亩</w:t>
            </w:r>
          </w:p>
        </w:tc>
        <w:tc>
          <w:tcPr>
            <w:tcW w:w="833"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3"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textAlignment w:val="center"/>
              <w:rPr>
                <w:color w:val="000000"/>
                <w:kern w:val="0"/>
                <w:sz w:val="20"/>
                <w:szCs w:val="20"/>
              </w:rPr>
            </w:pPr>
          </w:p>
        </w:tc>
        <w:tc>
          <w:tcPr>
            <w:tcW w:w="662" w:type="pct"/>
            <w:vMerge w:val="continue"/>
            <w:vAlign w:val="center"/>
          </w:tcPr>
          <w:p>
            <w:pPr>
              <w:widowControl/>
              <w:spacing w:line="200" w:lineRule="exact"/>
              <w:jc w:val="center"/>
              <w:textAlignment w:val="center"/>
              <w:rPr>
                <w:color w:val="000000"/>
                <w:kern w:val="0"/>
                <w:sz w:val="20"/>
                <w:szCs w:val="20"/>
              </w:rPr>
            </w:pPr>
          </w:p>
        </w:tc>
        <w:tc>
          <w:tcPr>
            <w:tcW w:w="1475" w:type="pct"/>
            <w:gridSpan w:val="2"/>
            <w:vAlign w:val="center"/>
          </w:tcPr>
          <w:p>
            <w:pPr>
              <w:widowControl/>
              <w:spacing w:line="200" w:lineRule="exact"/>
              <w:jc w:val="center"/>
              <w:rPr>
                <w:color w:val="000000"/>
                <w:sz w:val="20"/>
                <w:szCs w:val="20"/>
              </w:rPr>
            </w:pPr>
            <w:r>
              <w:rPr>
                <w:color w:val="000000"/>
                <w:sz w:val="20"/>
                <w:szCs w:val="20"/>
              </w:rPr>
              <w:t>省级公益林面积</w:t>
            </w:r>
          </w:p>
        </w:tc>
        <w:tc>
          <w:tcPr>
            <w:tcW w:w="640" w:type="pct"/>
            <w:vAlign w:val="center"/>
          </w:tcPr>
          <w:p>
            <w:pPr>
              <w:widowControl/>
              <w:spacing w:line="200" w:lineRule="exact"/>
              <w:jc w:val="center"/>
              <w:rPr>
                <w:color w:val="000000"/>
                <w:sz w:val="20"/>
                <w:szCs w:val="20"/>
              </w:rPr>
            </w:pPr>
            <w:r>
              <w:rPr>
                <w:color w:val="000000"/>
                <w:sz w:val="20"/>
                <w:szCs w:val="20"/>
              </w:rPr>
              <w:t>＝61383亩</w:t>
            </w:r>
          </w:p>
        </w:tc>
        <w:tc>
          <w:tcPr>
            <w:tcW w:w="674" w:type="pct"/>
            <w:vAlign w:val="center"/>
          </w:tcPr>
          <w:p>
            <w:pPr>
              <w:widowControl/>
              <w:spacing w:line="200" w:lineRule="exact"/>
              <w:jc w:val="center"/>
              <w:rPr>
                <w:color w:val="000000"/>
                <w:sz w:val="20"/>
                <w:szCs w:val="20"/>
              </w:rPr>
            </w:pPr>
            <w:r>
              <w:rPr>
                <w:color w:val="000000"/>
                <w:sz w:val="20"/>
                <w:szCs w:val="20"/>
              </w:rPr>
              <w:t>＝61383亩</w:t>
            </w:r>
          </w:p>
        </w:tc>
        <w:tc>
          <w:tcPr>
            <w:tcW w:w="833"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3"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62" w:type="pct"/>
            <w:vAlign w:val="center"/>
          </w:tcPr>
          <w:p>
            <w:pPr>
              <w:widowControl/>
              <w:spacing w:line="200" w:lineRule="exact"/>
              <w:jc w:val="center"/>
              <w:textAlignment w:val="center"/>
              <w:rPr>
                <w:color w:val="000000"/>
                <w:sz w:val="20"/>
                <w:szCs w:val="20"/>
              </w:rPr>
            </w:pPr>
            <w:r>
              <w:rPr>
                <w:color w:val="000000"/>
                <w:kern w:val="0"/>
                <w:sz w:val="20"/>
                <w:szCs w:val="20"/>
              </w:rPr>
              <w:t>质量指标</w:t>
            </w:r>
          </w:p>
        </w:tc>
        <w:tc>
          <w:tcPr>
            <w:tcW w:w="1475" w:type="pct"/>
            <w:gridSpan w:val="2"/>
            <w:vAlign w:val="center"/>
          </w:tcPr>
          <w:p>
            <w:pPr>
              <w:widowControl/>
              <w:spacing w:line="200" w:lineRule="exact"/>
              <w:jc w:val="center"/>
              <w:rPr>
                <w:color w:val="000000"/>
                <w:sz w:val="20"/>
                <w:szCs w:val="20"/>
              </w:rPr>
            </w:pPr>
            <w:r>
              <w:rPr>
                <w:color w:val="000000"/>
                <w:sz w:val="20"/>
                <w:szCs w:val="20"/>
              </w:rPr>
              <w:t>管护任务完成合格率</w:t>
            </w:r>
          </w:p>
        </w:tc>
        <w:tc>
          <w:tcPr>
            <w:tcW w:w="640" w:type="pct"/>
            <w:vAlign w:val="center"/>
          </w:tcPr>
          <w:p>
            <w:pPr>
              <w:widowControl/>
              <w:spacing w:line="200" w:lineRule="exact"/>
              <w:jc w:val="center"/>
              <w:rPr>
                <w:color w:val="000000"/>
                <w:sz w:val="20"/>
                <w:szCs w:val="20"/>
              </w:rPr>
            </w:pPr>
            <w:r>
              <w:rPr>
                <w:color w:val="000000"/>
                <w:sz w:val="20"/>
                <w:szCs w:val="20"/>
              </w:rPr>
              <w:t>≥90%</w:t>
            </w:r>
          </w:p>
        </w:tc>
        <w:tc>
          <w:tcPr>
            <w:tcW w:w="674" w:type="pct"/>
            <w:vAlign w:val="center"/>
          </w:tcPr>
          <w:p>
            <w:pPr>
              <w:widowControl/>
              <w:spacing w:line="200" w:lineRule="exact"/>
              <w:jc w:val="center"/>
              <w:rPr>
                <w:color w:val="000000"/>
                <w:sz w:val="20"/>
                <w:szCs w:val="20"/>
              </w:rPr>
            </w:pPr>
            <w:r>
              <w:rPr>
                <w:color w:val="000000"/>
                <w:sz w:val="20"/>
                <w:szCs w:val="20"/>
              </w:rPr>
              <w:t>≥92%;</w:t>
            </w:r>
          </w:p>
        </w:tc>
        <w:tc>
          <w:tcPr>
            <w:tcW w:w="833"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3"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62" w:type="pct"/>
            <w:vAlign w:val="center"/>
          </w:tcPr>
          <w:p>
            <w:pPr>
              <w:widowControl/>
              <w:spacing w:line="200" w:lineRule="exact"/>
              <w:jc w:val="center"/>
              <w:textAlignment w:val="center"/>
              <w:rPr>
                <w:color w:val="000000"/>
                <w:sz w:val="20"/>
                <w:szCs w:val="20"/>
              </w:rPr>
            </w:pPr>
            <w:r>
              <w:rPr>
                <w:color w:val="000000"/>
                <w:kern w:val="0"/>
                <w:sz w:val="20"/>
                <w:szCs w:val="20"/>
              </w:rPr>
              <w:t>时效指标</w:t>
            </w:r>
          </w:p>
        </w:tc>
        <w:tc>
          <w:tcPr>
            <w:tcW w:w="1475" w:type="pct"/>
            <w:gridSpan w:val="2"/>
            <w:vAlign w:val="center"/>
          </w:tcPr>
          <w:p>
            <w:pPr>
              <w:widowControl/>
              <w:spacing w:line="200" w:lineRule="exact"/>
              <w:jc w:val="center"/>
              <w:rPr>
                <w:color w:val="000000"/>
                <w:sz w:val="20"/>
                <w:szCs w:val="20"/>
              </w:rPr>
            </w:pPr>
            <w:r>
              <w:rPr>
                <w:color w:val="000000"/>
                <w:sz w:val="20"/>
                <w:szCs w:val="20"/>
              </w:rPr>
              <w:t>项目当期任务完成率</w:t>
            </w:r>
          </w:p>
        </w:tc>
        <w:tc>
          <w:tcPr>
            <w:tcW w:w="640" w:type="pct"/>
            <w:vAlign w:val="center"/>
          </w:tcPr>
          <w:p>
            <w:pPr>
              <w:widowControl/>
              <w:spacing w:line="200" w:lineRule="exact"/>
              <w:jc w:val="center"/>
              <w:rPr>
                <w:color w:val="000000"/>
                <w:sz w:val="20"/>
                <w:szCs w:val="20"/>
              </w:rPr>
            </w:pPr>
            <w:r>
              <w:rPr>
                <w:color w:val="000000"/>
                <w:sz w:val="20"/>
                <w:szCs w:val="20"/>
              </w:rPr>
              <w:t>＝100%</w:t>
            </w:r>
          </w:p>
        </w:tc>
        <w:tc>
          <w:tcPr>
            <w:tcW w:w="674" w:type="pct"/>
            <w:vAlign w:val="center"/>
          </w:tcPr>
          <w:p>
            <w:pPr>
              <w:widowControl/>
              <w:spacing w:line="200" w:lineRule="exact"/>
              <w:jc w:val="center"/>
              <w:rPr>
                <w:color w:val="000000"/>
                <w:sz w:val="20"/>
                <w:szCs w:val="20"/>
              </w:rPr>
            </w:pPr>
            <w:r>
              <w:rPr>
                <w:color w:val="000000"/>
                <w:sz w:val="20"/>
                <w:szCs w:val="20"/>
              </w:rPr>
              <w:t>＝100%</w:t>
            </w:r>
          </w:p>
        </w:tc>
        <w:tc>
          <w:tcPr>
            <w:tcW w:w="833"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3"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62" w:type="pct"/>
            <w:vAlign w:val="center"/>
          </w:tcPr>
          <w:p>
            <w:pPr>
              <w:widowControl/>
              <w:spacing w:line="200" w:lineRule="exact"/>
              <w:jc w:val="center"/>
              <w:textAlignment w:val="center"/>
              <w:rPr>
                <w:color w:val="000000"/>
                <w:sz w:val="20"/>
                <w:szCs w:val="20"/>
              </w:rPr>
            </w:pPr>
            <w:r>
              <w:rPr>
                <w:color w:val="000000"/>
                <w:kern w:val="0"/>
                <w:sz w:val="20"/>
                <w:szCs w:val="20"/>
              </w:rPr>
              <w:t>成本指标</w:t>
            </w:r>
          </w:p>
        </w:tc>
        <w:tc>
          <w:tcPr>
            <w:tcW w:w="1475" w:type="pct"/>
            <w:gridSpan w:val="2"/>
            <w:vAlign w:val="center"/>
          </w:tcPr>
          <w:p>
            <w:pPr>
              <w:widowControl/>
              <w:spacing w:line="200" w:lineRule="exact"/>
              <w:jc w:val="center"/>
              <w:rPr>
                <w:color w:val="000000"/>
                <w:sz w:val="20"/>
                <w:szCs w:val="20"/>
              </w:rPr>
            </w:pPr>
            <w:r>
              <w:rPr>
                <w:color w:val="000000"/>
                <w:sz w:val="20"/>
                <w:szCs w:val="20"/>
              </w:rPr>
              <w:t>补助标准</w:t>
            </w:r>
          </w:p>
        </w:tc>
        <w:tc>
          <w:tcPr>
            <w:tcW w:w="640" w:type="pct"/>
            <w:vAlign w:val="center"/>
          </w:tcPr>
          <w:p>
            <w:pPr>
              <w:widowControl/>
              <w:spacing w:line="200" w:lineRule="exact"/>
              <w:jc w:val="center"/>
              <w:rPr>
                <w:color w:val="000000"/>
                <w:sz w:val="20"/>
                <w:szCs w:val="20"/>
              </w:rPr>
            </w:pPr>
            <w:r>
              <w:rPr>
                <w:color w:val="000000"/>
                <w:sz w:val="20"/>
                <w:szCs w:val="20"/>
              </w:rPr>
              <w:t>≤16元/亩</w:t>
            </w:r>
          </w:p>
        </w:tc>
        <w:tc>
          <w:tcPr>
            <w:tcW w:w="674" w:type="pct"/>
            <w:vAlign w:val="center"/>
          </w:tcPr>
          <w:p>
            <w:pPr>
              <w:widowControl/>
              <w:spacing w:line="200" w:lineRule="exact"/>
              <w:jc w:val="center"/>
              <w:rPr>
                <w:color w:val="000000"/>
                <w:sz w:val="20"/>
                <w:szCs w:val="20"/>
              </w:rPr>
            </w:pPr>
            <w:r>
              <w:rPr>
                <w:color w:val="000000"/>
                <w:sz w:val="20"/>
                <w:szCs w:val="20"/>
              </w:rPr>
              <w:t>=16元/亩</w:t>
            </w:r>
          </w:p>
        </w:tc>
        <w:tc>
          <w:tcPr>
            <w:tcW w:w="833"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423" w:type="pct"/>
            <w:vMerge w:val="continue"/>
            <w:textDirection w:val="tbRlV"/>
            <w:vAlign w:val="center"/>
          </w:tcPr>
          <w:p>
            <w:pPr>
              <w:widowControl/>
              <w:spacing w:line="200" w:lineRule="exact"/>
              <w:jc w:val="center"/>
              <w:rPr>
                <w:color w:val="000000"/>
                <w:sz w:val="20"/>
                <w:szCs w:val="20"/>
              </w:rPr>
            </w:pPr>
          </w:p>
        </w:tc>
        <w:tc>
          <w:tcPr>
            <w:tcW w:w="291" w:type="pct"/>
            <w:vMerge w:val="restart"/>
            <w:vAlign w:val="center"/>
          </w:tcPr>
          <w:p>
            <w:pPr>
              <w:widowControl/>
              <w:spacing w:line="200" w:lineRule="exact"/>
              <w:jc w:val="center"/>
              <w:textAlignment w:val="center"/>
              <w:rPr>
                <w:color w:val="000000"/>
                <w:kern w:val="0"/>
                <w:sz w:val="20"/>
                <w:szCs w:val="20"/>
              </w:rPr>
            </w:pPr>
            <w:r>
              <w:rPr>
                <w:color w:val="000000"/>
                <w:kern w:val="0"/>
                <w:sz w:val="20"/>
                <w:szCs w:val="20"/>
              </w:rPr>
              <w:t>效</w:t>
            </w:r>
          </w:p>
          <w:p>
            <w:pPr>
              <w:widowControl/>
              <w:spacing w:line="200" w:lineRule="exact"/>
              <w:jc w:val="center"/>
              <w:textAlignment w:val="center"/>
              <w:rPr>
                <w:color w:val="000000"/>
                <w:kern w:val="0"/>
                <w:sz w:val="20"/>
                <w:szCs w:val="20"/>
              </w:rPr>
            </w:pPr>
            <w:r>
              <w:rPr>
                <w:color w:val="000000"/>
                <w:kern w:val="0"/>
                <w:sz w:val="20"/>
                <w:szCs w:val="20"/>
              </w:rPr>
              <w:t>益</w:t>
            </w:r>
          </w:p>
          <w:p>
            <w:pPr>
              <w:widowControl/>
              <w:spacing w:line="200" w:lineRule="exact"/>
              <w:jc w:val="center"/>
              <w:textAlignment w:val="center"/>
              <w:rPr>
                <w:color w:val="000000"/>
                <w:kern w:val="0"/>
                <w:sz w:val="20"/>
                <w:szCs w:val="20"/>
              </w:rPr>
            </w:pPr>
            <w:r>
              <w:rPr>
                <w:color w:val="000000"/>
                <w:kern w:val="0"/>
                <w:sz w:val="20"/>
                <w:szCs w:val="20"/>
              </w:rPr>
              <w:t>指</w:t>
            </w:r>
          </w:p>
          <w:p>
            <w:pPr>
              <w:widowControl/>
              <w:spacing w:line="200" w:lineRule="exact"/>
              <w:jc w:val="center"/>
              <w:textAlignment w:val="center"/>
              <w:rPr>
                <w:color w:val="000000"/>
                <w:sz w:val="20"/>
                <w:szCs w:val="20"/>
              </w:rPr>
            </w:pPr>
            <w:r>
              <w:rPr>
                <w:color w:val="000000"/>
                <w:kern w:val="0"/>
                <w:sz w:val="20"/>
                <w:szCs w:val="20"/>
              </w:rPr>
              <w:t>标</w:t>
            </w:r>
          </w:p>
        </w:tc>
        <w:tc>
          <w:tcPr>
            <w:tcW w:w="662" w:type="pct"/>
            <w:vAlign w:val="center"/>
          </w:tcPr>
          <w:p>
            <w:pPr>
              <w:widowControl/>
              <w:spacing w:line="200" w:lineRule="exact"/>
              <w:jc w:val="center"/>
              <w:textAlignment w:val="center"/>
              <w:rPr>
                <w:color w:val="000000"/>
                <w:kern w:val="0"/>
                <w:sz w:val="20"/>
                <w:szCs w:val="20"/>
              </w:rPr>
            </w:pPr>
            <w:r>
              <w:rPr>
                <w:color w:val="000000"/>
                <w:kern w:val="0"/>
                <w:sz w:val="20"/>
                <w:szCs w:val="20"/>
              </w:rPr>
              <w:t>生态效益</w:t>
            </w:r>
          </w:p>
          <w:p>
            <w:pPr>
              <w:widowControl/>
              <w:spacing w:line="200" w:lineRule="exact"/>
              <w:jc w:val="center"/>
              <w:textAlignment w:val="center"/>
              <w:rPr>
                <w:color w:val="000000"/>
                <w:sz w:val="20"/>
                <w:szCs w:val="20"/>
              </w:rPr>
            </w:pPr>
            <w:r>
              <w:rPr>
                <w:color w:val="000000"/>
                <w:kern w:val="0"/>
                <w:sz w:val="20"/>
                <w:szCs w:val="20"/>
              </w:rPr>
              <w:t>指标</w:t>
            </w:r>
          </w:p>
        </w:tc>
        <w:tc>
          <w:tcPr>
            <w:tcW w:w="1475" w:type="pct"/>
            <w:gridSpan w:val="2"/>
            <w:vAlign w:val="center"/>
          </w:tcPr>
          <w:p>
            <w:pPr>
              <w:widowControl/>
              <w:spacing w:line="200" w:lineRule="exact"/>
              <w:ind w:firstLine="200" w:firstLineChars="100"/>
              <w:rPr>
                <w:color w:val="000000"/>
                <w:sz w:val="20"/>
                <w:szCs w:val="20"/>
              </w:rPr>
            </w:pPr>
            <w:r>
              <w:rPr>
                <w:color w:val="000000"/>
                <w:sz w:val="20"/>
                <w:szCs w:val="20"/>
              </w:rPr>
              <w:t>改善生态环境，促进林分结构改善</w:t>
            </w:r>
          </w:p>
        </w:tc>
        <w:tc>
          <w:tcPr>
            <w:tcW w:w="640" w:type="pct"/>
            <w:vAlign w:val="center"/>
          </w:tcPr>
          <w:p>
            <w:pPr>
              <w:widowControl/>
              <w:spacing w:line="200" w:lineRule="exact"/>
              <w:jc w:val="center"/>
              <w:rPr>
                <w:color w:val="000000"/>
                <w:sz w:val="20"/>
                <w:szCs w:val="20"/>
              </w:rPr>
            </w:pPr>
            <w:r>
              <w:rPr>
                <w:color w:val="000000"/>
                <w:sz w:val="20"/>
                <w:szCs w:val="20"/>
              </w:rPr>
              <w:t>优</w:t>
            </w:r>
          </w:p>
        </w:tc>
        <w:tc>
          <w:tcPr>
            <w:tcW w:w="674" w:type="pct"/>
            <w:vAlign w:val="center"/>
          </w:tcPr>
          <w:p>
            <w:pPr>
              <w:widowControl/>
              <w:spacing w:line="200" w:lineRule="exact"/>
              <w:jc w:val="center"/>
              <w:rPr>
                <w:color w:val="000000"/>
                <w:sz w:val="20"/>
                <w:szCs w:val="20"/>
              </w:rPr>
            </w:pPr>
            <w:r>
              <w:rPr>
                <w:color w:val="000000"/>
                <w:sz w:val="20"/>
                <w:szCs w:val="20"/>
              </w:rPr>
              <w:t>优</w:t>
            </w:r>
          </w:p>
        </w:tc>
        <w:tc>
          <w:tcPr>
            <w:tcW w:w="833"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3"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62" w:type="pct"/>
            <w:vAlign w:val="center"/>
          </w:tcPr>
          <w:p>
            <w:pPr>
              <w:widowControl/>
              <w:spacing w:line="200" w:lineRule="exact"/>
              <w:jc w:val="center"/>
              <w:textAlignment w:val="center"/>
              <w:rPr>
                <w:color w:val="000000"/>
                <w:kern w:val="0"/>
                <w:sz w:val="20"/>
                <w:szCs w:val="20"/>
              </w:rPr>
            </w:pPr>
            <w:r>
              <w:rPr>
                <w:color w:val="000000"/>
                <w:kern w:val="0"/>
                <w:sz w:val="20"/>
                <w:szCs w:val="20"/>
              </w:rPr>
              <w:t>社会效益</w:t>
            </w:r>
          </w:p>
          <w:p>
            <w:pPr>
              <w:widowControl/>
              <w:spacing w:line="200" w:lineRule="exact"/>
              <w:jc w:val="center"/>
              <w:textAlignment w:val="center"/>
              <w:rPr>
                <w:color w:val="000000"/>
                <w:sz w:val="20"/>
                <w:szCs w:val="20"/>
              </w:rPr>
            </w:pPr>
            <w:r>
              <w:rPr>
                <w:color w:val="000000"/>
                <w:kern w:val="0"/>
                <w:sz w:val="20"/>
                <w:szCs w:val="20"/>
              </w:rPr>
              <w:t>指标</w:t>
            </w:r>
          </w:p>
        </w:tc>
        <w:tc>
          <w:tcPr>
            <w:tcW w:w="1475" w:type="pct"/>
            <w:gridSpan w:val="2"/>
            <w:vAlign w:val="center"/>
          </w:tcPr>
          <w:p>
            <w:pPr>
              <w:widowControl/>
              <w:spacing w:line="200" w:lineRule="exact"/>
              <w:jc w:val="center"/>
              <w:rPr>
                <w:color w:val="000000"/>
                <w:sz w:val="20"/>
                <w:szCs w:val="20"/>
              </w:rPr>
            </w:pPr>
            <w:r>
              <w:rPr>
                <w:color w:val="000000"/>
                <w:sz w:val="20"/>
                <w:szCs w:val="20"/>
              </w:rPr>
              <w:t>增加就业人数</w:t>
            </w:r>
          </w:p>
        </w:tc>
        <w:tc>
          <w:tcPr>
            <w:tcW w:w="640" w:type="pct"/>
            <w:vAlign w:val="center"/>
          </w:tcPr>
          <w:p>
            <w:pPr>
              <w:widowControl/>
              <w:spacing w:line="200" w:lineRule="exact"/>
              <w:jc w:val="center"/>
              <w:rPr>
                <w:color w:val="000000"/>
                <w:sz w:val="20"/>
                <w:szCs w:val="20"/>
              </w:rPr>
            </w:pPr>
            <w:r>
              <w:rPr>
                <w:color w:val="000000"/>
                <w:sz w:val="20"/>
                <w:szCs w:val="20"/>
              </w:rPr>
              <w:t>≥1</w:t>
            </w:r>
            <w:r>
              <w:rPr>
                <w:rFonts w:hint="eastAsia"/>
                <w:color w:val="000000"/>
                <w:sz w:val="20"/>
                <w:szCs w:val="20"/>
              </w:rPr>
              <w:t>50</w:t>
            </w:r>
            <w:r>
              <w:rPr>
                <w:color w:val="000000"/>
                <w:sz w:val="20"/>
                <w:szCs w:val="20"/>
              </w:rPr>
              <w:t>人</w:t>
            </w:r>
          </w:p>
        </w:tc>
        <w:tc>
          <w:tcPr>
            <w:tcW w:w="674" w:type="pct"/>
            <w:vAlign w:val="center"/>
          </w:tcPr>
          <w:p>
            <w:pPr>
              <w:widowControl/>
              <w:spacing w:line="200" w:lineRule="exact"/>
              <w:jc w:val="center"/>
              <w:rPr>
                <w:color w:val="000000"/>
                <w:sz w:val="20"/>
                <w:szCs w:val="20"/>
              </w:rPr>
            </w:pPr>
            <w:r>
              <w:rPr>
                <w:rFonts w:hint="eastAsia"/>
                <w:color w:val="000000"/>
                <w:sz w:val="20"/>
                <w:szCs w:val="20"/>
              </w:rPr>
              <w:t>200</w:t>
            </w:r>
            <w:r>
              <w:rPr>
                <w:color w:val="000000"/>
                <w:sz w:val="20"/>
                <w:szCs w:val="20"/>
              </w:rPr>
              <w:t>人</w:t>
            </w:r>
          </w:p>
        </w:tc>
        <w:tc>
          <w:tcPr>
            <w:tcW w:w="833"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3" w:type="pct"/>
            <w:vMerge w:val="continue"/>
            <w:textDirection w:val="tbRlV"/>
            <w:vAlign w:val="center"/>
          </w:tcPr>
          <w:p>
            <w:pPr>
              <w:widowControl/>
              <w:spacing w:line="200" w:lineRule="exact"/>
              <w:jc w:val="center"/>
              <w:rPr>
                <w:color w:val="000000"/>
                <w:sz w:val="20"/>
                <w:szCs w:val="20"/>
              </w:rPr>
            </w:pPr>
          </w:p>
        </w:tc>
        <w:tc>
          <w:tcPr>
            <w:tcW w:w="291" w:type="pct"/>
            <w:vAlign w:val="center"/>
          </w:tcPr>
          <w:p>
            <w:pPr>
              <w:widowControl/>
              <w:spacing w:line="180" w:lineRule="exact"/>
              <w:jc w:val="center"/>
              <w:textAlignment w:val="center"/>
              <w:rPr>
                <w:color w:val="000000"/>
                <w:sz w:val="20"/>
                <w:szCs w:val="20"/>
              </w:rPr>
            </w:pPr>
            <w:r>
              <w:rPr>
                <w:color w:val="000000"/>
                <w:kern w:val="0"/>
                <w:sz w:val="20"/>
                <w:szCs w:val="20"/>
              </w:rPr>
              <w:t>满意度指标</w:t>
            </w:r>
          </w:p>
        </w:tc>
        <w:tc>
          <w:tcPr>
            <w:tcW w:w="662" w:type="pct"/>
            <w:vAlign w:val="center"/>
          </w:tcPr>
          <w:p>
            <w:pPr>
              <w:widowControl/>
              <w:spacing w:line="200" w:lineRule="exact"/>
              <w:jc w:val="center"/>
              <w:textAlignment w:val="center"/>
              <w:rPr>
                <w:color w:val="000000"/>
                <w:kern w:val="0"/>
                <w:sz w:val="20"/>
                <w:szCs w:val="20"/>
              </w:rPr>
            </w:pPr>
            <w:r>
              <w:rPr>
                <w:color w:val="000000"/>
                <w:kern w:val="0"/>
                <w:sz w:val="20"/>
                <w:szCs w:val="20"/>
              </w:rPr>
              <w:t>服务对象</w:t>
            </w:r>
          </w:p>
          <w:p>
            <w:pPr>
              <w:widowControl/>
              <w:spacing w:line="200" w:lineRule="exact"/>
              <w:jc w:val="center"/>
              <w:textAlignment w:val="center"/>
              <w:rPr>
                <w:color w:val="000000"/>
                <w:sz w:val="20"/>
                <w:szCs w:val="20"/>
              </w:rPr>
            </w:pPr>
            <w:r>
              <w:rPr>
                <w:color w:val="000000"/>
                <w:kern w:val="0"/>
                <w:sz w:val="20"/>
                <w:szCs w:val="20"/>
              </w:rPr>
              <w:t>满意度指标</w:t>
            </w:r>
          </w:p>
        </w:tc>
        <w:tc>
          <w:tcPr>
            <w:tcW w:w="1475" w:type="pct"/>
            <w:gridSpan w:val="2"/>
            <w:vAlign w:val="center"/>
          </w:tcPr>
          <w:p>
            <w:pPr>
              <w:widowControl/>
              <w:spacing w:line="200" w:lineRule="exact"/>
              <w:jc w:val="center"/>
              <w:rPr>
                <w:color w:val="000000"/>
                <w:sz w:val="20"/>
                <w:szCs w:val="20"/>
              </w:rPr>
            </w:pPr>
            <w:r>
              <w:rPr>
                <w:color w:val="000000"/>
                <w:sz w:val="20"/>
                <w:szCs w:val="20"/>
              </w:rPr>
              <w:t>管护员满意度</w:t>
            </w:r>
          </w:p>
        </w:tc>
        <w:tc>
          <w:tcPr>
            <w:tcW w:w="640" w:type="pct"/>
            <w:vAlign w:val="center"/>
          </w:tcPr>
          <w:p>
            <w:pPr>
              <w:widowControl/>
              <w:spacing w:line="200" w:lineRule="exact"/>
              <w:jc w:val="center"/>
              <w:rPr>
                <w:color w:val="000000"/>
                <w:sz w:val="20"/>
                <w:szCs w:val="20"/>
              </w:rPr>
            </w:pPr>
            <w:r>
              <w:rPr>
                <w:color w:val="000000"/>
                <w:sz w:val="20"/>
                <w:szCs w:val="20"/>
              </w:rPr>
              <w:t>≥92%</w:t>
            </w:r>
          </w:p>
        </w:tc>
        <w:tc>
          <w:tcPr>
            <w:tcW w:w="674" w:type="pct"/>
            <w:vAlign w:val="center"/>
          </w:tcPr>
          <w:p>
            <w:pPr>
              <w:widowControl/>
              <w:spacing w:line="200" w:lineRule="exact"/>
              <w:jc w:val="center"/>
              <w:rPr>
                <w:color w:val="000000"/>
                <w:sz w:val="20"/>
                <w:szCs w:val="20"/>
              </w:rPr>
            </w:pPr>
            <w:r>
              <w:rPr>
                <w:color w:val="000000"/>
                <w:sz w:val="20"/>
                <w:szCs w:val="20"/>
              </w:rPr>
              <w:t>≥92%</w:t>
            </w:r>
          </w:p>
        </w:tc>
        <w:tc>
          <w:tcPr>
            <w:tcW w:w="833"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3" w:type="pct"/>
            <w:vAlign w:val="center"/>
          </w:tcPr>
          <w:p>
            <w:pPr>
              <w:widowControl/>
              <w:spacing w:line="200" w:lineRule="exact"/>
              <w:jc w:val="center"/>
              <w:textAlignment w:val="center"/>
              <w:rPr>
                <w:color w:val="000000"/>
                <w:sz w:val="20"/>
                <w:szCs w:val="20"/>
              </w:rPr>
            </w:pPr>
            <w:r>
              <w:rPr>
                <w:color w:val="000000"/>
                <w:kern w:val="0"/>
                <w:sz w:val="20"/>
                <w:szCs w:val="20"/>
              </w:rPr>
              <w:t>说明</w:t>
            </w:r>
          </w:p>
        </w:tc>
        <w:tc>
          <w:tcPr>
            <w:tcW w:w="4576" w:type="pct"/>
            <w:gridSpan w:val="7"/>
            <w:vAlign w:val="center"/>
          </w:tcPr>
          <w:p>
            <w:pPr>
              <w:widowControl/>
              <w:spacing w:line="200" w:lineRule="exact"/>
              <w:jc w:val="center"/>
              <w:textAlignment w:val="center"/>
              <w:rPr>
                <w:color w:val="000000"/>
                <w:sz w:val="20"/>
                <w:szCs w:val="20"/>
              </w:rPr>
            </w:pPr>
            <w:r>
              <w:rPr>
                <w:color w:val="000000"/>
                <w:kern w:val="0"/>
                <w:sz w:val="20"/>
                <w:szCs w:val="20"/>
              </w:rPr>
              <w:t>请在此处简要说明各级巡视（巡察）、各级审计和财政监督中发现的问题及其所涉及的金额，如没有请填无。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注：1.其他资金包括与中央、省级财政补助资金、市（县）级财政资金共同投入到同一项目的自有资金、社会资金，以及以前年度的结转结余资金等。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2.定量指标，主管部门对资金使用单位填写的实际完成值汇总时，绝对值直接累加计算，相对值按照资金额度加权平均计算。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3.定性指标。资金使用单位分别按照100%-80%（含）、80%-60%（含）、60-0%合理填写实际完成值，在汇总时，按照资金额度加权平均计算。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4.全年执行数是指按照国库集中支付制度要求，支付到商品和劳务供应者或者用款单位形成的实际支出。</w:t>
            </w:r>
          </w:p>
        </w:tc>
      </w:tr>
    </w:tbl>
    <w:p>
      <w:pPr>
        <w:rPr>
          <w:sz w:val="21"/>
          <w:szCs w:val="21"/>
        </w:rPr>
      </w:pPr>
      <w:r>
        <w:rPr>
          <w:sz w:val="21"/>
          <w:szCs w:val="21"/>
        </w:rPr>
        <w:br w:type="page"/>
      </w:r>
    </w:p>
    <w:p>
      <w:pPr>
        <w:sectPr>
          <w:footerReference r:id="rId3" w:type="default"/>
          <w:pgSz w:w="11906" w:h="16838"/>
          <w:pgMar w:top="1440" w:right="1800" w:bottom="1440" w:left="1800" w:header="851" w:footer="992" w:gutter="0"/>
          <w:pgNumType w:fmt="numberInDash"/>
          <w:cols w:space="425" w:num="1"/>
          <w:docGrid w:type="lines" w:linePitch="312" w:charSpace="0"/>
        </w:sectPr>
      </w:pPr>
    </w:p>
    <w:p>
      <w:pPr>
        <w:pStyle w:val="3"/>
        <w:spacing w:before="0" w:after="0" w:line="360" w:lineRule="auto"/>
        <w:rPr>
          <w:rFonts w:eastAsia="黑体"/>
          <w:sz w:val="32"/>
        </w:rPr>
      </w:pPr>
      <w:r>
        <w:rPr>
          <w:rFonts w:eastAsia="黑体"/>
          <w:sz w:val="32"/>
        </w:rPr>
        <w:t>附件2</w:t>
      </w:r>
    </w:p>
    <w:p>
      <w:pPr>
        <w:jc w:val="center"/>
        <w:rPr>
          <w:rFonts w:eastAsia="方正公文楷体"/>
          <w:color w:val="000000"/>
          <w:kern w:val="0"/>
          <w:sz w:val="24"/>
          <w:szCs w:val="24"/>
        </w:rPr>
      </w:pPr>
      <w:r>
        <w:rPr>
          <w:rFonts w:eastAsia="方正公文楷体"/>
          <w:color w:val="000000"/>
          <w:kern w:val="0"/>
          <w:sz w:val="24"/>
          <w:szCs w:val="24"/>
        </w:rPr>
        <w:t>2022年度森林生态效益补偿项目支出绩效评价</w:t>
      </w:r>
      <w:r>
        <w:rPr>
          <w:rFonts w:hint="eastAsia" w:eastAsia="方正公文楷体"/>
          <w:color w:val="000000"/>
          <w:kern w:val="0"/>
          <w:sz w:val="24"/>
          <w:szCs w:val="24"/>
        </w:rPr>
        <w:t>自评得分表</w:t>
      </w:r>
    </w:p>
    <w:tbl>
      <w:tblPr>
        <w:tblStyle w:val="1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7"/>
        <w:gridCol w:w="397"/>
        <w:gridCol w:w="1109"/>
        <w:gridCol w:w="1109"/>
        <w:gridCol w:w="1175"/>
        <w:gridCol w:w="1296"/>
        <w:gridCol w:w="1128"/>
        <w:gridCol w:w="1181"/>
        <w:gridCol w:w="193"/>
        <w:gridCol w:w="203"/>
        <w:gridCol w:w="426"/>
        <w:gridCol w:w="489"/>
        <w:gridCol w:w="306"/>
        <w:gridCol w:w="183"/>
        <w:gridCol w:w="1235"/>
        <w:gridCol w:w="4070"/>
        <w:gridCol w:w="5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5"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分值权重</w:t>
            </w:r>
          </w:p>
        </w:tc>
        <w:tc>
          <w:tcPr>
            <w:tcW w:w="1222" w:type="pct"/>
            <w:gridSpan w:val="4"/>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分层分类指标</w:t>
            </w:r>
          </w:p>
        </w:tc>
        <w:tc>
          <w:tcPr>
            <w:tcW w:w="418"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指标解释</w:t>
            </w:r>
          </w:p>
        </w:tc>
        <w:tc>
          <w:tcPr>
            <w:tcW w:w="1700" w:type="pct"/>
            <w:gridSpan w:val="9"/>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评分方法</w:t>
            </w:r>
          </w:p>
        </w:tc>
        <w:tc>
          <w:tcPr>
            <w:tcW w:w="1306"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评价要点及说明</w:t>
            </w:r>
          </w:p>
        </w:tc>
        <w:tc>
          <w:tcPr>
            <w:tcW w:w="179"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5" w:type="pct"/>
            <w:vMerge w:val="continue"/>
            <w:vAlign w:val="center"/>
          </w:tcPr>
          <w:p>
            <w:pPr>
              <w:spacing w:line="400" w:lineRule="exact"/>
              <w:jc w:val="center"/>
              <w:rPr>
                <w:rFonts w:ascii="仿宋_GB2312" w:hAnsi="Arial Unicode MS" w:cs="Arial Unicode MS"/>
                <w:b/>
                <w:bCs/>
                <w:kern w:val="0"/>
                <w:sz w:val="18"/>
                <w:szCs w:val="18"/>
              </w:rPr>
            </w:pPr>
          </w:p>
        </w:tc>
        <w:tc>
          <w:tcPr>
            <w:tcW w:w="127" w:type="pct"/>
            <w:vMerge w:val="restart"/>
            <w:vAlign w:val="center"/>
          </w:tcPr>
          <w:p>
            <w:pPr>
              <w:spacing w:line="28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分层指标</w:t>
            </w:r>
          </w:p>
        </w:tc>
        <w:tc>
          <w:tcPr>
            <w:tcW w:w="358"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适用范围</w:t>
            </w:r>
          </w:p>
        </w:tc>
        <w:tc>
          <w:tcPr>
            <w:tcW w:w="358"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一级指标</w:t>
            </w:r>
          </w:p>
        </w:tc>
        <w:tc>
          <w:tcPr>
            <w:tcW w:w="379"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二级指标</w:t>
            </w:r>
          </w:p>
        </w:tc>
        <w:tc>
          <w:tcPr>
            <w:tcW w:w="418" w:type="pct"/>
            <w:vMerge w:val="continue"/>
            <w:vAlign w:val="center"/>
          </w:tcPr>
          <w:p>
            <w:pPr>
              <w:spacing w:line="400" w:lineRule="exact"/>
              <w:jc w:val="center"/>
              <w:rPr>
                <w:rFonts w:ascii="仿宋_GB2312" w:hAnsi="Arial Unicode MS" w:cs="Arial Unicode MS"/>
                <w:b/>
                <w:bCs/>
                <w:kern w:val="0"/>
                <w:sz w:val="18"/>
                <w:szCs w:val="18"/>
              </w:rPr>
            </w:pPr>
          </w:p>
        </w:tc>
        <w:tc>
          <w:tcPr>
            <w:tcW w:w="364"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方法归类</w:t>
            </w:r>
          </w:p>
        </w:tc>
        <w:tc>
          <w:tcPr>
            <w:tcW w:w="1337" w:type="pct"/>
            <w:gridSpan w:val="8"/>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计算公式</w:t>
            </w:r>
          </w:p>
        </w:tc>
        <w:tc>
          <w:tcPr>
            <w:tcW w:w="1306" w:type="pct"/>
            <w:vMerge w:val="continue"/>
            <w:vAlign w:val="center"/>
          </w:tcPr>
          <w:p>
            <w:pPr>
              <w:spacing w:line="400" w:lineRule="exact"/>
              <w:rPr>
                <w:rFonts w:ascii="仿宋_GB2312" w:hAnsi="Arial Unicode MS" w:cs="Arial Unicode MS"/>
                <w:b/>
                <w:bCs/>
                <w:kern w:val="0"/>
                <w:sz w:val="18"/>
                <w:szCs w:val="18"/>
              </w:rPr>
            </w:pPr>
          </w:p>
        </w:tc>
        <w:tc>
          <w:tcPr>
            <w:tcW w:w="179" w:type="pct"/>
            <w:vMerge w:val="continue"/>
            <w:vAlign w:val="center"/>
          </w:tcPr>
          <w:p>
            <w:pPr>
              <w:spacing w:line="400" w:lineRule="exact"/>
              <w:jc w:val="center"/>
              <w:rPr>
                <w:rFonts w:ascii="仿宋_GB2312" w:hAnsi="Arial Unicode MS" w:cs="Arial Unicode MS"/>
                <w:b/>
                <w:bC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5" w:type="pct"/>
            <w:vMerge w:val="continue"/>
            <w:vAlign w:val="center"/>
          </w:tcPr>
          <w:p>
            <w:pPr>
              <w:spacing w:line="400" w:lineRule="exact"/>
              <w:jc w:val="center"/>
              <w:rPr>
                <w:rFonts w:ascii="仿宋_GB2312" w:hAnsi="Arial Unicode MS" w:cs="Arial Unicode MS"/>
                <w:kern w:val="0"/>
                <w:sz w:val="18"/>
                <w:szCs w:val="18"/>
              </w:rPr>
            </w:pPr>
          </w:p>
        </w:tc>
        <w:tc>
          <w:tcPr>
            <w:tcW w:w="127" w:type="pct"/>
            <w:vMerge w:val="continue"/>
            <w:vAlign w:val="center"/>
          </w:tcPr>
          <w:p>
            <w:pPr>
              <w:spacing w:line="400" w:lineRule="exact"/>
              <w:jc w:val="center"/>
              <w:rPr>
                <w:rFonts w:ascii="仿宋_GB2312" w:hAnsi="Arial Unicode MS" w:cs="Arial Unicode MS"/>
                <w:kern w:val="0"/>
                <w:sz w:val="18"/>
                <w:szCs w:val="18"/>
              </w:rPr>
            </w:pPr>
          </w:p>
        </w:tc>
        <w:tc>
          <w:tcPr>
            <w:tcW w:w="358" w:type="pct"/>
            <w:vMerge w:val="continue"/>
            <w:vAlign w:val="center"/>
          </w:tcPr>
          <w:p>
            <w:pPr>
              <w:spacing w:line="400" w:lineRule="exact"/>
              <w:jc w:val="center"/>
              <w:rPr>
                <w:rFonts w:ascii="仿宋_GB2312" w:hAnsi="Arial Unicode MS" w:cs="Arial Unicode MS"/>
                <w:kern w:val="0"/>
                <w:sz w:val="18"/>
                <w:szCs w:val="18"/>
              </w:rPr>
            </w:pPr>
          </w:p>
        </w:tc>
        <w:tc>
          <w:tcPr>
            <w:tcW w:w="358" w:type="pct"/>
            <w:vMerge w:val="continue"/>
            <w:vAlign w:val="center"/>
          </w:tcPr>
          <w:p>
            <w:pPr>
              <w:spacing w:line="400" w:lineRule="exact"/>
              <w:jc w:val="center"/>
              <w:rPr>
                <w:rFonts w:ascii="仿宋_GB2312" w:hAnsi="Arial Unicode MS" w:cs="Arial Unicode MS"/>
                <w:kern w:val="0"/>
                <w:sz w:val="18"/>
                <w:szCs w:val="18"/>
              </w:rPr>
            </w:pPr>
          </w:p>
        </w:tc>
        <w:tc>
          <w:tcPr>
            <w:tcW w:w="379" w:type="pct"/>
            <w:vMerge w:val="continue"/>
            <w:vAlign w:val="center"/>
          </w:tcPr>
          <w:p>
            <w:pPr>
              <w:spacing w:line="400" w:lineRule="exact"/>
              <w:jc w:val="center"/>
              <w:rPr>
                <w:rFonts w:ascii="仿宋_GB2312" w:hAnsi="Arial Unicode MS" w:cs="Arial Unicode MS"/>
                <w:kern w:val="0"/>
                <w:sz w:val="18"/>
                <w:szCs w:val="18"/>
              </w:rPr>
            </w:pPr>
          </w:p>
        </w:tc>
        <w:tc>
          <w:tcPr>
            <w:tcW w:w="418" w:type="pct"/>
            <w:vMerge w:val="continue"/>
            <w:vAlign w:val="center"/>
          </w:tcPr>
          <w:p>
            <w:pPr>
              <w:spacing w:line="400" w:lineRule="exact"/>
              <w:jc w:val="center"/>
              <w:rPr>
                <w:rFonts w:ascii="仿宋_GB2312" w:hAnsi="Arial Unicode MS" w:cs="Arial Unicode MS"/>
                <w:kern w:val="0"/>
                <w:sz w:val="18"/>
                <w:szCs w:val="18"/>
              </w:rPr>
            </w:pPr>
          </w:p>
        </w:tc>
        <w:tc>
          <w:tcPr>
            <w:tcW w:w="364" w:type="pct"/>
            <w:vMerge w:val="continue"/>
            <w:vAlign w:val="center"/>
          </w:tcPr>
          <w:p>
            <w:pPr>
              <w:spacing w:line="400" w:lineRule="exact"/>
              <w:jc w:val="center"/>
              <w:rPr>
                <w:rFonts w:ascii="仿宋_GB2312" w:hAnsi="Arial Unicode MS" w:cs="Arial Unicode MS"/>
                <w:kern w:val="0"/>
                <w:sz w:val="18"/>
                <w:szCs w:val="18"/>
              </w:rPr>
            </w:pPr>
          </w:p>
        </w:tc>
        <w:tc>
          <w:tcPr>
            <w:tcW w:w="381"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w:t>
            </w:r>
          </w:p>
        </w:tc>
        <w:tc>
          <w:tcPr>
            <w:tcW w:w="269" w:type="pct"/>
            <w:gridSpan w:val="3"/>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0.3</w:t>
            </w:r>
          </w:p>
        </w:tc>
        <w:tc>
          <w:tcPr>
            <w:tcW w:w="147"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0.6</w:t>
            </w:r>
          </w:p>
        </w:tc>
        <w:tc>
          <w:tcPr>
            <w:tcW w:w="142" w:type="pct"/>
            <w:gridSpan w:val="2"/>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0.8</w:t>
            </w:r>
          </w:p>
        </w:tc>
        <w:tc>
          <w:tcPr>
            <w:tcW w:w="398"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1</w:t>
            </w:r>
          </w:p>
        </w:tc>
        <w:tc>
          <w:tcPr>
            <w:tcW w:w="1306" w:type="pct"/>
            <w:vMerge w:val="continue"/>
            <w:vAlign w:val="center"/>
          </w:tcPr>
          <w:p>
            <w:pPr>
              <w:spacing w:line="400" w:lineRule="exact"/>
              <w:rPr>
                <w:rFonts w:ascii="仿宋_GB2312" w:hAnsi="Arial Unicode MS" w:cs="Arial Unicode MS"/>
                <w:kern w:val="0"/>
                <w:sz w:val="18"/>
                <w:szCs w:val="18"/>
              </w:rPr>
            </w:pPr>
          </w:p>
        </w:tc>
        <w:tc>
          <w:tcPr>
            <w:tcW w:w="179" w:type="pct"/>
            <w:vMerge w:val="continue"/>
            <w:vAlign w:val="center"/>
          </w:tcPr>
          <w:p>
            <w:pPr>
              <w:spacing w:line="400" w:lineRule="exact"/>
              <w:jc w:val="center"/>
              <w:rPr>
                <w:rFonts w:ascii="仿宋_GB2312" w:hAnsi="Arial Unicode MS" w:cs="Arial Unicode M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27"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通用指标</w:t>
            </w:r>
          </w:p>
        </w:tc>
        <w:tc>
          <w:tcPr>
            <w:tcW w:w="35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所有项目</w:t>
            </w:r>
          </w:p>
        </w:tc>
        <w:tc>
          <w:tcPr>
            <w:tcW w:w="35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项目决策</w:t>
            </w:r>
          </w:p>
        </w:tc>
        <w:tc>
          <w:tcPr>
            <w:tcW w:w="3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程序严密</w:t>
            </w:r>
          </w:p>
        </w:tc>
        <w:tc>
          <w:tcPr>
            <w:tcW w:w="418"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项目设立是否经过严格评估论证，管理制度是否健全完善</w:t>
            </w:r>
          </w:p>
        </w:tc>
        <w:tc>
          <w:tcPr>
            <w:tcW w:w="36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38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不完善</w:t>
            </w:r>
          </w:p>
        </w:tc>
        <w:tc>
          <w:tcPr>
            <w:tcW w:w="269" w:type="pct"/>
            <w:gridSpan w:val="3"/>
            <w:vAlign w:val="center"/>
          </w:tcPr>
          <w:p>
            <w:pPr>
              <w:spacing w:line="300" w:lineRule="exact"/>
              <w:jc w:val="center"/>
              <w:rPr>
                <w:rFonts w:ascii="仿宋_GB2312" w:hAnsi="Arial Unicode MS" w:cs="Arial Unicode MS"/>
                <w:kern w:val="0"/>
                <w:sz w:val="18"/>
                <w:szCs w:val="18"/>
              </w:rPr>
            </w:pPr>
          </w:p>
        </w:tc>
        <w:tc>
          <w:tcPr>
            <w:tcW w:w="14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较完善</w:t>
            </w:r>
          </w:p>
        </w:tc>
        <w:tc>
          <w:tcPr>
            <w:tcW w:w="142" w:type="pct"/>
            <w:gridSpan w:val="2"/>
            <w:vAlign w:val="center"/>
          </w:tcPr>
          <w:p>
            <w:pPr>
              <w:spacing w:line="300" w:lineRule="exact"/>
              <w:jc w:val="center"/>
              <w:rPr>
                <w:rFonts w:ascii="仿宋_GB2312" w:hAnsi="Arial Unicode MS" w:cs="Arial Unicode MS"/>
                <w:kern w:val="0"/>
                <w:sz w:val="18"/>
                <w:szCs w:val="18"/>
              </w:rPr>
            </w:pPr>
          </w:p>
        </w:tc>
        <w:tc>
          <w:tcPr>
            <w:tcW w:w="398"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完善</w:t>
            </w:r>
          </w:p>
        </w:tc>
        <w:tc>
          <w:tcPr>
            <w:tcW w:w="130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主要查看新增项目是否经过事前评估或可行性论证，延续性项目资金管理办法是否健全完善</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5" w:type="pct"/>
            <w:vAlign w:val="center"/>
          </w:tcPr>
          <w:p>
            <w:pPr>
              <w:spacing w:line="300" w:lineRule="exact"/>
              <w:jc w:val="center"/>
              <w:rPr>
                <w:rFonts w:ascii="仿宋_GB2312" w:hAnsi="Arial Unicode MS" w:cs="Arial Unicode MS"/>
                <w:kern w:val="0"/>
                <w:sz w:val="18"/>
                <w:szCs w:val="18"/>
              </w:rPr>
            </w:pPr>
            <w:bookmarkStart w:id="0" w:name="OLE_LINK1" w:colFirst="13" w:colLast="13"/>
            <w:r>
              <w:rPr>
                <w:rFonts w:ascii="仿宋_GB2312" w:hAnsi="Arial Unicode MS" w:cs="Arial Unicode MS"/>
                <w:kern w:val="0"/>
                <w:sz w:val="18"/>
                <w:szCs w:val="18"/>
              </w:rPr>
              <w:t>4%</w:t>
            </w: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jc w:val="center"/>
              <w:rPr>
                <w:rFonts w:ascii="仿宋_GB2312" w:hAnsi="Arial Unicode MS" w:cs="Arial Unicode MS"/>
                <w:kern w:val="0"/>
                <w:sz w:val="18"/>
                <w:szCs w:val="18"/>
              </w:rPr>
            </w:pPr>
          </w:p>
        </w:tc>
        <w:tc>
          <w:tcPr>
            <w:tcW w:w="3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规划合理</w:t>
            </w:r>
          </w:p>
        </w:tc>
        <w:tc>
          <w:tcPr>
            <w:tcW w:w="418"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项目规划是否符合县委、县政府重大决策部署，是否与项目年度目标一致</w:t>
            </w:r>
          </w:p>
        </w:tc>
        <w:tc>
          <w:tcPr>
            <w:tcW w:w="36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38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不合理</w:t>
            </w:r>
          </w:p>
        </w:tc>
        <w:tc>
          <w:tcPr>
            <w:tcW w:w="269" w:type="pct"/>
            <w:gridSpan w:val="3"/>
            <w:vAlign w:val="center"/>
          </w:tcPr>
          <w:p>
            <w:pPr>
              <w:spacing w:line="300" w:lineRule="exact"/>
              <w:jc w:val="center"/>
              <w:rPr>
                <w:rFonts w:ascii="仿宋_GB2312" w:hAnsi="Arial Unicode MS" w:cs="Arial Unicode MS"/>
                <w:kern w:val="0"/>
                <w:sz w:val="18"/>
                <w:szCs w:val="18"/>
              </w:rPr>
            </w:pPr>
          </w:p>
        </w:tc>
        <w:tc>
          <w:tcPr>
            <w:tcW w:w="14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较合理</w:t>
            </w:r>
          </w:p>
        </w:tc>
        <w:tc>
          <w:tcPr>
            <w:tcW w:w="142" w:type="pct"/>
            <w:gridSpan w:val="2"/>
            <w:vAlign w:val="center"/>
          </w:tcPr>
          <w:p>
            <w:pPr>
              <w:spacing w:line="300" w:lineRule="exact"/>
              <w:jc w:val="center"/>
              <w:rPr>
                <w:rFonts w:ascii="仿宋_GB2312" w:hAnsi="Arial Unicode MS" w:cs="Arial Unicode MS"/>
                <w:kern w:val="0"/>
                <w:sz w:val="18"/>
                <w:szCs w:val="18"/>
              </w:rPr>
            </w:pPr>
          </w:p>
        </w:tc>
        <w:tc>
          <w:tcPr>
            <w:tcW w:w="398"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合理</w:t>
            </w:r>
          </w:p>
        </w:tc>
        <w:tc>
          <w:tcPr>
            <w:tcW w:w="130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设立依据是否充分，符合县委、县政府重大决策部署和宏观政策规划，项目年度绩效目标与中长期规划是否一致。样本评价中，规划是否与现实需求匹配，是否存在因规划不够合理导致项目效益欠佳的情况</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项目实施</w:t>
            </w:r>
          </w:p>
        </w:tc>
        <w:tc>
          <w:tcPr>
            <w:tcW w:w="3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分配合理</w:t>
            </w:r>
          </w:p>
        </w:tc>
        <w:tc>
          <w:tcPr>
            <w:tcW w:w="418"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项目资金分配结果是否与规划计划一致；是否按规定及时分配专项预算资金</w:t>
            </w:r>
          </w:p>
        </w:tc>
        <w:tc>
          <w:tcPr>
            <w:tcW w:w="36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是否评分法</w:t>
            </w:r>
          </w:p>
        </w:tc>
        <w:tc>
          <w:tcPr>
            <w:tcW w:w="38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否</w:t>
            </w:r>
          </w:p>
        </w:tc>
        <w:tc>
          <w:tcPr>
            <w:tcW w:w="269" w:type="pct"/>
            <w:gridSpan w:val="3"/>
            <w:vAlign w:val="center"/>
          </w:tcPr>
          <w:p>
            <w:pPr>
              <w:spacing w:line="300" w:lineRule="exact"/>
              <w:jc w:val="center"/>
              <w:rPr>
                <w:rFonts w:ascii="仿宋_GB2312" w:hAnsi="Arial Unicode MS" w:cs="Arial Unicode MS"/>
                <w:kern w:val="0"/>
                <w:sz w:val="18"/>
                <w:szCs w:val="18"/>
              </w:rPr>
            </w:pPr>
          </w:p>
        </w:tc>
        <w:tc>
          <w:tcPr>
            <w:tcW w:w="147" w:type="pct"/>
            <w:vAlign w:val="center"/>
          </w:tcPr>
          <w:p>
            <w:pPr>
              <w:spacing w:line="300" w:lineRule="exact"/>
              <w:jc w:val="center"/>
              <w:rPr>
                <w:rFonts w:ascii="仿宋_GB2312" w:hAnsi="Arial Unicode MS" w:cs="Arial Unicode MS"/>
                <w:kern w:val="0"/>
                <w:sz w:val="18"/>
                <w:szCs w:val="18"/>
              </w:rPr>
            </w:pPr>
          </w:p>
        </w:tc>
        <w:tc>
          <w:tcPr>
            <w:tcW w:w="142" w:type="pct"/>
            <w:gridSpan w:val="2"/>
            <w:vAlign w:val="center"/>
          </w:tcPr>
          <w:p>
            <w:pPr>
              <w:spacing w:line="300" w:lineRule="exact"/>
              <w:jc w:val="center"/>
              <w:rPr>
                <w:rFonts w:ascii="仿宋_GB2312" w:hAnsi="Arial Unicode MS" w:cs="Arial Unicode MS"/>
                <w:kern w:val="0"/>
                <w:sz w:val="18"/>
                <w:szCs w:val="18"/>
              </w:rPr>
            </w:pPr>
          </w:p>
        </w:tc>
        <w:tc>
          <w:tcPr>
            <w:tcW w:w="398"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是</w:t>
            </w:r>
          </w:p>
        </w:tc>
        <w:tc>
          <w:tcPr>
            <w:tcW w:w="130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按项目法分配的项目，以所有项目点实施完成情况与规划计划情况进行对比。按因素法分配的项目和据实据效分配的项目，将资金分配方向与规划计划支持方向进行对比；分配依据充分的得分，明显不充分扣分。两种情况分值权重各占一半</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jc w:val="center"/>
              <w:rPr>
                <w:rFonts w:ascii="仿宋_GB2312" w:hAnsi="Arial Unicode MS" w:cs="Arial Unicode MS"/>
                <w:kern w:val="0"/>
                <w:sz w:val="18"/>
                <w:szCs w:val="18"/>
              </w:rPr>
            </w:pPr>
          </w:p>
        </w:tc>
        <w:tc>
          <w:tcPr>
            <w:tcW w:w="3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使用合规</w:t>
            </w:r>
          </w:p>
        </w:tc>
        <w:tc>
          <w:tcPr>
            <w:tcW w:w="418"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项目资金使用是否符合相关的财务管理制度规定</w:t>
            </w:r>
          </w:p>
        </w:tc>
        <w:tc>
          <w:tcPr>
            <w:tcW w:w="36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缺（错）项扣分法</w:t>
            </w:r>
          </w:p>
        </w:tc>
        <w:tc>
          <w:tcPr>
            <w:tcW w:w="1337" w:type="pct"/>
            <w:gridSpan w:val="8"/>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发现一处扣0.5分，直至扣完</w:t>
            </w:r>
          </w:p>
        </w:tc>
        <w:tc>
          <w:tcPr>
            <w:tcW w:w="130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项目资金是否符合国家财经法规和财务管理制度及有关专项资金管理办法规定；资金拨付是否有完整的审批程序和手续；是否符合项目预算批复或合同规定用途；是否存在截留、挤占、挪用、虚列支出等情况</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jc w:val="center"/>
              <w:rPr>
                <w:rFonts w:ascii="仿宋_GB2312" w:hAnsi="Arial Unicode MS" w:cs="Arial Unicode MS"/>
                <w:kern w:val="0"/>
                <w:sz w:val="18"/>
                <w:szCs w:val="18"/>
              </w:rPr>
            </w:pPr>
          </w:p>
        </w:tc>
        <w:tc>
          <w:tcPr>
            <w:tcW w:w="3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执行有效</w:t>
            </w:r>
          </w:p>
        </w:tc>
        <w:tc>
          <w:tcPr>
            <w:tcW w:w="418"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项目实施是否符合相关管理制度规定</w:t>
            </w:r>
          </w:p>
        </w:tc>
        <w:tc>
          <w:tcPr>
            <w:tcW w:w="36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缺（错）项扣分法</w:t>
            </w:r>
          </w:p>
        </w:tc>
        <w:tc>
          <w:tcPr>
            <w:tcW w:w="1337" w:type="pct"/>
            <w:gridSpan w:val="8"/>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发现一处扣0.5分，直至扣完</w:t>
            </w:r>
          </w:p>
        </w:tc>
        <w:tc>
          <w:tcPr>
            <w:tcW w:w="130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项目实施是否遵守相关法律法规；项目调整手续是否完备；项目合同、验收报告、技术鉴定等资料是否齐全并及时归档；项目实施的人员条件、场地设备、信息支撑等是否落实到位</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完成结果</w:t>
            </w:r>
          </w:p>
        </w:tc>
        <w:tc>
          <w:tcPr>
            <w:tcW w:w="3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预算完成</w:t>
            </w:r>
          </w:p>
        </w:tc>
        <w:tc>
          <w:tcPr>
            <w:tcW w:w="418"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项目资金拨付到具体支持对象企业、项目（人）的情况</w:t>
            </w:r>
          </w:p>
        </w:tc>
        <w:tc>
          <w:tcPr>
            <w:tcW w:w="36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1337" w:type="pct"/>
            <w:gridSpan w:val="8"/>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指标得分=项目资金到人到户额度/项目资金额度×100%*指标分值</w:t>
            </w:r>
          </w:p>
        </w:tc>
        <w:tc>
          <w:tcPr>
            <w:tcW w:w="130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主要查看项目资金拨付到人到户、到项目、到企业与资金总量的对比</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jc w:val="center"/>
              <w:rPr>
                <w:rFonts w:ascii="仿宋_GB2312" w:hAnsi="Arial Unicode MS" w:cs="Arial Unicode MS"/>
                <w:kern w:val="0"/>
                <w:sz w:val="18"/>
                <w:szCs w:val="18"/>
              </w:rPr>
            </w:pPr>
          </w:p>
        </w:tc>
        <w:tc>
          <w:tcPr>
            <w:tcW w:w="3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目标完成</w:t>
            </w:r>
          </w:p>
        </w:tc>
        <w:tc>
          <w:tcPr>
            <w:tcW w:w="418"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项目实施后是否完成预期目标</w:t>
            </w:r>
          </w:p>
        </w:tc>
        <w:tc>
          <w:tcPr>
            <w:tcW w:w="36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1337" w:type="pct"/>
            <w:gridSpan w:val="8"/>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指标得分=实际完成任务量/绩效目标设定任务量×100%*指标分值</w:t>
            </w:r>
          </w:p>
        </w:tc>
        <w:tc>
          <w:tcPr>
            <w:tcW w:w="130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主要查看项目实施后产出数量指标完成情况</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w:t>
            </w: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jc w:val="center"/>
              <w:rPr>
                <w:rFonts w:ascii="仿宋_GB2312" w:hAnsi="Arial Unicode MS" w:cs="Arial Unicode MS"/>
                <w:kern w:val="0"/>
                <w:sz w:val="18"/>
                <w:szCs w:val="18"/>
              </w:rPr>
            </w:pPr>
          </w:p>
        </w:tc>
        <w:tc>
          <w:tcPr>
            <w:tcW w:w="3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违规记录</w:t>
            </w:r>
          </w:p>
        </w:tc>
        <w:tc>
          <w:tcPr>
            <w:tcW w:w="418"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项目管理是否合规</w:t>
            </w:r>
          </w:p>
        </w:tc>
        <w:tc>
          <w:tcPr>
            <w:tcW w:w="36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38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不合规</w:t>
            </w:r>
          </w:p>
        </w:tc>
        <w:tc>
          <w:tcPr>
            <w:tcW w:w="269" w:type="pct"/>
            <w:gridSpan w:val="3"/>
            <w:vAlign w:val="center"/>
          </w:tcPr>
          <w:p>
            <w:pPr>
              <w:spacing w:line="240" w:lineRule="exact"/>
              <w:jc w:val="center"/>
              <w:rPr>
                <w:rFonts w:ascii="仿宋_GB2312" w:hAnsi="Arial Unicode MS" w:cs="Arial Unicode MS"/>
                <w:kern w:val="0"/>
                <w:sz w:val="18"/>
                <w:szCs w:val="18"/>
              </w:rPr>
            </w:pPr>
            <w:r>
              <w:rPr>
                <w:rFonts w:ascii="仿宋_GB2312" w:hAnsi="Arial Unicode MS" w:cs="Arial Unicode MS"/>
                <w:kern w:val="0"/>
                <w:sz w:val="18"/>
                <w:szCs w:val="18"/>
              </w:rPr>
              <w:t>3处及以上不合规</w:t>
            </w:r>
          </w:p>
        </w:tc>
        <w:tc>
          <w:tcPr>
            <w:tcW w:w="147" w:type="pct"/>
            <w:vAlign w:val="center"/>
          </w:tcPr>
          <w:p>
            <w:pPr>
              <w:spacing w:line="240" w:lineRule="exact"/>
              <w:jc w:val="center"/>
              <w:rPr>
                <w:rFonts w:ascii="仿宋_GB2312" w:hAnsi="Arial Unicode MS" w:cs="Arial Unicode MS"/>
                <w:kern w:val="0"/>
                <w:sz w:val="18"/>
                <w:szCs w:val="18"/>
              </w:rPr>
            </w:pPr>
            <w:r>
              <w:rPr>
                <w:rFonts w:ascii="仿宋_GB2312" w:hAnsi="Arial Unicode MS" w:cs="Arial Unicode MS"/>
                <w:kern w:val="0"/>
                <w:sz w:val="18"/>
                <w:szCs w:val="18"/>
              </w:rPr>
              <w:t>2处不合规</w:t>
            </w:r>
          </w:p>
        </w:tc>
        <w:tc>
          <w:tcPr>
            <w:tcW w:w="142" w:type="pct"/>
            <w:gridSpan w:val="2"/>
            <w:vAlign w:val="center"/>
          </w:tcPr>
          <w:p>
            <w:pPr>
              <w:spacing w:line="220" w:lineRule="exact"/>
              <w:jc w:val="center"/>
              <w:rPr>
                <w:rFonts w:ascii="仿宋_GB2312" w:hAnsi="Arial Unicode MS" w:cs="Arial Unicode MS"/>
                <w:kern w:val="0"/>
                <w:sz w:val="18"/>
                <w:szCs w:val="18"/>
              </w:rPr>
            </w:pPr>
            <w:r>
              <w:rPr>
                <w:rFonts w:ascii="仿宋_GB2312" w:hAnsi="Arial Unicode MS" w:cs="Arial Unicode MS"/>
                <w:kern w:val="0"/>
                <w:sz w:val="18"/>
                <w:szCs w:val="18"/>
              </w:rPr>
              <w:t>1处不合规</w:t>
            </w:r>
          </w:p>
        </w:tc>
        <w:tc>
          <w:tcPr>
            <w:tcW w:w="398"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合规</w:t>
            </w:r>
          </w:p>
        </w:tc>
        <w:tc>
          <w:tcPr>
            <w:tcW w:w="130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根据巡视巡察、审计监督、财政检查结果反映专项管理是否合规</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20%</w:t>
            </w:r>
          </w:p>
        </w:tc>
        <w:tc>
          <w:tcPr>
            <w:tcW w:w="127"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共性指标</w:t>
            </w:r>
          </w:p>
        </w:tc>
        <w:tc>
          <w:tcPr>
            <w:tcW w:w="35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民生保障项目</w:t>
            </w:r>
          </w:p>
        </w:tc>
        <w:tc>
          <w:tcPr>
            <w:tcW w:w="35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项目效果</w:t>
            </w:r>
          </w:p>
        </w:tc>
        <w:tc>
          <w:tcPr>
            <w:tcW w:w="3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区域均衡性</w:t>
            </w:r>
          </w:p>
        </w:tc>
        <w:tc>
          <w:tcPr>
            <w:tcW w:w="418"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项目资金分配体现的均衡公平情况</w:t>
            </w:r>
          </w:p>
        </w:tc>
        <w:tc>
          <w:tcPr>
            <w:tcW w:w="36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38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不均衡</w:t>
            </w:r>
          </w:p>
        </w:tc>
        <w:tc>
          <w:tcPr>
            <w:tcW w:w="416" w:type="pct"/>
            <w:gridSpan w:val="4"/>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较均衡</w:t>
            </w:r>
          </w:p>
        </w:tc>
        <w:tc>
          <w:tcPr>
            <w:tcW w:w="540" w:type="pct"/>
            <w:gridSpan w:val="3"/>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均衡</w:t>
            </w:r>
          </w:p>
        </w:tc>
        <w:tc>
          <w:tcPr>
            <w:tcW w:w="130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按实际分配结果选择客观因素测算验证资金分配方法制定、分配要素设定、基础数据应用、测算依据选取等是否科学合理。</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5" w:type="pct"/>
            <w:vMerge w:val="continue"/>
            <w:vAlign w:val="center"/>
          </w:tcPr>
          <w:p>
            <w:pPr>
              <w:spacing w:line="300" w:lineRule="exact"/>
              <w:jc w:val="center"/>
              <w:rPr>
                <w:rFonts w:ascii="仿宋_GB2312" w:hAnsi="Arial Unicode MS" w:cs="Arial Unicode MS"/>
                <w:kern w:val="0"/>
                <w:sz w:val="18"/>
                <w:szCs w:val="18"/>
              </w:rPr>
            </w:pP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jc w:val="center"/>
              <w:rPr>
                <w:rFonts w:ascii="仿宋_GB2312" w:hAnsi="Arial Unicode MS" w:cs="Arial Unicode MS"/>
                <w:kern w:val="0"/>
                <w:sz w:val="18"/>
                <w:szCs w:val="18"/>
              </w:rPr>
            </w:pPr>
          </w:p>
        </w:tc>
        <w:tc>
          <w:tcPr>
            <w:tcW w:w="3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对象公平性</w:t>
            </w:r>
          </w:p>
        </w:tc>
        <w:tc>
          <w:tcPr>
            <w:tcW w:w="418"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项目资金分配结果是否公平合理，是否充分考虑地域条件、经济条件等</w:t>
            </w:r>
          </w:p>
        </w:tc>
        <w:tc>
          <w:tcPr>
            <w:tcW w:w="36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38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不公平</w:t>
            </w:r>
          </w:p>
        </w:tc>
        <w:tc>
          <w:tcPr>
            <w:tcW w:w="127" w:type="pct"/>
            <w:gridSpan w:val="2"/>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较差</w:t>
            </w:r>
          </w:p>
        </w:tc>
        <w:tc>
          <w:tcPr>
            <w:tcW w:w="289" w:type="pct"/>
            <w:gridSpan w:val="2"/>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一般</w:t>
            </w:r>
          </w:p>
        </w:tc>
        <w:tc>
          <w:tcPr>
            <w:tcW w:w="142" w:type="pct"/>
            <w:gridSpan w:val="2"/>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较好</w:t>
            </w:r>
          </w:p>
        </w:tc>
        <w:tc>
          <w:tcPr>
            <w:tcW w:w="398"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公平</w:t>
            </w:r>
          </w:p>
        </w:tc>
        <w:tc>
          <w:tcPr>
            <w:tcW w:w="130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主要查看项目资金分配和实施结果是否体现公平公正性，是否存在明显的排他性和歧视性规定，是否做到大多数和少数的协调统一，统筹兼顾</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5" w:type="pct"/>
            <w:vMerge w:val="continue"/>
            <w:vAlign w:val="center"/>
          </w:tcPr>
          <w:p>
            <w:pPr>
              <w:spacing w:line="300" w:lineRule="exact"/>
              <w:jc w:val="center"/>
              <w:rPr>
                <w:rFonts w:ascii="仿宋_GB2312" w:hAnsi="Arial Unicode MS" w:cs="Arial Unicode MS"/>
                <w:kern w:val="0"/>
                <w:sz w:val="18"/>
                <w:szCs w:val="18"/>
              </w:rPr>
            </w:pP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jc w:val="center"/>
              <w:rPr>
                <w:rFonts w:ascii="仿宋_GB2312" w:hAnsi="Arial Unicode MS" w:cs="Arial Unicode MS"/>
                <w:kern w:val="0"/>
                <w:sz w:val="18"/>
                <w:szCs w:val="18"/>
              </w:rPr>
            </w:pPr>
          </w:p>
        </w:tc>
        <w:tc>
          <w:tcPr>
            <w:tcW w:w="3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社会满意度</w:t>
            </w:r>
          </w:p>
        </w:tc>
        <w:tc>
          <w:tcPr>
            <w:tcW w:w="418"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相关群体满意度调查情况</w:t>
            </w:r>
          </w:p>
        </w:tc>
        <w:tc>
          <w:tcPr>
            <w:tcW w:w="36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1337" w:type="pct"/>
            <w:gridSpan w:val="8"/>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按根据实际满意度与满意度标准值的比率计算指标得分</w:t>
            </w:r>
          </w:p>
        </w:tc>
        <w:tc>
          <w:tcPr>
            <w:tcW w:w="130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主要调研政策和项目相关方在政策实施过程中的满意值，通过不满意情况汇总分析政策在顶层设计、制度构建、管理实施及成效各环节的情况</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50%</w:t>
            </w:r>
          </w:p>
        </w:tc>
        <w:tc>
          <w:tcPr>
            <w:tcW w:w="127"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特性指标</w:t>
            </w:r>
          </w:p>
        </w:tc>
        <w:tc>
          <w:tcPr>
            <w:tcW w:w="35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社会保障与就业</w:t>
            </w:r>
          </w:p>
        </w:tc>
        <w:tc>
          <w:tcPr>
            <w:tcW w:w="35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基础管理</w:t>
            </w:r>
          </w:p>
        </w:tc>
        <w:tc>
          <w:tcPr>
            <w:tcW w:w="3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审核把关</w:t>
            </w:r>
          </w:p>
        </w:tc>
        <w:tc>
          <w:tcPr>
            <w:tcW w:w="418"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项目申报是否真实准确</w:t>
            </w:r>
          </w:p>
        </w:tc>
        <w:tc>
          <w:tcPr>
            <w:tcW w:w="36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1337" w:type="pct"/>
            <w:gridSpan w:val="8"/>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指标得分=基础数据真实客观的人数/项目受益总人数×100%*指标分值，基础数据真实客观的人数/项目受益总人数小于70%不得分</w:t>
            </w:r>
          </w:p>
        </w:tc>
        <w:tc>
          <w:tcPr>
            <w:tcW w:w="130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主要查看项目受益人群的精准性和客观性，是否存在因制度机制缺陷或管理疏漏导致审核把关不严的情况</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5" w:type="pct"/>
            <w:vMerge w:val="continue"/>
            <w:vAlign w:val="center"/>
          </w:tcPr>
          <w:p>
            <w:pPr>
              <w:spacing w:line="300" w:lineRule="exact"/>
              <w:jc w:val="center"/>
              <w:rPr>
                <w:rFonts w:ascii="仿宋_GB2312" w:hAnsi="Arial Unicode MS" w:cs="Arial Unicode MS"/>
                <w:kern w:val="0"/>
                <w:sz w:val="18"/>
                <w:szCs w:val="18"/>
              </w:rPr>
            </w:pP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jc w:val="center"/>
              <w:rPr>
                <w:rFonts w:ascii="仿宋_GB2312" w:hAnsi="Arial Unicode MS" w:cs="Arial Unicode MS"/>
                <w:kern w:val="0"/>
                <w:sz w:val="18"/>
                <w:szCs w:val="18"/>
              </w:rPr>
            </w:pPr>
          </w:p>
        </w:tc>
        <w:tc>
          <w:tcPr>
            <w:tcW w:w="379" w:type="pct"/>
            <w:vAlign w:val="center"/>
          </w:tcPr>
          <w:p>
            <w:pPr>
              <w:spacing w:line="276" w:lineRule="auto"/>
              <w:jc w:val="center"/>
              <w:rPr>
                <w:rFonts w:ascii="仿宋_GB2312" w:hAnsi="Arial Unicode MS" w:cs="Arial Unicode MS"/>
                <w:sz w:val="15"/>
                <w:szCs w:val="15"/>
              </w:rPr>
            </w:pPr>
            <w:r>
              <w:rPr>
                <w:rFonts w:ascii="仿宋_GB2312" w:hAnsi="Arial Unicode MS" w:cs="Arial Unicode MS"/>
                <w:sz w:val="15"/>
                <w:szCs w:val="15"/>
              </w:rPr>
              <w:t>对象覆盖全面</w:t>
            </w:r>
          </w:p>
        </w:tc>
        <w:tc>
          <w:tcPr>
            <w:tcW w:w="418" w:type="pct"/>
            <w:vAlign w:val="center"/>
          </w:tcPr>
          <w:p>
            <w:pPr>
              <w:spacing w:line="276" w:lineRule="auto"/>
              <w:rPr>
                <w:rFonts w:ascii="仿宋_GB2312" w:hAnsi="Arial Unicode MS" w:cs="Arial Unicode MS"/>
                <w:sz w:val="15"/>
                <w:szCs w:val="15"/>
              </w:rPr>
            </w:pPr>
            <w:r>
              <w:rPr>
                <w:rFonts w:ascii="仿宋_GB2312" w:hAnsi="Arial Unicode MS" w:cs="Arial Unicode MS"/>
                <w:sz w:val="15"/>
                <w:szCs w:val="15"/>
              </w:rPr>
              <w:t>项目区域范围内实施对象覆盖情况</w:t>
            </w:r>
          </w:p>
        </w:tc>
        <w:tc>
          <w:tcPr>
            <w:tcW w:w="364" w:type="pct"/>
            <w:vAlign w:val="center"/>
          </w:tcPr>
          <w:p>
            <w:pPr>
              <w:spacing w:line="276" w:lineRule="auto"/>
              <w:jc w:val="center"/>
              <w:rPr>
                <w:rFonts w:ascii="仿宋_GB2312" w:hAnsi="Arial Unicode MS" w:cs="Arial Unicode MS"/>
                <w:sz w:val="15"/>
                <w:szCs w:val="15"/>
              </w:rPr>
            </w:pPr>
            <w:r>
              <w:rPr>
                <w:rFonts w:ascii="仿宋_GB2312" w:hAnsi="Arial Unicode MS" w:cs="Arial Unicode MS"/>
                <w:sz w:val="15"/>
                <w:szCs w:val="15"/>
              </w:rPr>
              <w:t>分级评分法</w:t>
            </w:r>
          </w:p>
        </w:tc>
        <w:tc>
          <w:tcPr>
            <w:tcW w:w="443" w:type="pct"/>
            <w:gridSpan w:val="2"/>
            <w:vAlign w:val="center"/>
          </w:tcPr>
          <w:p>
            <w:pPr>
              <w:spacing w:line="276" w:lineRule="auto"/>
              <w:jc w:val="center"/>
              <w:rPr>
                <w:rFonts w:ascii="仿宋_GB2312" w:hAnsi="Arial Unicode MS" w:cs="Arial Unicode MS"/>
                <w:sz w:val="15"/>
                <w:szCs w:val="15"/>
              </w:rPr>
            </w:pPr>
            <w:r>
              <w:rPr>
                <w:rFonts w:ascii="仿宋_GB2312" w:hAnsi="Arial Unicode MS" w:cs="Arial Unicode MS"/>
                <w:sz w:val="15"/>
                <w:szCs w:val="15"/>
              </w:rPr>
              <w:t>明显疏漏</w:t>
            </w:r>
          </w:p>
        </w:tc>
        <w:tc>
          <w:tcPr>
            <w:tcW w:w="443" w:type="pct"/>
            <w:gridSpan w:val="4"/>
            <w:vAlign w:val="center"/>
          </w:tcPr>
          <w:p>
            <w:pPr>
              <w:spacing w:line="276" w:lineRule="auto"/>
              <w:jc w:val="center"/>
              <w:rPr>
                <w:rFonts w:ascii="仿宋_GB2312" w:hAnsi="Arial Unicode MS" w:cs="Arial Unicode MS"/>
                <w:sz w:val="15"/>
                <w:szCs w:val="15"/>
              </w:rPr>
            </w:pPr>
            <w:r>
              <w:rPr>
                <w:rFonts w:ascii="仿宋_GB2312" w:hAnsi="Arial Unicode MS" w:cs="Arial Unicode MS"/>
                <w:sz w:val="15"/>
                <w:szCs w:val="15"/>
              </w:rPr>
              <w:t>基本覆盖</w:t>
            </w:r>
          </w:p>
        </w:tc>
        <w:tc>
          <w:tcPr>
            <w:tcW w:w="451" w:type="pct"/>
            <w:gridSpan w:val="2"/>
            <w:vAlign w:val="center"/>
          </w:tcPr>
          <w:p>
            <w:pPr>
              <w:spacing w:line="276" w:lineRule="auto"/>
              <w:jc w:val="center"/>
              <w:rPr>
                <w:rFonts w:ascii="仿宋_GB2312" w:hAnsi="Arial Unicode MS" w:cs="Arial Unicode MS"/>
                <w:sz w:val="15"/>
                <w:szCs w:val="15"/>
              </w:rPr>
            </w:pPr>
            <w:r>
              <w:rPr>
                <w:rFonts w:ascii="仿宋_GB2312" w:hAnsi="Arial Unicode MS" w:cs="Arial Unicode MS"/>
                <w:sz w:val="15"/>
                <w:szCs w:val="15"/>
              </w:rPr>
              <w:t>全覆盖</w:t>
            </w:r>
          </w:p>
        </w:tc>
        <w:tc>
          <w:tcPr>
            <w:tcW w:w="1306" w:type="pct"/>
            <w:vAlign w:val="center"/>
          </w:tcPr>
          <w:p>
            <w:pPr>
              <w:spacing w:line="276" w:lineRule="auto"/>
              <w:rPr>
                <w:rFonts w:ascii="仿宋_GB2312" w:hAnsi="Arial Unicode MS" w:cs="Arial Unicode MS"/>
                <w:sz w:val="15"/>
                <w:szCs w:val="15"/>
              </w:rPr>
            </w:pPr>
            <w:r>
              <w:rPr>
                <w:rFonts w:ascii="仿宋_GB2312" w:hAnsi="Arial Unicode MS" w:cs="Arial Unicode MS"/>
                <w:sz w:val="15"/>
                <w:szCs w:val="15"/>
              </w:rPr>
              <w:t>主要查看项目实施对相关群体覆盖的情况，是否充分考虑到主要群体和特殊个体的统一，做到全面覆盖。</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5" w:type="pct"/>
            <w:vMerge w:val="continue"/>
            <w:vAlign w:val="center"/>
          </w:tcPr>
          <w:p>
            <w:pPr>
              <w:spacing w:line="300" w:lineRule="exact"/>
              <w:jc w:val="center"/>
              <w:rPr>
                <w:rFonts w:ascii="仿宋_GB2312" w:hAnsi="Arial Unicode MS" w:cs="Arial Unicode MS"/>
                <w:kern w:val="0"/>
                <w:sz w:val="18"/>
                <w:szCs w:val="18"/>
              </w:rPr>
            </w:pP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社会效益</w:t>
            </w:r>
          </w:p>
        </w:tc>
        <w:tc>
          <w:tcPr>
            <w:tcW w:w="3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资金使用率</w:t>
            </w:r>
          </w:p>
        </w:tc>
        <w:tc>
          <w:tcPr>
            <w:tcW w:w="418"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项目资金支付使用情况</w:t>
            </w:r>
          </w:p>
        </w:tc>
        <w:tc>
          <w:tcPr>
            <w:tcW w:w="36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1337" w:type="pct"/>
            <w:gridSpan w:val="8"/>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指标得分=资金实际使用金额/资金实际拨付金额×100%*指标分值</w:t>
            </w:r>
          </w:p>
        </w:tc>
        <w:tc>
          <w:tcPr>
            <w:tcW w:w="130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主要查看财政资金实际支付使用，是否存在因制度机制、操作流程、管理疏漏、数据缺失等导致的资金结余，闲置浪费的情况</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5" w:type="pct"/>
            <w:vMerge w:val="continue"/>
            <w:vAlign w:val="center"/>
          </w:tcPr>
          <w:p>
            <w:pPr>
              <w:spacing w:line="300" w:lineRule="exact"/>
              <w:jc w:val="center"/>
              <w:rPr>
                <w:rFonts w:ascii="仿宋_GB2312" w:hAnsi="Arial Unicode MS" w:cs="Arial Unicode MS"/>
                <w:kern w:val="0"/>
                <w:sz w:val="18"/>
                <w:szCs w:val="18"/>
              </w:rPr>
            </w:pP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rPr>
                <w:rFonts w:ascii="仿宋_GB2312" w:hAnsi="Arial Unicode MS" w:cs="Arial Unicode MS"/>
                <w:kern w:val="0"/>
                <w:sz w:val="18"/>
                <w:szCs w:val="18"/>
              </w:rPr>
            </w:pPr>
          </w:p>
        </w:tc>
        <w:tc>
          <w:tcPr>
            <w:tcW w:w="3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从业带动能力</w:t>
            </w:r>
          </w:p>
        </w:tc>
        <w:tc>
          <w:tcPr>
            <w:tcW w:w="41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项目带动周边从事相关行业情况</w:t>
            </w:r>
          </w:p>
        </w:tc>
        <w:tc>
          <w:tcPr>
            <w:tcW w:w="36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1337" w:type="pct"/>
            <w:gridSpan w:val="8"/>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指标得分=三年平均新增带动就业户数/标准值*指标分值</w:t>
            </w:r>
          </w:p>
        </w:tc>
        <w:tc>
          <w:tcPr>
            <w:tcW w:w="130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通过实地走访、调研、收集带动就业户数相关基础数据进行对比分析</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5" w:type="pct"/>
            <w:vMerge w:val="continue"/>
            <w:vAlign w:val="center"/>
          </w:tcPr>
          <w:p>
            <w:pPr>
              <w:spacing w:line="300" w:lineRule="exact"/>
              <w:jc w:val="center"/>
              <w:rPr>
                <w:rFonts w:ascii="仿宋_GB2312" w:hAnsi="Arial Unicode MS" w:cs="Arial Unicode MS"/>
                <w:kern w:val="0"/>
                <w:sz w:val="18"/>
                <w:szCs w:val="18"/>
              </w:rPr>
            </w:pP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jc w:val="center"/>
              <w:rPr>
                <w:rFonts w:ascii="仿宋_GB2312" w:hAnsi="Arial Unicode MS" w:cs="Arial Unicode MS"/>
                <w:kern w:val="0"/>
                <w:sz w:val="18"/>
                <w:szCs w:val="18"/>
              </w:rPr>
            </w:pPr>
          </w:p>
        </w:tc>
        <w:tc>
          <w:tcPr>
            <w:tcW w:w="358"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完成质量</w:t>
            </w:r>
          </w:p>
        </w:tc>
        <w:tc>
          <w:tcPr>
            <w:tcW w:w="3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质量达标</w:t>
            </w:r>
          </w:p>
        </w:tc>
        <w:tc>
          <w:tcPr>
            <w:tcW w:w="418"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考核森林管护质量符合验收标准</w:t>
            </w:r>
          </w:p>
        </w:tc>
        <w:tc>
          <w:tcPr>
            <w:tcW w:w="36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1337" w:type="pct"/>
            <w:gridSpan w:val="8"/>
            <w:vAlign w:val="center"/>
          </w:tcPr>
          <w:p>
            <w:pPr>
              <w:spacing w:line="276" w:lineRule="auto"/>
              <w:jc w:val="center"/>
              <w:rPr>
                <w:rFonts w:ascii="仿宋_GB2312" w:hAnsi="Arial Unicode MS" w:cs="Arial Unicode MS"/>
                <w:sz w:val="15"/>
                <w:szCs w:val="15"/>
              </w:rPr>
            </w:pPr>
            <w:r>
              <w:rPr>
                <w:rFonts w:ascii="仿宋_GB2312" w:hAnsi="Arial Unicode MS" w:cs="Arial Unicode MS"/>
                <w:kern w:val="0"/>
                <w:sz w:val="18"/>
                <w:szCs w:val="18"/>
              </w:rPr>
              <w:t>指标得分=项目达标数/实施项目总数*100%*指标分值</w:t>
            </w:r>
          </w:p>
        </w:tc>
        <w:tc>
          <w:tcPr>
            <w:tcW w:w="1306" w:type="pct"/>
            <w:vAlign w:val="center"/>
          </w:tcPr>
          <w:p>
            <w:pPr>
              <w:spacing w:line="276" w:lineRule="auto"/>
              <w:rPr>
                <w:rFonts w:ascii="仿宋_GB2312" w:hAnsi="Arial Unicode MS" w:cs="Arial Unicode MS"/>
                <w:sz w:val="15"/>
                <w:szCs w:val="15"/>
              </w:rPr>
            </w:pPr>
            <w:r>
              <w:rPr>
                <w:rFonts w:ascii="仿宋_GB2312" w:hAnsi="Arial Unicode MS" w:cs="Arial Unicode MS"/>
                <w:kern w:val="0"/>
                <w:sz w:val="18"/>
                <w:szCs w:val="18"/>
              </w:rPr>
              <w:t>质量达标率＞100时按100%计算，当质量达标率＜90%时，不得分。</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bookmarkEnd w:id="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821" w:type="pct"/>
            <w:gridSpan w:val="16"/>
            <w:vAlign w:val="center"/>
          </w:tcPr>
          <w:p>
            <w:pPr>
              <w:spacing w:line="276" w:lineRule="auto"/>
              <w:jc w:val="center"/>
              <w:rPr>
                <w:rFonts w:ascii="仿宋_GB2312" w:hAnsi="Arial Unicode MS" w:cs="Arial Unicode MS"/>
                <w:kern w:val="0"/>
                <w:sz w:val="18"/>
                <w:szCs w:val="18"/>
              </w:rPr>
            </w:pPr>
            <w:r>
              <w:rPr>
                <w:rFonts w:hint="eastAsia" w:ascii="仿宋_GB2312" w:hAnsi="Arial Unicode MS" w:cs="Arial Unicode MS"/>
                <w:kern w:val="0"/>
                <w:sz w:val="18"/>
                <w:szCs w:val="18"/>
              </w:rPr>
              <w:t>合计</w:t>
            </w:r>
          </w:p>
        </w:tc>
        <w:tc>
          <w:tcPr>
            <w:tcW w:w="179"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98.5</w:t>
            </w:r>
          </w:p>
        </w:tc>
      </w:tr>
    </w:tbl>
    <w:p>
      <w:pPr>
        <w:rPr>
          <w:b/>
          <w:bCs/>
          <w:sz w:val="24"/>
          <w:szCs w:val="24"/>
        </w:rPr>
      </w:pPr>
      <w:r>
        <w:rPr>
          <w:rFonts w:eastAsia="楷体_GB2312"/>
          <w:b/>
          <w:bCs/>
          <w:sz w:val="24"/>
          <w:szCs w:val="24"/>
        </w:rPr>
        <w:t>相关说明：</w:t>
      </w:r>
    </w:p>
    <w:p>
      <w:pPr>
        <w:rPr>
          <w:b/>
          <w:bCs/>
          <w:sz w:val="24"/>
          <w:szCs w:val="24"/>
        </w:rPr>
      </w:pPr>
      <w:r>
        <w:rPr>
          <w:rFonts w:eastAsia="楷体_GB2312"/>
          <w:b/>
          <w:bCs/>
          <w:sz w:val="24"/>
          <w:szCs w:val="24"/>
        </w:rPr>
        <w:t>1.评分方法归为六类：</w:t>
      </w:r>
    </w:p>
    <w:p>
      <w:pPr>
        <w:rPr>
          <w:sz w:val="24"/>
          <w:szCs w:val="24"/>
        </w:rPr>
      </w:pPr>
      <w:r>
        <w:rPr>
          <w:rFonts w:eastAsia="楷体_GB2312"/>
          <w:b/>
          <w:bCs/>
          <w:sz w:val="24"/>
          <w:szCs w:val="24"/>
        </w:rPr>
        <w:t>（1）是否评分法：</w:t>
      </w:r>
      <w:r>
        <w:rPr>
          <w:sz w:val="24"/>
          <w:szCs w:val="24"/>
        </w:rPr>
        <w:t>适用于合规性等正反判断指标，正向满分，反向0分。</w:t>
      </w:r>
    </w:p>
    <w:p>
      <w:pPr>
        <w:rPr>
          <w:sz w:val="24"/>
          <w:szCs w:val="24"/>
        </w:rPr>
      </w:pPr>
      <w:r>
        <w:rPr>
          <w:rFonts w:eastAsia="楷体_GB2312"/>
          <w:b/>
          <w:bCs/>
          <w:sz w:val="24"/>
          <w:szCs w:val="24"/>
        </w:rPr>
        <w:t>（2）分级评分法：</w:t>
      </w:r>
      <w:r>
        <w:rPr>
          <w:sz w:val="24"/>
          <w:szCs w:val="24"/>
        </w:rPr>
        <w:t>指标评分设置n级权重，指标得分按指标值所处区间的权重计算。</w:t>
      </w:r>
    </w:p>
    <w:p>
      <w:pPr>
        <w:rPr>
          <w:sz w:val="24"/>
          <w:szCs w:val="24"/>
        </w:rPr>
      </w:pPr>
      <w:r>
        <w:rPr>
          <w:rFonts w:eastAsia="楷体_GB2312"/>
          <w:b/>
          <w:bCs/>
          <w:sz w:val="24"/>
          <w:szCs w:val="24"/>
        </w:rPr>
        <w:t>（3）比率分值法：</w:t>
      </w:r>
      <w:r>
        <w:rPr>
          <w:sz w:val="24"/>
          <w:szCs w:val="24"/>
        </w:rPr>
        <w:t>对存在连续性比率的指标，按比率乘以指标分值计算得分。</w:t>
      </w:r>
    </w:p>
    <w:p>
      <w:pPr>
        <w:rPr>
          <w:sz w:val="24"/>
          <w:szCs w:val="24"/>
        </w:rPr>
      </w:pPr>
      <w:r>
        <w:rPr>
          <w:rFonts w:eastAsia="楷体_GB2312"/>
          <w:b/>
          <w:bCs/>
          <w:sz w:val="24"/>
          <w:szCs w:val="24"/>
        </w:rPr>
        <w:t>（4）缺（错）项扣分法：</w:t>
      </w:r>
      <w:r>
        <w:rPr>
          <w:sz w:val="24"/>
          <w:szCs w:val="24"/>
        </w:rPr>
        <w:t>按照要求所具备的事项计算，全部具备得满分，缺少一项扣X分。</w:t>
      </w:r>
    </w:p>
    <w:p>
      <w:pPr>
        <w:rPr>
          <w:sz w:val="24"/>
          <w:szCs w:val="24"/>
        </w:rPr>
      </w:pPr>
      <w:r>
        <w:rPr>
          <w:rFonts w:eastAsia="楷体_GB2312"/>
          <w:b/>
          <w:bCs/>
          <w:sz w:val="24"/>
          <w:szCs w:val="24"/>
        </w:rPr>
        <w:t>（5）满意值赋分法：</w:t>
      </w:r>
      <w:r>
        <w:rPr>
          <w:sz w:val="24"/>
          <w:szCs w:val="24"/>
        </w:rPr>
        <w:t>设置一个满意值，指标值达到满意值得满分，未达到不得分或扣分。</w:t>
      </w:r>
    </w:p>
    <w:p>
      <w:pPr>
        <w:rPr>
          <w:sz w:val="24"/>
          <w:szCs w:val="24"/>
        </w:rPr>
      </w:pPr>
      <w:r>
        <w:rPr>
          <w:rFonts w:eastAsia="楷体_GB2312"/>
          <w:b/>
          <w:bCs/>
          <w:sz w:val="24"/>
          <w:szCs w:val="24"/>
        </w:rPr>
        <w:t>（6）按数累加法：</w:t>
      </w:r>
      <w:r>
        <w:rPr>
          <w:sz w:val="24"/>
          <w:szCs w:val="24"/>
        </w:rPr>
        <w:t>若有必要用于加分项指标。</w:t>
      </w:r>
    </w:p>
    <w:p>
      <w:pPr>
        <w:pStyle w:val="10"/>
        <w:rPr>
          <w:rFonts w:ascii="Times New Roman" w:hAnsi="Times New Roman" w:cs="Times New Roman"/>
        </w:rPr>
      </w:pPr>
      <w:r>
        <w:rPr>
          <w:rFonts w:ascii="Times New Roman" w:hAnsi="Times New Roman" w:eastAsia="楷体_GB2312" w:cs="Times New Roman"/>
          <w:b/>
          <w:bCs/>
        </w:rPr>
        <w:t>2.特性指标二三级指标权重可自行分配。</w:t>
      </w:r>
    </w:p>
    <w:sectPr>
      <w:pgSz w:w="16838" w:h="11906" w:orient="landscape"/>
      <w:pgMar w:top="720" w:right="720" w:bottom="720" w:left="720" w:header="397" w:footer="454" w:gutter="0"/>
      <w:pgNumType w:fmt="numberInDash"/>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swiss"/>
    <w:pitch w:val="default"/>
    <w:sig w:usb0="FFFFFFFF" w:usb1="E9FFFFFF" w:usb2="0000003F" w:usb3="00000000" w:csb0="603F01FF" w:csb1="FFFF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公文楷体">
    <w:altName w:val="微软雅黑"/>
    <w:panose1 w:val="00000000000000000000"/>
    <w:charset w:val="86"/>
    <w:family w:val="auto"/>
    <w:pitch w:val="default"/>
    <w:sig w:usb0="00000000" w:usb1="00000000"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path/>
          <v:fill on="f" focussize="0,0"/>
          <v:stroke on="f" weight="0.5pt" joinstyle="miter"/>
          <v:imagedata o:title=""/>
          <o:lock v:ext="edit"/>
          <v:textbox inset="0mm,0mm,0mm,0mm" style="mso-fit-shape-to-text:t;">
            <w:txbxContent>
              <w:p>
                <w:pPr>
                  <w:pStyle w:val="8"/>
                </w:pPr>
                <w:r>
                  <w:fldChar w:fldCharType="begin"/>
                </w:r>
                <w:r>
                  <w:instrText xml:space="preserve"> PAGE  \* MERGEFORMAT </w:instrText>
                </w:r>
                <w:r>
                  <w:fldChar w:fldCharType="separate"/>
                </w:r>
                <w:r>
                  <w:t>- 3 -</w:t>
                </w:r>
                <w: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60"/>
  <w:drawingGridVerticalSpacing w:val="435"/>
  <w:displayHorizontalDrawingGridEvery w:val="2"/>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EAF8F92-5B0E-4D9A-9295-4BFD4A967ED8}" w:val="KUr9E1jDwoctlTxO78vqBJIM23/+6g0CQSWey4p=PHafNzhkLRYZiAVun5bsmFdXG"/>
    <w:docVar w:name="commondata" w:val="eyJoZGlkIjoiZjJiYzRjZDg4ODIxMmZkMzVjYzYxNzIzMDEwYjJjY2IifQ=="/>
    <w:docVar w:name="DocumentID" w:val="{4136F846-F1DF-4842-8D0D-32D95C9BCBAC}"/>
  </w:docVars>
  <w:rsids>
    <w:rsidRoot w:val="0B0634F0"/>
    <w:rsid w:val="0014252C"/>
    <w:rsid w:val="001A5359"/>
    <w:rsid w:val="002F4EDE"/>
    <w:rsid w:val="0035442F"/>
    <w:rsid w:val="003D5303"/>
    <w:rsid w:val="004662CA"/>
    <w:rsid w:val="00472D10"/>
    <w:rsid w:val="004B0321"/>
    <w:rsid w:val="00796703"/>
    <w:rsid w:val="00954317"/>
    <w:rsid w:val="0095729A"/>
    <w:rsid w:val="00AE51E3"/>
    <w:rsid w:val="00BC5518"/>
    <w:rsid w:val="00D06549"/>
    <w:rsid w:val="00D80C71"/>
    <w:rsid w:val="00E13A44"/>
    <w:rsid w:val="00EC5126"/>
    <w:rsid w:val="00F47E92"/>
    <w:rsid w:val="08D953C7"/>
    <w:rsid w:val="0B0634F0"/>
    <w:rsid w:val="2101264B"/>
    <w:rsid w:val="3E0844C2"/>
    <w:rsid w:val="402D539C"/>
    <w:rsid w:val="50643591"/>
    <w:rsid w:val="58102D59"/>
    <w:rsid w:val="5B631F7E"/>
    <w:rsid w:val="5F021EAC"/>
    <w:rsid w:val="60F04042"/>
    <w:rsid w:val="63335D92"/>
    <w:rsid w:val="6D106ACA"/>
    <w:rsid w:val="6DED6A5F"/>
    <w:rsid w:val="6E881A5B"/>
    <w:rsid w:val="6ECB3C21"/>
    <w:rsid w:val="7556245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8"/>
    <w:qFormat/>
    <w:uiPriority w:val="0"/>
    <w:pPr>
      <w:keepNext/>
      <w:keepLines/>
      <w:spacing w:before="340" w:after="330" w:line="576" w:lineRule="auto"/>
      <w:outlineLvl w:val="0"/>
    </w:pPr>
    <w:rPr>
      <w:b/>
      <w:kern w:val="44"/>
      <w:sz w:val="44"/>
    </w:rPr>
  </w:style>
  <w:style w:type="paragraph" w:styleId="4">
    <w:name w:val="heading 2"/>
    <w:basedOn w:val="1"/>
    <w:next w:val="1"/>
    <w:link w:val="19"/>
    <w:unhideWhenUsed/>
    <w:qFormat/>
    <w:uiPriority w:val="0"/>
    <w:pPr>
      <w:keepNext/>
      <w:keepLines/>
      <w:spacing w:before="260" w:after="260" w:line="413" w:lineRule="auto"/>
      <w:outlineLvl w:val="1"/>
    </w:pPr>
    <w:rPr>
      <w:rFonts w:ascii="Arial" w:hAnsi="Arial" w:eastAsia="黑体"/>
      <w:b/>
    </w:rPr>
  </w:style>
  <w:style w:type="paragraph" w:styleId="5">
    <w:name w:val="heading 3"/>
    <w:basedOn w:val="1"/>
    <w:next w:val="1"/>
    <w:unhideWhenUsed/>
    <w:qFormat/>
    <w:uiPriority w:val="0"/>
    <w:pPr>
      <w:keepNext/>
      <w:keepLines/>
      <w:spacing w:before="260" w:after="260" w:line="413" w:lineRule="auto"/>
      <w:outlineLvl w:val="2"/>
    </w:pPr>
    <w:rPr>
      <w:b/>
    </w:rPr>
  </w:style>
  <w:style w:type="character" w:default="1" w:styleId="15">
    <w:name w:val="Default Paragraph Font"/>
    <w:semiHidden/>
    <w:unhideWhenUsed/>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1"/>
    <w:qFormat/>
    <w:uiPriority w:val="99"/>
    <w:pPr>
      <w:ind w:firstLine="680"/>
    </w:pPr>
  </w:style>
  <w:style w:type="paragraph" w:styleId="6">
    <w:name w:val="index 5"/>
    <w:basedOn w:val="1"/>
    <w:next w:val="1"/>
    <w:qFormat/>
    <w:uiPriority w:val="0"/>
    <w:pPr>
      <w:ind w:left="1680"/>
    </w:pPr>
  </w:style>
  <w:style w:type="paragraph" w:styleId="7">
    <w:name w:val="Body Text Indent"/>
    <w:basedOn w:val="1"/>
    <w:next w:val="8"/>
    <w:semiHidden/>
    <w:unhideWhenUsed/>
    <w:qFormat/>
    <w:uiPriority w:val="99"/>
    <w:pPr>
      <w:spacing w:after="120"/>
      <w:ind w:left="420" w:leftChars="200"/>
    </w:pPr>
  </w:style>
  <w:style w:type="paragraph" w:styleId="8">
    <w:name w:val="footer"/>
    <w:basedOn w:val="1"/>
    <w:qFormat/>
    <w:uiPriority w:val="0"/>
    <w:pPr>
      <w:tabs>
        <w:tab w:val="center" w:pos="4153"/>
        <w:tab w:val="right" w:pos="8306"/>
      </w:tabs>
      <w:snapToGrid w:val="0"/>
      <w:jc w:val="left"/>
    </w:pPr>
    <w:rPr>
      <w:sz w:val="18"/>
      <w:szCs w:val="18"/>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0">
    <w:name w:val="HTML Preformatted"/>
    <w:basedOn w:val="1"/>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sz w:val="24"/>
      <w:szCs w:val="24"/>
    </w:rPr>
  </w:style>
  <w:style w:type="paragraph" w:styleId="11">
    <w:name w:val="Normal (Web)"/>
    <w:basedOn w:val="1"/>
    <w:qFormat/>
    <w:uiPriority w:val="0"/>
    <w:pPr>
      <w:spacing w:beforeAutospacing="1" w:afterAutospacing="1"/>
      <w:jc w:val="left"/>
    </w:pPr>
    <w:rPr>
      <w:kern w:val="0"/>
      <w:sz w:val="24"/>
    </w:rPr>
  </w:style>
  <w:style w:type="paragraph" w:styleId="12">
    <w:name w:val="Body Text First Indent 2"/>
    <w:basedOn w:val="7"/>
    <w:next w:val="6"/>
    <w:qFormat/>
    <w:uiPriority w:val="0"/>
    <w:pPr>
      <w:spacing w:after="0" w:line="440" w:lineRule="exact"/>
      <w:ind w:left="0" w:leftChars="0" w:firstLine="420" w:firstLineChars="200"/>
    </w:pPr>
    <w:rPr>
      <w:rFonts w:ascii="仿宋_GB2312"/>
    </w:rPr>
  </w:style>
  <w:style w:type="table" w:styleId="14">
    <w:name w:val="Table Grid"/>
    <w:basedOn w:val="13"/>
    <w:qFormat/>
    <w:uiPriority w:val="39"/>
    <w:rPr>
      <w:rFonts w:ascii="仿宋_GB2312" w:hAnsi="Arial Unicode MS" w:eastAsia="仿宋_GB2312" w:cs="Arial Unicode MS"/>
      <w:sz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page number"/>
    <w:basedOn w:val="15"/>
    <w:qFormat/>
    <w:uiPriority w:val="0"/>
  </w:style>
  <w:style w:type="character" w:customStyle="1" w:styleId="17">
    <w:name w:val="font01"/>
    <w:basedOn w:val="15"/>
    <w:qFormat/>
    <w:uiPriority w:val="0"/>
    <w:rPr>
      <w:rFonts w:hint="eastAsia" w:ascii="宋体" w:hAnsi="宋体" w:eastAsia="宋体" w:cs="宋体"/>
      <w:color w:val="000000"/>
      <w:sz w:val="16"/>
      <w:szCs w:val="16"/>
      <w:u w:val="none"/>
    </w:rPr>
  </w:style>
  <w:style w:type="character" w:customStyle="1" w:styleId="18">
    <w:name w:val="标题 1 Char"/>
    <w:link w:val="3"/>
    <w:qFormat/>
    <w:uiPriority w:val="0"/>
    <w:rPr>
      <w:b/>
      <w:kern w:val="44"/>
      <w:sz w:val="44"/>
    </w:rPr>
  </w:style>
  <w:style w:type="character" w:customStyle="1" w:styleId="19">
    <w:name w:val="标题 2 Char"/>
    <w:link w:val="4"/>
    <w:qFormat/>
    <w:uiPriority w:val="0"/>
    <w:rPr>
      <w:rFonts w:ascii="Arial" w:hAnsi="Arial" w:eastAsia="黑体"/>
      <w:b/>
      <w:sz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8</Pages>
  <Words>698</Words>
  <Characters>3983</Characters>
  <Lines>33</Lines>
  <Paragraphs>9</Paragraphs>
  <TotalTime>10</TotalTime>
  <ScaleCrop>false</ScaleCrop>
  <LinksUpToDate>false</LinksUpToDate>
  <CharactersWithSpaces>4672</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2023-07-11T01:34:00Z</dcterms:created>
  <dc:creator>徐泉</dc:creator>
  <cp:lastModifiedBy>Administrator</cp:lastModifiedBy>
  <dcterms:modified xsi:type="dcterms:W3CDTF">2023-11-28T06:51:05Z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23365E4A76BC40789C715C73995BE054_11</vt:lpwstr>
  </property>
</Properties>
</file>