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年度森林防灭火能力建设</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沐川县结合森林资源情况和防灭火工作需要，组建了</w:t>
      </w:r>
      <w:r>
        <w:rPr>
          <w:rFonts w:hint="eastAsia" w:ascii="Times New Roman" w:hAnsi="Times New Roman" w:eastAsia="仿宋_GB2312" w:cs="Times New Roman"/>
          <w:sz w:val="32"/>
          <w:szCs w:val="32"/>
        </w:rPr>
        <w:t>50人的沐川县森林专业</w:t>
      </w:r>
      <w:r>
        <w:rPr>
          <w:rFonts w:ascii="Times New Roman" w:hAnsi="Times New Roman" w:eastAsia="仿宋_GB2312" w:cs="Times New Roman"/>
          <w:sz w:val="32"/>
          <w:szCs w:val="32"/>
        </w:rPr>
        <w:t>扑火队，为了全面提升队伍设备水平，针对“缺乏对适合扑救高山森林火灾专属装备的研究，装备配置不够”的情况，提出了以下措施：1.配备队伍装备。参考《四川省地方专业扑火队人员装配标准》,配备森林消防水泵、风水灭火机、油锯等必需灭火装备。根据不同地方实际情况，差异化增强以水灭火、以风灭火、无人机、卫星视频通信系统、点火器等针对性装备。2.配好单兵装备。提升消防头盔、灭火防护服、防毒面具等个人防护装备质量，配备帐篷、睡袋、压缩干粮等个人辅助装备。定期开展装备检查，推动装备更新换代。合理确定备份。3.加强灭火车辆配备管理。加强地方扑火队的车辆配备，指挥车、运兵车、防火工具车、消防水车等按特种专业技术用车管理并统一标识。</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2021年，我局对森林防灭火物资进行了采购，通过政府采购确定江西科敏消防器材有限公司、四川翔瑞特种车辆装备有限公司以及四川普特赛腾消防设备有限公司为供应商。</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总体目标为：通过对项目的实施，实现森林防火救灾物资储备提升，切实加强森林火灾应急处置能力。2022年具体目标为：根据合同条款，完成对江西科敏消防器材有限公司、四川翔瑞特种车辆装备有限公司、四川普特赛腾消防设备有限公司三家公司合同款的拨付，资金拨款及时，防火物资采购验收合格率100%，使用人员满意度≥92%，加强对防火队伍的建设，提高森林防火、安全生产宣传，完成至少1次森林火灾应急演练。</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1、资金计划及到位。2022年，项目下达预算批复152.18万元。</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152.18万元，用于支付三家公司森林防灭火物资合同款，其中：江西科敏消防器材有限公司38.07万元，四川翔瑞特种车辆装备有限公司52.6万元，四川普特赛腾消防设备有限公司61.51万元。</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项目预算批复资金为152.18万元，资金实际支付为152.18万元，预算执行率100%，项目按照合约正常拨付。</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补充了防火装备的配置，完成对江西科敏消防器材有限公司、四川翔瑞特种车辆装备有限公司、四川普特赛腾消防设备有限公司三家公司合同款的拨付，资金拨款及时。</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一是建立了地方扑火队伍，通过防火物资的采购，完善了装备配置。</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是加强宣传，推送森林防火信息30万余条；联系县教育局开展“六个一”和“开学第一课”森林防灭火宣传教育活动；利用乡镇赶集时间节点宣传森林防灭火知识，共发放宣传单9万余份、县禁火令8万余份、森林防火应知应会6万余份；在全县范围内增加森林防火宣传标语标牌1万余个（含自制标牌）、张贴森林防灭火宣传标语230余幅；高火险期在重点林区路口增设临时检查卡点口152个，加强过往人员森林防火知识宣传，杜绝林区用火，降低火灾、火情发生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是加强督查，联合森防办等其他部门对乡镇和重点单位开展森林防灭火督查40余次；指导全县609名护林员熟练使用“数字熊猫监测”即报系统，加大森林防火巡护力度，重点时段在护林员巡护的基础上增加村组干部巡护，发现火灾隐患及时正确处置。四是加强扑火队员培训和演练，县森林专业扑火队安排专业队员对全县各乡镇、村扑火队员进行森林防灭火相关知识培训13余次，重点培训火灾的扑救、避险、自救及扑火工具的操作使用、维修维护等知识，各乡镇、村开展扑火演练142场次，确保发生火灾、火情能做到“打早、打小、打了”。</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通过森林防灭火队物资补充，增强应急处置和扑火能力，减少火灾隐患，森林资源和群众财产安全得到了有效的保护，森林火灾的防控，有利于物种多样性保护及景观生态的保护。</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2022年度项目自评得分为99分，每年绩效目标与预算同步批复、同步公开。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jc w:val="both"/>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附件：1.2022年度森林防灭火能力建设项目绩效目标自评表</w:t>
      </w:r>
    </w:p>
    <w:p>
      <w:pPr>
        <w:pStyle w:val="10"/>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2.2022年度森林防灭火能力建设项目支出绩效评价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w:t>
      </w:r>
      <w:bookmarkStart w:id="0" w:name="_GoBack"/>
      <w:bookmarkEnd w:id="0"/>
      <w:r>
        <w:rPr>
          <w:rFonts w:ascii="Times New Roman" w:hAnsi="Times New Roman" w:eastAsia="仿宋_GB2312" w:cs="Times New Roman"/>
          <w:sz w:val="32"/>
          <w:szCs w:val="32"/>
        </w:rPr>
        <w:t>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2022年度森林防灭火能力建设项目绩效目标自评表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96"/>
        <w:gridCol w:w="1130"/>
        <w:gridCol w:w="1381"/>
        <w:gridCol w:w="1133"/>
        <w:gridCol w:w="1091"/>
        <w:gridCol w:w="1244"/>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3" w:type="pct"/>
            <w:gridSpan w:val="5"/>
            <w:vAlign w:val="center"/>
          </w:tcPr>
          <w:p>
            <w:pPr>
              <w:widowControl/>
              <w:spacing w:line="200" w:lineRule="exact"/>
              <w:jc w:val="center"/>
              <w:rPr>
                <w:color w:val="000000"/>
                <w:sz w:val="20"/>
                <w:szCs w:val="20"/>
              </w:rPr>
            </w:pPr>
            <w:r>
              <w:rPr>
                <w:color w:val="000000"/>
                <w:sz w:val="20"/>
                <w:szCs w:val="20"/>
              </w:rPr>
              <w:t>森林防灭火能力建设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8"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70"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5" w:type="pct"/>
            <w:vAlign w:val="center"/>
          </w:tcPr>
          <w:p>
            <w:pPr>
              <w:widowControl/>
              <w:spacing w:line="200" w:lineRule="exact"/>
              <w:jc w:val="center"/>
              <w:rPr>
                <w:color w:val="000000"/>
                <w:sz w:val="20"/>
                <w:szCs w:val="20"/>
              </w:rPr>
            </w:pPr>
            <w:r>
              <w:rPr>
                <w:color w:val="000000"/>
                <w:sz w:val="20"/>
                <w:szCs w:val="20"/>
              </w:rPr>
              <w:t>152.18</w:t>
            </w:r>
          </w:p>
        </w:tc>
        <w:tc>
          <w:tcPr>
            <w:tcW w:w="1370" w:type="pct"/>
            <w:gridSpan w:val="2"/>
            <w:vAlign w:val="center"/>
          </w:tcPr>
          <w:p>
            <w:pPr>
              <w:widowControl/>
              <w:spacing w:line="200" w:lineRule="exact"/>
              <w:jc w:val="center"/>
              <w:rPr>
                <w:color w:val="000000"/>
                <w:sz w:val="20"/>
                <w:szCs w:val="20"/>
              </w:rPr>
            </w:pPr>
            <w:r>
              <w:rPr>
                <w:color w:val="000000"/>
                <w:sz w:val="20"/>
                <w:szCs w:val="20"/>
              </w:rPr>
              <w:t>152.18</w:t>
            </w:r>
          </w:p>
        </w:tc>
        <w:tc>
          <w:tcPr>
            <w:tcW w:w="778"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665" w:type="pct"/>
            <w:vAlign w:val="center"/>
          </w:tcPr>
          <w:p>
            <w:pPr>
              <w:widowControl/>
              <w:spacing w:line="200" w:lineRule="exact"/>
              <w:jc w:val="center"/>
              <w:rPr>
                <w:color w:val="000000"/>
                <w:sz w:val="20"/>
                <w:szCs w:val="20"/>
              </w:rPr>
            </w:pPr>
            <w:r>
              <w:rPr>
                <w:color w:val="000000"/>
                <w:sz w:val="20"/>
                <w:szCs w:val="20"/>
              </w:rPr>
              <w:t>152.18</w:t>
            </w:r>
          </w:p>
        </w:tc>
        <w:tc>
          <w:tcPr>
            <w:tcW w:w="1370" w:type="pct"/>
            <w:gridSpan w:val="2"/>
            <w:vAlign w:val="center"/>
          </w:tcPr>
          <w:p>
            <w:pPr>
              <w:widowControl/>
              <w:spacing w:line="200" w:lineRule="exact"/>
              <w:jc w:val="center"/>
              <w:rPr>
                <w:color w:val="000000"/>
                <w:sz w:val="20"/>
                <w:szCs w:val="20"/>
              </w:rPr>
            </w:pPr>
            <w:r>
              <w:rPr>
                <w:color w:val="000000"/>
                <w:sz w:val="20"/>
                <w:szCs w:val="20"/>
              </w:rPr>
              <w:t>152.18</w:t>
            </w:r>
          </w:p>
        </w:tc>
        <w:tc>
          <w:tcPr>
            <w:tcW w:w="778"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5" w:type="pct"/>
            <w:vAlign w:val="center"/>
          </w:tcPr>
          <w:p>
            <w:pPr>
              <w:widowControl/>
              <w:spacing w:line="200" w:lineRule="exact"/>
              <w:jc w:val="center"/>
              <w:rPr>
                <w:color w:val="000000"/>
                <w:sz w:val="20"/>
                <w:szCs w:val="20"/>
              </w:rPr>
            </w:pPr>
          </w:p>
        </w:tc>
        <w:tc>
          <w:tcPr>
            <w:tcW w:w="1370"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5" w:type="pct"/>
            <w:vAlign w:val="center"/>
          </w:tcPr>
          <w:p>
            <w:pPr>
              <w:widowControl/>
              <w:spacing w:line="200" w:lineRule="exact"/>
              <w:jc w:val="center"/>
              <w:rPr>
                <w:color w:val="000000"/>
                <w:sz w:val="20"/>
                <w:szCs w:val="20"/>
              </w:rPr>
            </w:pPr>
          </w:p>
        </w:tc>
        <w:tc>
          <w:tcPr>
            <w:tcW w:w="1370"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5" w:type="pct"/>
            <w:vAlign w:val="center"/>
          </w:tcPr>
          <w:p>
            <w:pPr>
              <w:widowControl/>
              <w:spacing w:line="200" w:lineRule="exact"/>
              <w:jc w:val="center"/>
              <w:rPr>
                <w:color w:val="000000"/>
                <w:sz w:val="20"/>
                <w:szCs w:val="20"/>
              </w:rPr>
            </w:pPr>
          </w:p>
        </w:tc>
        <w:tc>
          <w:tcPr>
            <w:tcW w:w="1370"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8"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423"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通过对项目的实施，实现森林防火救灾储备能力提升，切实加强森林火灾应急处置能力。</w:t>
            </w:r>
          </w:p>
        </w:tc>
        <w:tc>
          <w:tcPr>
            <w:tcW w:w="2148" w:type="pct"/>
            <w:gridSpan w:val="3"/>
            <w:vAlign w:val="center"/>
          </w:tcPr>
          <w:p>
            <w:pPr>
              <w:widowControl/>
              <w:spacing w:line="200" w:lineRule="exact"/>
              <w:rPr>
                <w:color w:val="000000"/>
                <w:sz w:val="20"/>
                <w:szCs w:val="20"/>
              </w:rPr>
            </w:pPr>
            <w:r>
              <w:rPr>
                <w:color w:val="000000"/>
                <w:sz w:val="20"/>
                <w:szCs w:val="20"/>
              </w:rPr>
              <w:t>完成了森林防灭火队物资补充，增强应急处置和扑火能力。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30"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3"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防火物资供应商</w:t>
            </w:r>
          </w:p>
        </w:tc>
        <w:tc>
          <w:tcPr>
            <w:tcW w:w="640" w:type="pct"/>
            <w:vAlign w:val="center"/>
          </w:tcPr>
          <w:p>
            <w:pPr>
              <w:widowControl/>
              <w:spacing w:line="200" w:lineRule="exact"/>
              <w:jc w:val="center"/>
              <w:rPr>
                <w:color w:val="000000"/>
                <w:sz w:val="20"/>
                <w:szCs w:val="20"/>
              </w:rPr>
            </w:pPr>
            <w:r>
              <w:rPr>
                <w:color w:val="000000"/>
                <w:sz w:val="20"/>
                <w:szCs w:val="20"/>
              </w:rPr>
              <w:t>＝3家</w:t>
            </w:r>
          </w:p>
        </w:tc>
        <w:tc>
          <w:tcPr>
            <w:tcW w:w="730" w:type="pct"/>
            <w:vAlign w:val="center"/>
          </w:tcPr>
          <w:p>
            <w:pPr>
              <w:widowControl/>
              <w:spacing w:line="200" w:lineRule="exact"/>
              <w:jc w:val="center"/>
              <w:rPr>
                <w:color w:val="000000"/>
                <w:sz w:val="20"/>
                <w:szCs w:val="20"/>
              </w:rPr>
            </w:pPr>
            <w:r>
              <w:rPr>
                <w:color w:val="000000"/>
                <w:sz w:val="20"/>
                <w:szCs w:val="20"/>
              </w:rPr>
              <w:t>=3家</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3"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防火演练</w:t>
            </w:r>
          </w:p>
        </w:tc>
        <w:tc>
          <w:tcPr>
            <w:tcW w:w="640" w:type="pct"/>
            <w:vAlign w:val="center"/>
          </w:tcPr>
          <w:p>
            <w:pPr>
              <w:widowControl/>
              <w:spacing w:line="200" w:lineRule="exact"/>
              <w:jc w:val="center"/>
              <w:rPr>
                <w:color w:val="000000"/>
                <w:sz w:val="20"/>
                <w:szCs w:val="20"/>
              </w:rPr>
            </w:pPr>
            <w:r>
              <w:rPr>
                <w:color w:val="000000"/>
                <w:sz w:val="20"/>
                <w:szCs w:val="20"/>
              </w:rPr>
              <w:t>≥1次</w:t>
            </w:r>
          </w:p>
        </w:tc>
        <w:tc>
          <w:tcPr>
            <w:tcW w:w="730" w:type="pct"/>
            <w:vAlign w:val="center"/>
          </w:tcPr>
          <w:p>
            <w:pPr>
              <w:widowControl/>
              <w:spacing w:line="200" w:lineRule="exact"/>
              <w:jc w:val="center"/>
              <w:rPr>
                <w:color w:val="000000"/>
                <w:sz w:val="20"/>
                <w:szCs w:val="20"/>
              </w:rPr>
            </w:pPr>
            <w:r>
              <w:rPr>
                <w:color w:val="000000"/>
                <w:sz w:val="20"/>
                <w:szCs w:val="20"/>
              </w:rPr>
              <w:t>1次</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防火物资采购验收合格率</w:t>
            </w:r>
          </w:p>
        </w:tc>
        <w:tc>
          <w:tcPr>
            <w:tcW w:w="640" w:type="pct"/>
            <w:vAlign w:val="center"/>
          </w:tcPr>
          <w:p>
            <w:pPr>
              <w:widowControl/>
              <w:spacing w:line="200" w:lineRule="exact"/>
              <w:jc w:val="center"/>
              <w:rPr>
                <w:color w:val="000000"/>
                <w:sz w:val="20"/>
                <w:szCs w:val="20"/>
              </w:rPr>
            </w:pPr>
            <w:r>
              <w:rPr>
                <w:color w:val="000000"/>
                <w:sz w:val="20"/>
                <w:szCs w:val="20"/>
              </w:rPr>
              <w:t>＝100%</w:t>
            </w:r>
          </w:p>
        </w:tc>
        <w:tc>
          <w:tcPr>
            <w:tcW w:w="730" w:type="pct"/>
            <w:vAlign w:val="center"/>
          </w:tcPr>
          <w:p>
            <w:pPr>
              <w:widowControl/>
              <w:spacing w:line="200" w:lineRule="exact"/>
              <w:jc w:val="center"/>
              <w:rPr>
                <w:color w:val="000000"/>
                <w:sz w:val="20"/>
                <w:szCs w:val="20"/>
              </w:rPr>
            </w:pPr>
            <w:r>
              <w:rPr>
                <w:color w:val="000000"/>
                <w:sz w:val="20"/>
                <w:szCs w:val="20"/>
              </w:rPr>
              <w:t>＝100%</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拨款完成时间</w:t>
            </w:r>
          </w:p>
        </w:tc>
        <w:tc>
          <w:tcPr>
            <w:tcW w:w="640" w:type="pct"/>
            <w:vAlign w:val="center"/>
          </w:tcPr>
          <w:p>
            <w:pPr>
              <w:widowControl/>
              <w:spacing w:line="200" w:lineRule="exact"/>
              <w:jc w:val="center"/>
              <w:rPr>
                <w:color w:val="000000"/>
                <w:sz w:val="20"/>
                <w:szCs w:val="20"/>
              </w:rPr>
            </w:pPr>
            <w:r>
              <w:rPr>
                <w:color w:val="000000"/>
                <w:sz w:val="20"/>
                <w:szCs w:val="20"/>
              </w:rPr>
              <w:t>2022年底前</w:t>
            </w:r>
          </w:p>
        </w:tc>
        <w:tc>
          <w:tcPr>
            <w:tcW w:w="730" w:type="pct"/>
            <w:vAlign w:val="center"/>
          </w:tcPr>
          <w:p>
            <w:pPr>
              <w:widowControl/>
              <w:spacing w:line="200" w:lineRule="exact"/>
              <w:jc w:val="center"/>
              <w:rPr>
                <w:color w:val="000000"/>
                <w:sz w:val="20"/>
                <w:szCs w:val="20"/>
              </w:rPr>
            </w:pPr>
            <w:r>
              <w:rPr>
                <w:color w:val="000000"/>
                <w:sz w:val="20"/>
                <w:szCs w:val="20"/>
              </w:rPr>
              <w:t>2022年底前</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三家公司应拨款金额</w:t>
            </w:r>
          </w:p>
        </w:tc>
        <w:tc>
          <w:tcPr>
            <w:tcW w:w="640" w:type="pct"/>
            <w:vAlign w:val="center"/>
          </w:tcPr>
          <w:p>
            <w:pPr>
              <w:widowControl/>
              <w:spacing w:line="200" w:lineRule="exact"/>
              <w:jc w:val="center"/>
              <w:rPr>
                <w:color w:val="000000"/>
                <w:sz w:val="20"/>
                <w:szCs w:val="20"/>
              </w:rPr>
            </w:pPr>
            <w:r>
              <w:rPr>
                <w:color w:val="000000"/>
                <w:sz w:val="20"/>
                <w:szCs w:val="20"/>
              </w:rPr>
              <w:t>＝152.18万元</w:t>
            </w:r>
          </w:p>
        </w:tc>
        <w:tc>
          <w:tcPr>
            <w:tcW w:w="730" w:type="pct"/>
            <w:vAlign w:val="center"/>
          </w:tcPr>
          <w:p>
            <w:pPr>
              <w:widowControl/>
              <w:spacing w:line="200" w:lineRule="exact"/>
              <w:jc w:val="center"/>
              <w:rPr>
                <w:color w:val="000000"/>
                <w:sz w:val="20"/>
                <w:szCs w:val="20"/>
              </w:rPr>
            </w:pPr>
            <w:r>
              <w:rPr>
                <w:color w:val="000000"/>
                <w:sz w:val="20"/>
                <w:szCs w:val="20"/>
              </w:rPr>
              <w:t>=152.18万元</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3"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保护森林资源安全</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730"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jc w:val="center"/>
              <w:rPr>
                <w:color w:val="000000"/>
                <w:sz w:val="20"/>
                <w:szCs w:val="20"/>
              </w:rPr>
            </w:pPr>
            <w:r>
              <w:rPr>
                <w:color w:val="000000"/>
                <w:sz w:val="20"/>
                <w:szCs w:val="20"/>
              </w:rPr>
              <w:t>增强应急处置和扑火能力</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730"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3"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75" w:type="pct"/>
            <w:gridSpan w:val="2"/>
            <w:vAlign w:val="center"/>
          </w:tcPr>
          <w:p>
            <w:pPr>
              <w:widowControl/>
              <w:spacing w:line="200" w:lineRule="exact"/>
              <w:jc w:val="center"/>
              <w:rPr>
                <w:color w:val="000000"/>
                <w:sz w:val="20"/>
                <w:szCs w:val="20"/>
              </w:rPr>
            </w:pPr>
            <w:r>
              <w:rPr>
                <w:color w:val="000000"/>
                <w:sz w:val="20"/>
                <w:szCs w:val="20"/>
              </w:rPr>
              <w:t>物资使用人员满意度</w:t>
            </w:r>
          </w:p>
        </w:tc>
        <w:tc>
          <w:tcPr>
            <w:tcW w:w="640" w:type="pct"/>
            <w:vAlign w:val="center"/>
          </w:tcPr>
          <w:p>
            <w:pPr>
              <w:widowControl/>
              <w:spacing w:line="200" w:lineRule="exact"/>
              <w:jc w:val="center"/>
              <w:rPr>
                <w:color w:val="000000"/>
                <w:sz w:val="20"/>
                <w:szCs w:val="20"/>
              </w:rPr>
            </w:pPr>
            <w:r>
              <w:rPr>
                <w:color w:val="000000"/>
                <w:sz w:val="20"/>
                <w:szCs w:val="20"/>
              </w:rPr>
              <w:t>≥92%</w:t>
            </w:r>
          </w:p>
        </w:tc>
        <w:tc>
          <w:tcPr>
            <w:tcW w:w="730" w:type="pct"/>
            <w:vAlign w:val="center"/>
          </w:tcPr>
          <w:p>
            <w:pPr>
              <w:widowControl/>
              <w:spacing w:line="200" w:lineRule="exact"/>
              <w:jc w:val="center"/>
              <w:rPr>
                <w:color w:val="000000"/>
                <w:sz w:val="20"/>
                <w:szCs w:val="20"/>
              </w:rPr>
            </w:pPr>
            <w:r>
              <w:rPr>
                <w:color w:val="000000"/>
                <w:sz w:val="20"/>
                <w:szCs w:val="20"/>
              </w:rPr>
              <w:t>＝93%</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7"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2022年度森林防灭火能力建设项目支出绩效评价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634"/>
        <w:gridCol w:w="768"/>
        <w:gridCol w:w="1318"/>
        <w:gridCol w:w="1099"/>
        <w:gridCol w:w="1555"/>
        <w:gridCol w:w="1246"/>
        <w:gridCol w:w="781"/>
        <w:gridCol w:w="584"/>
        <w:gridCol w:w="506"/>
        <w:gridCol w:w="625"/>
        <w:gridCol w:w="631"/>
        <w:gridCol w:w="4176"/>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61" w:type="pct"/>
            <w:gridSpan w:val="5"/>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9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400"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35"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gridSpan w:val="2"/>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42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5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98" w:type="pct"/>
            <w:vMerge w:val="continue"/>
            <w:vAlign w:val="center"/>
          </w:tcPr>
          <w:p>
            <w:pPr>
              <w:spacing w:line="400" w:lineRule="exact"/>
              <w:jc w:val="center"/>
              <w:rPr>
                <w:rFonts w:ascii="仿宋_GB2312" w:hAnsi="Arial Unicode MS" w:cs="Arial Unicode MS"/>
                <w:b/>
                <w:bCs/>
                <w:kern w:val="0"/>
                <w:sz w:val="18"/>
                <w:szCs w:val="18"/>
              </w:rPr>
            </w:pPr>
          </w:p>
        </w:tc>
        <w:tc>
          <w:tcPr>
            <w:tcW w:w="39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00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35"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gridSpan w:val="2"/>
            <w:vMerge w:val="continue"/>
            <w:vAlign w:val="center"/>
          </w:tcPr>
          <w:p>
            <w:pPr>
              <w:spacing w:line="400" w:lineRule="exact"/>
              <w:jc w:val="center"/>
              <w:rPr>
                <w:rFonts w:ascii="仿宋_GB2312" w:hAnsi="Arial Unicode MS" w:cs="Arial Unicode MS"/>
                <w:kern w:val="0"/>
                <w:sz w:val="18"/>
                <w:szCs w:val="18"/>
              </w:rPr>
            </w:pPr>
          </w:p>
        </w:tc>
        <w:tc>
          <w:tcPr>
            <w:tcW w:w="422" w:type="pct"/>
            <w:vMerge w:val="continue"/>
            <w:vAlign w:val="center"/>
          </w:tcPr>
          <w:p>
            <w:pPr>
              <w:spacing w:line="400" w:lineRule="exact"/>
              <w:jc w:val="center"/>
              <w:rPr>
                <w:rFonts w:ascii="仿宋_GB2312" w:hAnsi="Arial Unicode MS" w:cs="Arial Unicode MS"/>
                <w:kern w:val="0"/>
                <w:sz w:val="18"/>
                <w:szCs w:val="18"/>
              </w:rPr>
            </w:pPr>
          </w:p>
        </w:tc>
        <w:tc>
          <w:tcPr>
            <w:tcW w:w="352" w:type="pct"/>
            <w:vMerge w:val="continue"/>
            <w:vAlign w:val="center"/>
          </w:tcPr>
          <w:p>
            <w:pPr>
              <w:spacing w:line="400" w:lineRule="exact"/>
              <w:jc w:val="center"/>
              <w:rPr>
                <w:rFonts w:ascii="仿宋_GB2312" w:hAnsi="Arial Unicode MS" w:cs="Arial Unicode MS"/>
                <w:kern w:val="0"/>
                <w:sz w:val="18"/>
                <w:szCs w:val="18"/>
              </w:rPr>
            </w:pPr>
          </w:p>
        </w:tc>
        <w:tc>
          <w:tcPr>
            <w:tcW w:w="498" w:type="pct"/>
            <w:vMerge w:val="continue"/>
            <w:vAlign w:val="center"/>
          </w:tcPr>
          <w:p>
            <w:pPr>
              <w:spacing w:line="400" w:lineRule="exact"/>
              <w:jc w:val="center"/>
              <w:rPr>
                <w:rFonts w:ascii="仿宋_GB2312" w:hAnsi="Arial Unicode MS" w:cs="Arial Unicode MS"/>
                <w:kern w:val="0"/>
                <w:sz w:val="18"/>
                <w:szCs w:val="18"/>
              </w:rPr>
            </w:pPr>
          </w:p>
        </w:tc>
        <w:tc>
          <w:tcPr>
            <w:tcW w:w="399"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2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20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35"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200"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功能性</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反映公共基础设施建设功能是否达到计划能力，建成后是否正常并良好运行，延续性是否达到预期</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发现基础设施功能明显未实现预期的，发现一项扣1分，直至扣完</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主要查看建设项目是否实施方案实现预期功能，是否能够持续良好地运作，有效地维护，特别是公共设施类的项目，是否能有效满足人民群众的现实需要</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配套性</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项目建成后相关工程、点位是否相关协调，配套设施是否整体协调，是否全面衔接发挥整体效益</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重点查看区域内建设规划在空间分布、功能配套整合、土地利用等方面是否存在明显有违常理，不科学合理的情况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20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24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设备购置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运行状况</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购置的设备常态化运行情况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重点查看购置设备日常使用频率及正常运转情况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使用人员满意度</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主要调研防火物资人员使用的满意度情况。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98"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是否符合验收标准</w:t>
            </w:r>
          </w:p>
        </w:tc>
        <w:tc>
          <w:tcPr>
            <w:tcW w:w="399" w:type="pct"/>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sz w:val="15"/>
                <w:szCs w:val="15"/>
              </w:rPr>
              <w:t>比率分值法</w:t>
            </w:r>
          </w:p>
        </w:tc>
        <w:tc>
          <w:tcPr>
            <w:tcW w:w="1001" w:type="pct"/>
            <w:gridSpan w:val="5"/>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kern w:val="0"/>
                <w:sz w:val="18"/>
                <w:szCs w:val="18"/>
              </w:rPr>
              <w:t>指标得分=项目达标数/实施项目总数*100%*指标分值</w:t>
            </w:r>
          </w:p>
        </w:tc>
        <w:tc>
          <w:tcPr>
            <w:tcW w:w="1335"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质量达标率＞100时按100%计算，当质量达标率＜90%时，不得分。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788" w:type="pct"/>
            <w:gridSpan w:val="14"/>
            <w:vAlign w:val="center"/>
          </w:tcPr>
          <w:p>
            <w:pPr>
              <w:spacing w:line="276" w:lineRule="auto"/>
              <w:jc w:val="center"/>
              <w:rPr>
                <w:rFonts w:ascii="仿宋_GB2312" w:hAnsi="Arial Unicode MS" w:cs="Arial Unicode MS"/>
                <w:sz w:val="15"/>
                <w:szCs w:val="15"/>
              </w:rPr>
            </w:pPr>
            <w:r>
              <w:rPr>
                <w:rFonts w:hint="eastAsia" w:ascii="仿宋_GB2312" w:hAnsi="Arial Unicode MS" w:cs="Arial Unicode MS"/>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99</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- 1 -</w:t>
                </w:r>
                <w:r>
                  <w:rPr>
                    <w:b/>
                    <w:bCs/>
                    <w:sz w:val="18"/>
                    <w:szCs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4E17275B-413F-4D17-BBE3-DB48CA65C394}" w:val="KUr9E1jDwoctlTxO78vqBJIM23/+6g0CQSWey4p=PHafNzhkLRYZiAVun5bsmFdXG"/>
    <w:docVar w:name="commondata" w:val="eyJoZGlkIjoiZjJiYzRjZDg4ODIxMmZkMzVjYzYxNzIzMDEwYjJjY2IifQ=="/>
    <w:docVar w:name="DocumentID" w:val="{1D772963-EFAB-4E89-AE39-5AE735AB39C2}"/>
  </w:docVars>
  <w:rsids>
    <w:rsidRoot w:val="0B0634F0"/>
    <w:rsid w:val="000C7A4C"/>
    <w:rsid w:val="00160D49"/>
    <w:rsid w:val="00202291"/>
    <w:rsid w:val="00251634"/>
    <w:rsid w:val="0031566B"/>
    <w:rsid w:val="00377D6F"/>
    <w:rsid w:val="003B506F"/>
    <w:rsid w:val="0044282E"/>
    <w:rsid w:val="00520652"/>
    <w:rsid w:val="0064497B"/>
    <w:rsid w:val="00737FA6"/>
    <w:rsid w:val="00786FBF"/>
    <w:rsid w:val="0090525A"/>
    <w:rsid w:val="00AB366A"/>
    <w:rsid w:val="00C856F0"/>
    <w:rsid w:val="00CA0E01"/>
    <w:rsid w:val="00E30489"/>
    <w:rsid w:val="00EF3EB7"/>
    <w:rsid w:val="00F90448"/>
    <w:rsid w:val="0B0634F0"/>
    <w:rsid w:val="105354BF"/>
    <w:rsid w:val="1354359B"/>
    <w:rsid w:val="2101264B"/>
    <w:rsid w:val="3E0844C2"/>
    <w:rsid w:val="402D539C"/>
    <w:rsid w:val="58102D59"/>
    <w:rsid w:val="63335D92"/>
    <w:rsid w:val="6DED6A5F"/>
    <w:rsid w:val="6E881A5B"/>
    <w:rsid w:val="728F561F"/>
    <w:rsid w:val="75562450"/>
    <w:rsid w:val="7AE6216C"/>
    <w:rsid w:val="7B5D35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字符"/>
    <w:link w:val="3"/>
    <w:qFormat/>
    <w:uiPriority w:val="0"/>
    <w:rPr>
      <w:b/>
      <w:kern w:val="44"/>
      <w:sz w:val="44"/>
    </w:rPr>
  </w:style>
  <w:style w:type="character" w:customStyle="1" w:styleId="19">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698</Words>
  <Characters>3982</Characters>
  <Lines>33</Lines>
  <Paragraphs>9</Paragraphs>
  <TotalTime>9</TotalTime>
  <ScaleCrop>false</ScaleCrop>
  <LinksUpToDate>false</LinksUpToDate>
  <CharactersWithSpaces>4671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2023-11-28T06:50:50Z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