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公文小标宋"/>
          <w:spacing w:val="1"/>
          <w:sz w:val="36"/>
          <w:szCs w:val="36"/>
        </w:rPr>
      </w:pPr>
      <w:r>
        <w:rPr>
          <w:rFonts w:eastAsia="方正小标宋简体"/>
          <w:b/>
          <w:bCs/>
          <w:spacing w:val="1"/>
          <w:sz w:val="36"/>
          <w:szCs w:val="36"/>
        </w:rPr>
        <w:t>2022</w:t>
      </w:r>
      <w:r>
        <w:rPr>
          <w:rFonts w:eastAsia="方正小标宋简体"/>
          <w:spacing w:val="1"/>
          <w:sz w:val="36"/>
          <w:szCs w:val="36"/>
        </w:rPr>
        <w:t>年度植被恢复项目支出绩效自评报告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于2012年在国家互联网中心登记注册了特色产业国家域名电子商标：中国竹子之乡，这项荣誉是我县对外宣传的一张重要名片。“中国竹子之乡”国家域名电子商标于2022年9月28日到期，为防止抢注现象出现，2022年10月向政府申请解决“中国竹子之乡”国家域名续费费用，所需经费在我县2021年森林植被恢复费及省级分成项目支出资金中列支。</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项目实施的总体目标为：提升沐川县对外的美誉度、知名度，达到沐川独特品牌的塑造与传播。具体目标为：完成“中国竹子之乡”国家域名续费，使用年限10年，打造沐川的城市名片。</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根据《四川省财政厅 四川省林业和草原局关于下达2021年森林植被恢复费及省级分成项目支出资金预算的通知》(川财资环〔2022〕40号)，下达我县森林植被恢复费分成44.27万元，资金下达率100%。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沐川县林业局关于解决“中国竹子之乡”国家域名续费资金的请示》（沐林〔2022〕134号），向政府申请解决“中国竹子之乡”国家域名续费费用19200元，使用年限10年，所需经费在我县2021年森林植被恢复费及省级分成项目支出资金中列支，该请示得到同意批复。</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项目预算批复资金为44.27万元，资金实际支付为1.92万元，预算执行率4.34%，资金支付于品标网联（厦门）信息科技有限公司，用于“中国竹子之乡”国家域名续费。</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完成“中国竹子之乡”国家域名续费。</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1、数量指标：完成1个国家域名续费。</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2、质量指标：城市形象知名度提升率≥10%。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3、时效指标：使用年限为10年。</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4、成本指标：10年费用19200元。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5、满意度指标：市民满意度≥93%。</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“中国竹子之乡”是沐川个性特色的具体体现，国家域名电子商标的注册能够提升沐川的城市形象，扩大对外宣传能力，吸引更多的人发现并了解沐川，对旅游业的发展也有一定的促进作用。</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2022年度项目自评得分为95分，绩效目标与预算同步批复、同步公开。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附件：1.2022年度植被恢复项目绩效目标自评表</w:t>
      </w:r>
    </w:p>
    <w:p>
      <w:pPr>
        <w:pStyle w:val="11"/>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2.2022年度植被恢复项目支出绩效评价指标体系</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1" w:name="_GoBack"/>
      <w:bookmarkEnd w:id="1"/>
      <w:r>
        <w:rPr>
          <w:rFonts w:ascii="Times New Roman" w:hAnsi="Times New Roman" w:eastAsia="仿宋_GB2312" w:cs="Times New Roman"/>
          <w:sz w:val="32"/>
          <w:szCs w:val="32"/>
        </w:rPr>
        <w:t>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2022年度植被恢复项目绩效目标自评表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植被恢复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44.27</w:t>
            </w:r>
          </w:p>
        </w:tc>
        <w:tc>
          <w:tcPr>
            <w:tcW w:w="1421" w:type="pct"/>
            <w:gridSpan w:val="2"/>
            <w:vAlign w:val="center"/>
          </w:tcPr>
          <w:p>
            <w:pPr>
              <w:widowControl/>
              <w:spacing w:line="200" w:lineRule="exact"/>
              <w:jc w:val="center"/>
              <w:rPr>
                <w:color w:val="000000"/>
                <w:sz w:val="20"/>
                <w:szCs w:val="20"/>
              </w:rPr>
            </w:pPr>
            <w:r>
              <w:rPr>
                <w:color w:val="000000"/>
                <w:sz w:val="20"/>
                <w:szCs w:val="20"/>
              </w:rPr>
              <w:t>1.92</w:t>
            </w:r>
          </w:p>
        </w:tc>
        <w:tc>
          <w:tcPr>
            <w:tcW w:w="729" w:type="pct"/>
            <w:vAlign w:val="center"/>
          </w:tcPr>
          <w:p>
            <w:pPr>
              <w:widowControl/>
              <w:spacing w:line="200" w:lineRule="exact"/>
              <w:jc w:val="center"/>
              <w:rPr>
                <w:color w:val="000000"/>
                <w:sz w:val="20"/>
                <w:szCs w:val="20"/>
              </w:rPr>
            </w:pPr>
            <w:r>
              <w:rPr>
                <w:color w:val="000000"/>
                <w:sz w:val="20"/>
                <w:szCs w:val="20"/>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44.27</w:t>
            </w:r>
          </w:p>
        </w:tc>
        <w:tc>
          <w:tcPr>
            <w:tcW w:w="1421" w:type="pct"/>
            <w:gridSpan w:val="2"/>
            <w:vAlign w:val="center"/>
          </w:tcPr>
          <w:p>
            <w:pPr>
              <w:widowControl/>
              <w:spacing w:line="200" w:lineRule="exact"/>
              <w:jc w:val="center"/>
              <w:rPr>
                <w:color w:val="000000"/>
                <w:sz w:val="20"/>
                <w:szCs w:val="20"/>
              </w:rPr>
            </w:pPr>
            <w:r>
              <w:rPr>
                <w:color w:val="000000"/>
                <w:sz w:val="20"/>
                <w:szCs w:val="20"/>
              </w:rPr>
              <w:t>1.92</w:t>
            </w:r>
          </w:p>
        </w:tc>
        <w:tc>
          <w:tcPr>
            <w:tcW w:w="729" w:type="pct"/>
            <w:vAlign w:val="center"/>
          </w:tcPr>
          <w:p>
            <w:pPr>
              <w:widowControl/>
              <w:spacing w:line="200" w:lineRule="exact"/>
              <w:jc w:val="center"/>
              <w:rPr>
                <w:color w:val="000000"/>
                <w:sz w:val="20"/>
                <w:szCs w:val="20"/>
              </w:rPr>
            </w:pPr>
            <w:r>
              <w:rPr>
                <w:color w:val="000000"/>
                <w:sz w:val="20"/>
                <w:szCs w:val="20"/>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提升沐川县对外的美誉度、知名度，达到沐川独特品牌的塑造与传播。</w:t>
            </w:r>
          </w:p>
        </w:tc>
        <w:tc>
          <w:tcPr>
            <w:tcW w:w="2150" w:type="pct"/>
            <w:gridSpan w:val="3"/>
            <w:vAlign w:val="center"/>
          </w:tcPr>
          <w:p>
            <w:pPr>
              <w:widowControl/>
              <w:spacing w:line="200" w:lineRule="exact"/>
              <w:rPr>
                <w:color w:val="000000"/>
                <w:sz w:val="20"/>
                <w:szCs w:val="20"/>
              </w:rPr>
            </w:pPr>
            <w:r>
              <w:rPr>
                <w:color w:val="000000"/>
                <w:sz w:val="20"/>
                <w:szCs w:val="20"/>
              </w:rPr>
              <w:t>完成“中国竹子之乡”国家域名续费，提升沐川县对外的美誉度、知名度。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国家域名注册</w:t>
            </w:r>
          </w:p>
        </w:tc>
        <w:tc>
          <w:tcPr>
            <w:tcW w:w="704" w:type="pct"/>
            <w:vAlign w:val="center"/>
          </w:tcPr>
          <w:p>
            <w:pPr>
              <w:widowControl/>
              <w:spacing w:line="200" w:lineRule="exact"/>
              <w:jc w:val="center"/>
              <w:rPr>
                <w:color w:val="000000"/>
                <w:sz w:val="20"/>
                <w:szCs w:val="20"/>
              </w:rPr>
            </w:pPr>
            <w:r>
              <w:rPr>
                <w:color w:val="000000"/>
                <w:sz w:val="20"/>
                <w:szCs w:val="20"/>
              </w:rPr>
              <w:t>＝1个</w:t>
            </w:r>
          </w:p>
        </w:tc>
        <w:tc>
          <w:tcPr>
            <w:tcW w:w="716" w:type="pct"/>
            <w:vAlign w:val="center"/>
          </w:tcPr>
          <w:p>
            <w:pPr>
              <w:widowControl/>
              <w:spacing w:line="200" w:lineRule="exact"/>
              <w:jc w:val="center"/>
              <w:rPr>
                <w:color w:val="000000"/>
                <w:sz w:val="20"/>
                <w:szCs w:val="20"/>
              </w:rPr>
            </w:pPr>
            <w:r>
              <w:rPr>
                <w:color w:val="000000"/>
                <w:sz w:val="20"/>
                <w:szCs w:val="20"/>
              </w:rPr>
              <w:t>=1个</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城市形象知名度提升率</w:t>
            </w:r>
          </w:p>
        </w:tc>
        <w:tc>
          <w:tcPr>
            <w:tcW w:w="704" w:type="pct"/>
            <w:vAlign w:val="center"/>
          </w:tcPr>
          <w:p>
            <w:pPr>
              <w:widowControl/>
              <w:spacing w:line="200" w:lineRule="exact"/>
              <w:jc w:val="center"/>
              <w:rPr>
                <w:color w:val="000000"/>
                <w:sz w:val="20"/>
                <w:szCs w:val="20"/>
              </w:rPr>
            </w:pPr>
            <w:r>
              <w:rPr>
                <w:color w:val="000000"/>
                <w:sz w:val="20"/>
                <w:szCs w:val="20"/>
              </w:rPr>
              <w:t>≥10%</w:t>
            </w:r>
          </w:p>
        </w:tc>
        <w:tc>
          <w:tcPr>
            <w:tcW w:w="716" w:type="pct"/>
            <w:vAlign w:val="center"/>
          </w:tcPr>
          <w:p>
            <w:pPr>
              <w:widowControl/>
              <w:spacing w:line="200" w:lineRule="exact"/>
              <w:jc w:val="center"/>
              <w:rPr>
                <w:color w:val="000000"/>
                <w:sz w:val="20"/>
                <w:szCs w:val="20"/>
              </w:rPr>
            </w:pPr>
            <w:r>
              <w:rPr>
                <w:color w:val="000000"/>
                <w:sz w:val="20"/>
                <w:szCs w:val="20"/>
              </w:rPr>
              <w:t>≥10%。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使用年限</w:t>
            </w:r>
          </w:p>
        </w:tc>
        <w:tc>
          <w:tcPr>
            <w:tcW w:w="704" w:type="pct"/>
            <w:vAlign w:val="center"/>
          </w:tcPr>
          <w:p>
            <w:pPr>
              <w:widowControl/>
              <w:spacing w:line="200" w:lineRule="exact"/>
              <w:jc w:val="center"/>
              <w:rPr>
                <w:color w:val="000000"/>
                <w:sz w:val="20"/>
                <w:szCs w:val="20"/>
              </w:rPr>
            </w:pPr>
            <w:r>
              <w:rPr>
                <w:color w:val="000000"/>
                <w:sz w:val="20"/>
                <w:szCs w:val="20"/>
              </w:rPr>
              <w:t>10年</w:t>
            </w:r>
          </w:p>
        </w:tc>
        <w:tc>
          <w:tcPr>
            <w:tcW w:w="716" w:type="pct"/>
            <w:vAlign w:val="center"/>
          </w:tcPr>
          <w:p>
            <w:pPr>
              <w:widowControl/>
              <w:spacing w:line="200" w:lineRule="exact"/>
              <w:jc w:val="center"/>
              <w:rPr>
                <w:color w:val="000000"/>
                <w:sz w:val="20"/>
                <w:szCs w:val="20"/>
              </w:rPr>
            </w:pPr>
            <w:r>
              <w:rPr>
                <w:color w:val="000000"/>
                <w:sz w:val="20"/>
                <w:szCs w:val="20"/>
              </w:rPr>
              <w:t>10年</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合同费用</w:t>
            </w:r>
          </w:p>
        </w:tc>
        <w:tc>
          <w:tcPr>
            <w:tcW w:w="704" w:type="pct"/>
            <w:vAlign w:val="center"/>
          </w:tcPr>
          <w:p>
            <w:pPr>
              <w:widowControl/>
              <w:spacing w:line="200" w:lineRule="exact"/>
              <w:jc w:val="center"/>
              <w:rPr>
                <w:color w:val="000000"/>
                <w:sz w:val="20"/>
                <w:szCs w:val="20"/>
              </w:rPr>
            </w:pPr>
            <w:r>
              <w:rPr>
                <w:color w:val="000000"/>
                <w:sz w:val="20"/>
                <w:szCs w:val="20"/>
              </w:rPr>
              <w:t>＝19200元</w:t>
            </w:r>
          </w:p>
        </w:tc>
        <w:tc>
          <w:tcPr>
            <w:tcW w:w="716" w:type="pct"/>
            <w:vAlign w:val="center"/>
          </w:tcPr>
          <w:p>
            <w:pPr>
              <w:widowControl/>
              <w:spacing w:line="200" w:lineRule="exact"/>
              <w:jc w:val="center"/>
              <w:rPr>
                <w:color w:val="000000"/>
                <w:sz w:val="20"/>
                <w:szCs w:val="20"/>
              </w:rPr>
            </w:pPr>
            <w:r>
              <w:rPr>
                <w:color w:val="000000"/>
                <w:sz w:val="20"/>
                <w:szCs w:val="20"/>
              </w:rPr>
              <w:t>＝19200元</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扩大宣传力度</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市民满意度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≥93%</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2022年度植被恢复项目支出绩效评价指标体系</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634"/>
        <w:gridCol w:w="768"/>
        <w:gridCol w:w="1318"/>
        <w:gridCol w:w="1177"/>
        <w:gridCol w:w="1480"/>
        <w:gridCol w:w="1246"/>
        <w:gridCol w:w="781"/>
        <w:gridCol w:w="584"/>
        <w:gridCol w:w="506"/>
        <w:gridCol w:w="625"/>
        <w:gridCol w:w="631"/>
        <w:gridCol w:w="4178"/>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74"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7"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76" w:type="pct"/>
            <w:vMerge w:val="continue"/>
            <w:vAlign w:val="center"/>
          </w:tcPr>
          <w:p>
            <w:pPr>
              <w:spacing w:line="400" w:lineRule="exact"/>
              <w:jc w:val="center"/>
              <w:rPr>
                <w:rFonts w:ascii="仿宋_GB2312" w:hAnsi="Arial Unicode MS" w:cs="Arial Unicode MS"/>
                <w:kern w:val="0"/>
                <w:sz w:val="18"/>
                <w:szCs w:val="18"/>
              </w:rPr>
            </w:pPr>
          </w:p>
        </w:tc>
        <w:tc>
          <w:tcPr>
            <w:tcW w:w="474"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7"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bookmarkStart w:id="0" w:name="OLE_LINK1" w:colFirst="13" w:colLast="14"/>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设备购置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运行状况</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购置的设备常态化运行情况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重点查看购置设备日常使用频率及正常运转情况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ind w:firstLine="180" w:firstLineChars="100"/>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知名度提升</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知名度提升情况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项目实施后对沐川知名度的提升情况。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789" w:type="pct"/>
            <w:gridSpan w:val="14"/>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95</w:t>
            </w:r>
          </w:p>
        </w:tc>
      </w:tr>
      <w:bookmarkEnd w:id="0"/>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b/>
                              <w:bCs/>
                            </w:rPr>
                          </w:pPr>
                          <w:r>
                            <w:rPr>
                              <w:b/>
                              <w:bCs/>
                            </w:rPr>
                            <w:fldChar w:fldCharType="begin"/>
                          </w:r>
                          <w:r>
                            <w:rPr>
                              <w:b/>
                              <w:bCs/>
                            </w:rPr>
                            <w:instrText xml:space="preserve"> PAGE  \* MERGEFORMAT </w:instrText>
                          </w:r>
                          <w:r>
                            <w:rPr>
                              <w:b/>
                              <w:bCs/>
                            </w:rPr>
                            <w:fldChar w:fldCharType="separate"/>
                          </w:r>
                          <w:r>
                            <w:rPr>
                              <w:b/>
                              <w:bCs/>
                            </w:rPr>
                            <w:t>1</w:t>
                          </w:r>
                          <w:r>
                            <w:rPr>
                              <w:b/>
                              <w:bC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rPr>
                        <w:b/>
                        <w:bCs/>
                      </w:rPr>
                    </w:pPr>
                    <w:r>
                      <w:rPr>
                        <w:b/>
                        <w:bCs/>
                      </w:rPr>
                      <w:fldChar w:fldCharType="begin"/>
                    </w:r>
                    <w:r>
                      <w:rPr>
                        <w:b/>
                        <w:bCs/>
                      </w:rPr>
                      <w:instrText xml:space="preserve"> PAGE  \* MERGEFORMAT </w:instrText>
                    </w:r>
                    <w:r>
                      <w:rPr>
                        <w:b/>
                        <w:bCs/>
                      </w:rPr>
                      <w:fldChar w:fldCharType="separate"/>
                    </w:r>
                    <w:r>
                      <w:rPr>
                        <w:b/>
                        <w:bCs/>
                      </w:rPr>
                      <w:t>1</w:t>
                    </w:r>
                    <w:r>
                      <w:rPr>
                        <w:b/>
                        <w:bCs/>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D226EA5-9FFF-4EDD-B1A9-0FD7DAAFA930}" w:val="KUr9E1jDwoctlTxO78vqBJIM23/+6g0CQSWey4p=PHafNzhkLRYZiAVun5bsmFdXG"/>
    <w:docVar w:name="commondata" w:val="eyJoZGlkIjoiZjJiYzRjZDg4ODIxMmZkMzVjYzYxNzIzMDEwYjJjY2IifQ=="/>
    <w:docVar w:name="DocumentID" w:val="{95CD3CD6-7E8F-4D61-8E53-2FCD8E8D8031}"/>
  </w:docVars>
  <w:rsids>
    <w:rsidRoot w:val="0B0634F0"/>
    <w:rsid w:val="00122C63"/>
    <w:rsid w:val="003B7C79"/>
    <w:rsid w:val="00447D9A"/>
    <w:rsid w:val="004E11C8"/>
    <w:rsid w:val="00785146"/>
    <w:rsid w:val="009E7D34"/>
    <w:rsid w:val="009F5C93"/>
    <w:rsid w:val="00A26CB4"/>
    <w:rsid w:val="00A93D23"/>
    <w:rsid w:val="00B45C15"/>
    <w:rsid w:val="00D56F70"/>
    <w:rsid w:val="00F901F6"/>
    <w:rsid w:val="0890362F"/>
    <w:rsid w:val="0B0634F0"/>
    <w:rsid w:val="10F772D2"/>
    <w:rsid w:val="2101264B"/>
    <w:rsid w:val="2609055C"/>
    <w:rsid w:val="2BEF00BA"/>
    <w:rsid w:val="3E0844C2"/>
    <w:rsid w:val="402D539C"/>
    <w:rsid w:val="4BFB31A2"/>
    <w:rsid w:val="4FBB1C67"/>
    <w:rsid w:val="58102D59"/>
    <w:rsid w:val="5F021EAC"/>
    <w:rsid w:val="63335D92"/>
    <w:rsid w:val="6DED6A5F"/>
    <w:rsid w:val="6E881A5B"/>
    <w:rsid w:val="75562450"/>
    <w:rsid w:val="7E7350C4"/>
    <w:rsid w:val="7FB21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560</Words>
  <Characters>3192</Characters>
  <Lines>26</Lines>
  <Paragraphs>7</Paragraphs>
  <TotalTime>5</TotalTime>
  <ScaleCrop>false</ScaleCrop>
  <LinksUpToDate>false</LinksUpToDate>
  <CharactersWithSpaces>3745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2023-11-28T06:53:02Z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