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insoku w:val="0"/>
        <w:overflowPunct w:val="0"/>
        <w:spacing w:line="700" w:lineRule="exact"/>
        <w:jc w:val="center"/>
        <w:rPr>
          <w:rFonts w:eastAsia="方正小标宋简体"/>
          <w:spacing w:val="1"/>
          <w:sz w:val="36"/>
          <w:szCs w:val="36"/>
        </w:rPr>
      </w:pPr>
      <w:r>
        <w:rPr>
          <w:rFonts w:eastAsia="方正小标宋简体"/>
          <w:spacing w:val="1"/>
          <w:sz w:val="36"/>
          <w:szCs w:val="36"/>
        </w:rPr>
        <w:t>沐川县林业局</w:t>
      </w:r>
    </w:p>
    <w:p>
      <w:pPr>
        <w:kinsoku w:val="0"/>
        <w:overflowPunct w:val="0"/>
        <w:spacing w:line="700" w:lineRule="exact"/>
        <w:jc w:val="center"/>
        <w:rPr>
          <w:rFonts w:eastAsia="方正小标宋简体"/>
          <w:spacing w:val="1"/>
          <w:sz w:val="36"/>
          <w:szCs w:val="36"/>
        </w:rPr>
      </w:pPr>
      <w:r>
        <w:rPr>
          <w:rFonts w:eastAsia="方正小标宋简体"/>
          <w:b/>
          <w:bCs/>
          <w:spacing w:val="1"/>
          <w:sz w:val="36"/>
          <w:szCs w:val="36"/>
        </w:rPr>
        <w:t>2022</w:t>
      </w:r>
      <w:r>
        <w:rPr>
          <w:rFonts w:eastAsia="方正小标宋简体"/>
          <w:spacing w:val="1"/>
          <w:sz w:val="36"/>
          <w:szCs w:val="36"/>
        </w:rPr>
        <w:t>年度沐川县自然保护地综合管理能力提升</w:t>
      </w:r>
    </w:p>
    <w:p>
      <w:pPr>
        <w:kinsoku w:val="0"/>
        <w:overflowPunct w:val="0"/>
        <w:spacing w:line="700" w:lineRule="exact"/>
        <w:jc w:val="center"/>
        <w:rPr>
          <w:rFonts w:eastAsia="方正公文小标宋"/>
          <w:spacing w:val="1"/>
          <w:sz w:val="36"/>
          <w:szCs w:val="36"/>
        </w:rPr>
      </w:pPr>
      <w:r>
        <w:rPr>
          <w:rFonts w:eastAsia="方正小标宋简体"/>
          <w:spacing w:val="1"/>
          <w:sz w:val="36"/>
          <w:szCs w:val="36"/>
        </w:rPr>
        <w:t>项目支出绩效自评报告</w:t>
      </w:r>
    </w:p>
    <w:p>
      <w:pPr>
        <w:pStyle w:val="3"/>
        <w:spacing w:before="0" w:after="0" w:line="360" w:lineRule="auto"/>
        <w:rPr>
          <w:rFonts w:eastAsia="黑体"/>
          <w:sz w:val="32"/>
        </w:rPr>
      </w:pPr>
      <w:r>
        <w:rPr>
          <w:rFonts w:eastAsia="黑体"/>
          <w:sz w:val="32"/>
        </w:rPr>
        <w:t>一、项目基本情况</w:t>
      </w:r>
    </w:p>
    <w:p>
      <w:pPr>
        <w:pStyle w:val="4"/>
        <w:spacing w:before="0" w:after="0" w:line="360" w:lineRule="auto"/>
        <w:rPr>
          <w:rFonts w:ascii="Times New Roman" w:hAnsi="Times New Roman" w:eastAsia="楷体"/>
          <w:b w:val="0"/>
          <w:bCs/>
        </w:rPr>
      </w:pPr>
      <w:r>
        <w:rPr>
          <w:rFonts w:ascii="Times New Roman" w:hAnsi="Times New Roman" w:eastAsia="楷体"/>
          <w:b w:val="0"/>
          <w:bCs/>
        </w:rPr>
        <w:t>（一）绩效目标情况</w:t>
      </w:r>
    </w:p>
    <w:p>
      <w:pPr>
        <w:spacing w:line="360" w:lineRule="auto"/>
        <w:ind w:firstLine="640" w:firstLineChars="200"/>
      </w:pPr>
      <w:r>
        <w:t>项目具体目标为：提升自然保护地综合管理能力。</w:t>
      </w:r>
    </w:p>
    <w:p>
      <w:pPr>
        <w:pStyle w:val="4"/>
        <w:spacing w:before="0" w:after="0" w:line="360" w:lineRule="auto"/>
        <w:rPr>
          <w:rFonts w:ascii="Times New Roman" w:hAnsi="Times New Roman" w:eastAsia="楷体"/>
          <w:b w:val="0"/>
          <w:bCs/>
        </w:rPr>
      </w:pPr>
      <w:r>
        <w:rPr>
          <w:rFonts w:ascii="Times New Roman" w:hAnsi="Times New Roman" w:eastAsia="楷体"/>
          <w:b w:val="0"/>
          <w:bCs/>
        </w:rPr>
        <w:t>（二）资金安排情况</w:t>
      </w:r>
    </w:p>
    <w:p>
      <w:pPr>
        <w:spacing w:line="360" w:lineRule="auto"/>
        <w:ind w:firstLine="640" w:firstLineChars="200"/>
      </w:pPr>
      <w:r>
        <w:t>2022年下达资金预算批复390万元。</w:t>
      </w:r>
    </w:p>
    <w:p>
      <w:pPr>
        <w:pStyle w:val="3"/>
        <w:spacing w:before="0" w:after="0" w:line="360" w:lineRule="auto"/>
        <w:rPr>
          <w:rFonts w:eastAsia="黑体"/>
          <w:sz w:val="32"/>
        </w:rPr>
      </w:pPr>
      <w:r>
        <w:rPr>
          <w:rFonts w:eastAsia="黑体"/>
          <w:sz w:val="32"/>
        </w:rPr>
        <w:t>二、绩效目标完成情况分析</w:t>
      </w:r>
    </w:p>
    <w:p>
      <w:pPr>
        <w:pStyle w:val="4"/>
        <w:spacing w:before="0" w:after="0" w:line="360" w:lineRule="auto"/>
        <w:rPr>
          <w:rFonts w:ascii="Times New Roman" w:hAnsi="Times New Roman" w:eastAsia="楷体"/>
          <w:b w:val="0"/>
          <w:bCs/>
        </w:rPr>
      </w:pPr>
      <w:r>
        <w:rPr>
          <w:rFonts w:ascii="Times New Roman" w:hAnsi="Times New Roman" w:eastAsia="楷体"/>
          <w:b w:val="0"/>
          <w:bCs/>
        </w:rPr>
        <w:t>（一）预算执行进度情况分析</w:t>
      </w:r>
    </w:p>
    <w:p>
      <w:pPr>
        <w:spacing w:line="360" w:lineRule="auto"/>
        <w:ind w:firstLine="640" w:firstLineChars="200"/>
      </w:pPr>
      <w:r>
        <w:t>项目预算批复资金为390万元，资金实际支付为0万元，预算执行率0%，资金正处于兑付阶段。</w:t>
      </w:r>
    </w:p>
    <w:p>
      <w:pPr>
        <w:pStyle w:val="4"/>
        <w:spacing w:before="0" w:after="0" w:line="360" w:lineRule="auto"/>
        <w:rPr>
          <w:rFonts w:ascii="Times New Roman" w:hAnsi="Times New Roman" w:eastAsia="楷体"/>
          <w:b w:val="0"/>
          <w:bCs/>
        </w:rPr>
      </w:pPr>
      <w:r>
        <w:rPr>
          <w:rFonts w:ascii="Times New Roman" w:hAnsi="Times New Roman" w:eastAsia="楷体"/>
          <w:b w:val="0"/>
          <w:bCs/>
        </w:rPr>
        <w:t>（二）总体绩效目标完成情况分析</w:t>
      </w:r>
    </w:p>
    <w:p>
      <w:pPr>
        <w:spacing w:line="360" w:lineRule="auto"/>
        <w:ind w:firstLine="640" w:firstLineChars="200"/>
      </w:pPr>
      <w:r>
        <w:t>完成自然保护地综合管理能力的提升。</w:t>
      </w:r>
    </w:p>
    <w:p>
      <w:pPr>
        <w:pStyle w:val="4"/>
        <w:spacing w:before="0" w:after="0" w:line="360" w:lineRule="auto"/>
        <w:rPr>
          <w:rFonts w:ascii="Times New Roman" w:hAnsi="Times New Roman" w:eastAsia="楷体"/>
          <w:b w:val="0"/>
          <w:bCs/>
        </w:rPr>
      </w:pPr>
      <w:r>
        <w:rPr>
          <w:rFonts w:ascii="Times New Roman" w:hAnsi="Times New Roman" w:eastAsia="楷体"/>
          <w:b w:val="0"/>
          <w:bCs/>
        </w:rPr>
        <w:t>（三）绩效指标完成情况分析</w:t>
      </w:r>
    </w:p>
    <w:p>
      <w:pPr>
        <w:spacing w:line="360" w:lineRule="auto"/>
        <w:ind w:firstLine="640" w:firstLineChars="200"/>
      </w:pPr>
      <w:r>
        <w:t>绩效指标基本完成，完成了自然保护地综合管理能力的提升。</w:t>
      </w:r>
    </w:p>
    <w:p>
      <w:pPr>
        <w:pStyle w:val="4"/>
        <w:spacing w:before="0" w:after="0" w:line="360" w:lineRule="auto"/>
        <w:rPr>
          <w:rFonts w:ascii="Times New Roman" w:hAnsi="Times New Roman" w:eastAsia="楷体"/>
          <w:b w:val="0"/>
          <w:bCs/>
        </w:rPr>
      </w:pPr>
      <w:r>
        <w:rPr>
          <w:rFonts w:ascii="Times New Roman" w:hAnsi="Times New Roman" w:eastAsia="楷体"/>
          <w:b w:val="0"/>
          <w:bCs/>
        </w:rPr>
        <w:t>（四）项目效益分析</w:t>
      </w:r>
    </w:p>
    <w:p>
      <w:pPr>
        <w:spacing w:line="360" w:lineRule="auto"/>
        <w:ind w:firstLine="640" w:firstLineChars="200"/>
      </w:pPr>
      <w:r>
        <w:t>自然保护地建设和管理能力得到提高，充分发挥国家级自然保护区在自然资源和生态环境保护方面的积极作用。</w:t>
      </w:r>
    </w:p>
    <w:p>
      <w:pPr>
        <w:pStyle w:val="3"/>
        <w:spacing w:before="0" w:after="0" w:line="360" w:lineRule="auto"/>
        <w:rPr>
          <w:rFonts w:eastAsia="黑体"/>
          <w:sz w:val="32"/>
        </w:rPr>
      </w:pPr>
      <w:r>
        <w:rPr>
          <w:rFonts w:eastAsia="黑体"/>
          <w:sz w:val="32"/>
        </w:rPr>
        <w:t>三、偏离绩效目标的原因和下一步改进措施</w:t>
      </w:r>
    </w:p>
    <w:p>
      <w:pPr>
        <w:spacing w:line="360" w:lineRule="auto"/>
        <w:ind w:firstLine="640" w:firstLineChars="200"/>
      </w:pPr>
      <w:r>
        <w:t>资金正处于兑现阶段，下一步：加快资金拨付进度。</w:t>
      </w:r>
    </w:p>
    <w:p>
      <w:pPr>
        <w:pStyle w:val="3"/>
        <w:spacing w:before="0" w:after="0" w:line="360" w:lineRule="auto"/>
        <w:rPr>
          <w:rFonts w:eastAsia="黑体"/>
          <w:sz w:val="32"/>
        </w:rPr>
      </w:pPr>
      <w:r>
        <w:rPr>
          <w:rFonts w:eastAsia="黑体"/>
          <w:sz w:val="32"/>
        </w:rPr>
        <w:t>四、绩效自评结果拟应用和公开情况</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2022年度项目自评得分为94分，绩效目标与预算同步批复、同步公开。</w:t>
      </w:r>
    </w:p>
    <w:p>
      <w:pPr>
        <w:pStyle w:val="3"/>
        <w:spacing w:before="0" w:after="0" w:line="360" w:lineRule="auto"/>
        <w:rPr>
          <w:rFonts w:eastAsia="黑体"/>
          <w:sz w:val="32"/>
        </w:rPr>
      </w:pPr>
      <w:r>
        <w:rPr>
          <w:rFonts w:eastAsia="黑体"/>
          <w:sz w:val="32"/>
        </w:rPr>
        <w:t>五、其他需要说明的问题</w:t>
      </w:r>
    </w:p>
    <w:p>
      <w:pPr>
        <w:pStyle w:val="11"/>
        <w:spacing w:line="360" w:lineRule="auto"/>
        <w:ind w:firstLine="640" w:firstLineChars="200"/>
        <w:rPr>
          <w:rFonts w:ascii="Times New Roman" w:hAnsi="Times New Roman" w:eastAsia="仿宋_GB2312" w:cs="Times New Roman"/>
          <w:b/>
          <w:bCs/>
          <w:sz w:val="32"/>
          <w:szCs w:val="32"/>
        </w:rPr>
      </w:pPr>
      <w:r>
        <w:rPr>
          <w:rFonts w:ascii="Times New Roman" w:hAnsi="Times New Roman" w:eastAsia="仿宋_GB2312" w:cs="Times New Roman"/>
          <w:sz w:val="32"/>
          <w:szCs w:val="32"/>
        </w:rPr>
        <w:t>无</w:t>
      </w:r>
    </w:p>
    <w:p>
      <w:pPr>
        <w:pStyle w:val="11"/>
        <w:spacing w:line="360" w:lineRule="auto"/>
        <w:ind w:firstLine="643" w:firstLineChars="200"/>
        <w:rPr>
          <w:rFonts w:ascii="Times New Roman" w:hAnsi="Times New Roman" w:eastAsia="仿宋_GB2312" w:cs="Times New Roman"/>
          <w:b/>
          <w:bCs/>
          <w:sz w:val="32"/>
          <w:szCs w:val="32"/>
        </w:rPr>
      </w:pPr>
    </w:p>
    <w:p>
      <w:pPr>
        <w:pStyle w:val="11"/>
        <w:spacing w:line="360" w:lineRule="auto"/>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附件：</w:t>
      </w:r>
    </w:p>
    <w:p>
      <w:pPr>
        <w:pStyle w:val="11"/>
        <w:spacing w:line="360" w:lineRule="auto"/>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1.2022年度自然保护地综合管理能力提升项目绩效目标自评表</w:t>
      </w:r>
    </w:p>
    <w:p>
      <w:pPr>
        <w:pStyle w:val="11"/>
        <w:spacing w:line="360" w:lineRule="auto"/>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2.2022年度自然保护地综合管理能力提升项目支出绩效评价</w:t>
      </w:r>
      <w:r>
        <w:rPr>
          <w:rFonts w:hint="eastAsia" w:ascii="Times New Roman" w:hAnsi="Times New Roman" w:eastAsia="仿宋_GB2312" w:cs="Times New Roman"/>
          <w:b/>
          <w:bCs/>
          <w:sz w:val="32"/>
          <w:szCs w:val="32"/>
        </w:rPr>
        <w:t>自评得分表</w:t>
      </w:r>
    </w:p>
    <w:p>
      <w:pPr>
        <w:pStyle w:val="11"/>
        <w:spacing w:line="360" w:lineRule="auto"/>
        <w:ind w:right="320" w:firstLine="1600" w:firstLineChars="500"/>
        <w:jc w:val="right"/>
        <w:rPr>
          <w:rFonts w:ascii="Times New Roman" w:hAnsi="Times New Roman" w:eastAsia="仿宋_GB2312" w:cs="Times New Roman"/>
          <w:sz w:val="32"/>
          <w:szCs w:val="32"/>
        </w:rPr>
      </w:pPr>
    </w:p>
    <w:p>
      <w:pPr>
        <w:pStyle w:val="11"/>
        <w:spacing w:line="360" w:lineRule="auto"/>
        <w:ind w:right="320" w:firstLine="1600" w:firstLineChars="5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沐川县</w:t>
      </w:r>
      <w:bookmarkStart w:id="0" w:name="_GoBack"/>
      <w:bookmarkEnd w:id="0"/>
      <w:r>
        <w:rPr>
          <w:rFonts w:ascii="Times New Roman" w:hAnsi="Times New Roman" w:eastAsia="仿宋_GB2312" w:cs="Times New Roman"/>
          <w:sz w:val="32"/>
          <w:szCs w:val="32"/>
        </w:rPr>
        <w:t>林业局</w:t>
      </w:r>
    </w:p>
    <w:p>
      <w:pPr>
        <w:pStyle w:val="11"/>
        <w:spacing w:line="360" w:lineRule="auto"/>
        <w:ind w:firstLine="1600" w:firstLineChars="5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2023年7月12日</w:t>
      </w:r>
    </w:p>
    <w:p>
      <w:pPr>
        <w:widowControl/>
        <w:jc w:val="left"/>
        <w:rPr>
          <w:b/>
          <w:kern w:val="44"/>
          <w:sz w:val="44"/>
        </w:rPr>
      </w:pPr>
      <w:r>
        <w:br w:type="page"/>
      </w:r>
    </w:p>
    <w:p>
      <w:pPr>
        <w:pStyle w:val="3"/>
        <w:spacing w:before="0" w:after="0" w:line="360" w:lineRule="auto"/>
        <w:rPr>
          <w:rFonts w:eastAsia="黑体"/>
          <w:sz w:val="32"/>
        </w:rPr>
      </w:pPr>
      <w:r>
        <w:rPr>
          <w:rFonts w:eastAsia="黑体"/>
          <w:sz w:val="32"/>
        </w:rPr>
        <w:t>附件1</w:t>
      </w:r>
    </w:p>
    <w:p>
      <w:pPr>
        <w:jc w:val="center"/>
        <w:rPr>
          <w:rFonts w:eastAsia="方正公文楷体"/>
          <w:sz w:val="24"/>
          <w:szCs w:val="24"/>
        </w:rPr>
      </w:pPr>
      <w:r>
        <w:rPr>
          <w:rFonts w:eastAsia="方正公文楷体"/>
          <w:color w:val="000000"/>
          <w:kern w:val="0"/>
          <w:sz w:val="24"/>
          <w:szCs w:val="24"/>
        </w:rPr>
        <w:t>2022年度自然保护地综合管理能力提升建设项目绩效目标自评表</w:t>
      </w:r>
    </w:p>
    <w:tbl>
      <w:tblPr>
        <w:tblStyle w:val="1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6"/>
        <w:gridCol w:w="496"/>
        <w:gridCol w:w="1130"/>
        <w:gridCol w:w="1381"/>
        <w:gridCol w:w="1133"/>
        <w:gridCol w:w="1200"/>
        <w:gridCol w:w="1222"/>
        <w:gridCol w:w="12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5000" w:type="pct"/>
            <w:gridSpan w:val="8"/>
          </w:tcPr>
          <w:p>
            <w:pPr>
              <w:widowControl/>
              <w:spacing w:line="320" w:lineRule="exact"/>
              <w:jc w:val="center"/>
              <w:textAlignment w:val="top"/>
              <w:rPr>
                <w:rFonts w:eastAsia="宋体"/>
                <w:color w:val="000000"/>
                <w:sz w:val="22"/>
                <w:szCs w:val="22"/>
              </w:rPr>
            </w:pPr>
            <w:r>
              <w:rPr>
                <w:rFonts w:eastAsia="宋体"/>
                <w:color w:val="000000"/>
                <w:kern w:val="0"/>
                <w:sz w:val="22"/>
                <w:szCs w:val="22"/>
              </w:rPr>
              <w:t>（2022年度）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Align w:val="center"/>
          </w:tcPr>
          <w:p>
            <w:pPr>
              <w:widowControl/>
              <w:spacing w:line="200" w:lineRule="exact"/>
              <w:jc w:val="center"/>
              <w:textAlignment w:val="center"/>
              <w:rPr>
                <w:color w:val="000000"/>
                <w:sz w:val="20"/>
                <w:szCs w:val="20"/>
              </w:rPr>
            </w:pPr>
            <w:r>
              <w:rPr>
                <w:color w:val="000000"/>
                <w:kern w:val="0"/>
                <w:sz w:val="20"/>
                <w:szCs w:val="20"/>
              </w:rPr>
              <w:t>项目（政策）名称</w:t>
            </w:r>
          </w:p>
        </w:tc>
        <w:tc>
          <w:tcPr>
            <w:tcW w:w="3625" w:type="pct"/>
            <w:gridSpan w:val="5"/>
            <w:vAlign w:val="center"/>
          </w:tcPr>
          <w:p>
            <w:pPr>
              <w:widowControl/>
              <w:spacing w:line="200" w:lineRule="exact"/>
              <w:jc w:val="center"/>
              <w:rPr>
                <w:color w:val="000000"/>
                <w:sz w:val="20"/>
                <w:szCs w:val="20"/>
              </w:rPr>
            </w:pPr>
            <w:r>
              <w:rPr>
                <w:color w:val="000000"/>
                <w:sz w:val="20"/>
                <w:szCs w:val="20"/>
              </w:rPr>
              <w:t>自然保护地综合管理能力提升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Align w:val="center"/>
          </w:tcPr>
          <w:p>
            <w:pPr>
              <w:widowControl/>
              <w:spacing w:line="200" w:lineRule="exact"/>
              <w:jc w:val="center"/>
              <w:textAlignment w:val="center"/>
              <w:rPr>
                <w:color w:val="000000"/>
                <w:sz w:val="20"/>
                <w:szCs w:val="20"/>
              </w:rPr>
            </w:pPr>
            <w:r>
              <w:rPr>
                <w:color w:val="000000"/>
                <w:kern w:val="0"/>
                <w:sz w:val="20"/>
                <w:szCs w:val="20"/>
              </w:rPr>
              <w:t>项目主管部门</w:t>
            </w:r>
          </w:p>
        </w:tc>
        <w:tc>
          <w:tcPr>
            <w:tcW w:w="1475" w:type="pct"/>
            <w:gridSpan w:val="2"/>
            <w:vAlign w:val="center"/>
          </w:tcPr>
          <w:p>
            <w:pPr>
              <w:widowControl/>
              <w:spacing w:line="200" w:lineRule="exact"/>
              <w:jc w:val="center"/>
              <w:rPr>
                <w:color w:val="000000"/>
                <w:sz w:val="20"/>
                <w:szCs w:val="20"/>
              </w:rPr>
            </w:pPr>
            <w:r>
              <w:rPr>
                <w:color w:val="000000"/>
                <w:sz w:val="20"/>
                <w:szCs w:val="20"/>
              </w:rPr>
              <w:t>林业局</w:t>
            </w:r>
          </w:p>
        </w:tc>
        <w:tc>
          <w:tcPr>
            <w:tcW w:w="704" w:type="pct"/>
            <w:vAlign w:val="center"/>
          </w:tcPr>
          <w:p>
            <w:pPr>
              <w:widowControl/>
              <w:spacing w:line="200" w:lineRule="exact"/>
              <w:jc w:val="center"/>
              <w:textAlignment w:val="center"/>
              <w:rPr>
                <w:color w:val="000000"/>
                <w:kern w:val="0"/>
                <w:sz w:val="20"/>
                <w:szCs w:val="20"/>
              </w:rPr>
            </w:pPr>
            <w:r>
              <w:rPr>
                <w:color w:val="000000"/>
                <w:kern w:val="0"/>
                <w:sz w:val="20"/>
                <w:szCs w:val="20"/>
              </w:rPr>
              <w:t>资金使用单位</w:t>
            </w:r>
          </w:p>
        </w:tc>
        <w:tc>
          <w:tcPr>
            <w:tcW w:w="1446" w:type="pct"/>
            <w:gridSpan w:val="2"/>
            <w:vAlign w:val="center"/>
          </w:tcPr>
          <w:p>
            <w:pPr>
              <w:widowControl/>
              <w:spacing w:line="200" w:lineRule="exact"/>
              <w:jc w:val="center"/>
              <w:rPr>
                <w:color w:val="000000"/>
                <w:sz w:val="20"/>
                <w:szCs w:val="20"/>
              </w:rPr>
            </w:pPr>
            <w:r>
              <w:rPr>
                <w:color w:val="000000"/>
                <w:sz w:val="20"/>
                <w:szCs w:val="20"/>
              </w:rPr>
              <w:t>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项目资金</w:t>
            </w:r>
          </w:p>
          <w:p>
            <w:pPr>
              <w:widowControl/>
              <w:spacing w:line="200" w:lineRule="exact"/>
              <w:jc w:val="center"/>
              <w:textAlignment w:val="center"/>
              <w:rPr>
                <w:color w:val="000000"/>
                <w:sz w:val="20"/>
                <w:szCs w:val="20"/>
              </w:rPr>
            </w:pPr>
            <w:r>
              <w:rPr>
                <w:color w:val="000000"/>
                <w:kern w:val="0"/>
                <w:sz w:val="20"/>
                <w:szCs w:val="20"/>
              </w:rPr>
              <w:t>（万元）</w:t>
            </w:r>
          </w:p>
        </w:tc>
        <w:tc>
          <w:tcPr>
            <w:tcW w:w="810" w:type="pct"/>
            <w:vAlign w:val="center"/>
          </w:tcPr>
          <w:p>
            <w:pPr>
              <w:widowControl/>
              <w:spacing w:line="200" w:lineRule="exact"/>
              <w:jc w:val="center"/>
              <w:rPr>
                <w:color w:val="000000"/>
                <w:sz w:val="20"/>
                <w:szCs w:val="20"/>
              </w:rPr>
            </w:pPr>
          </w:p>
        </w:tc>
        <w:tc>
          <w:tcPr>
            <w:tcW w:w="664" w:type="pct"/>
            <w:vAlign w:val="center"/>
          </w:tcPr>
          <w:p>
            <w:pPr>
              <w:widowControl/>
              <w:spacing w:line="200" w:lineRule="exact"/>
              <w:jc w:val="center"/>
              <w:textAlignment w:val="center"/>
              <w:rPr>
                <w:color w:val="000000"/>
                <w:sz w:val="20"/>
                <w:szCs w:val="20"/>
              </w:rPr>
            </w:pPr>
            <w:r>
              <w:rPr>
                <w:color w:val="000000"/>
                <w:kern w:val="0"/>
                <w:sz w:val="20"/>
                <w:szCs w:val="20"/>
              </w:rPr>
              <w:t>全年预算数</w:t>
            </w:r>
          </w:p>
        </w:tc>
        <w:tc>
          <w:tcPr>
            <w:tcW w:w="1421" w:type="pct"/>
            <w:gridSpan w:val="2"/>
            <w:vAlign w:val="center"/>
          </w:tcPr>
          <w:p>
            <w:pPr>
              <w:widowControl/>
              <w:spacing w:line="200" w:lineRule="exact"/>
              <w:jc w:val="center"/>
              <w:textAlignment w:val="center"/>
              <w:rPr>
                <w:color w:val="000000"/>
                <w:sz w:val="20"/>
                <w:szCs w:val="20"/>
              </w:rPr>
            </w:pPr>
            <w:r>
              <w:rPr>
                <w:color w:val="000000"/>
                <w:kern w:val="0"/>
                <w:sz w:val="20"/>
                <w:szCs w:val="20"/>
              </w:rPr>
              <w:t>全年执行数</w:t>
            </w:r>
          </w:p>
        </w:tc>
        <w:tc>
          <w:tcPr>
            <w:tcW w:w="729" w:type="pct"/>
            <w:vAlign w:val="center"/>
          </w:tcPr>
          <w:p>
            <w:pPr>
              <w:widowControl/>
              <w:spacing w:line="200" w:lineRule="exact"/>
              <w:jc w:val="center"/>
              <w:textAlignment w:val="center"/>
              <w:rPr>
                <w:color w:val="000000"/>
                <w:sz w:val="20"/>
                <w:szCs w:val="20"/>
              </w:rPr>
            </w:pPr>
            <w:r>
              <w:rPr>
                <w:color w:val="000000"/>
                <w:kern w:val="0"/>
                <w:sz w:val="20"/>
                <w:szCs w:val="20"/>
              </w:rPr>
              <w:t>预算执行率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color w:val="000000"/>
                <w:kern w:val="0"/>
                <w:sz w:val="20"/>
                <w:szCs w:val="20"/>
              </w:rPr>
              <w:t>年度资金总额：</w:t>
            </w:r>
          </w:p>
        </w:tc>
        <w:tc>
          <w:tcPr>
            <w:tcW w:w="664" w:type="pct"/>
            <w:vAlign w:val="center"/>
          </w:tcPr>
          <w:p>
            <w:pPr>
              <w:widowControl/>
              <w:spacing w:line="200" w:lineRule="exact"/>
              <w:jc w:val="center"/>
              <w:rPr>
                <w:color w:val="000000"/>
                <w:sz w:val="20"/>
                <w:szCs w:val="20"/>
              </w:rPr>
            </w:pPr>
            <w:r>
              <w:rPr>
                <w:color w:val="000000"/>
                <w:sz w:val="20"/>
                <w:szCs w:val="20"/>
              </w:rPr>
              <w:t>390</w:t>
            </w:r>
          </w:p>
        </w:tc>
        <w:tc>
          <w:tcPr>
            <w:tcW w:w="1421" w:type="pct"/>
            <w:gridSpan w:val="2"/>
            <w:vAlign w:val="center"/>
          </w:tcPr>
          <w:p>
            <w:pPr>
              <w:widowControl/>
              <w:spacing w:line="200" w:lineRule="exact"/>
              <w:jc w:val="center"/>
              <w:rPr>
                <w:color w:val="000000"/>
                <w:sz w:val="20"/>
                <w:szCs w:val="20"/>
              </w:rPr>
            </w:pPr>
            <w:r>
              <w:rPr>
                <w:color w:val="000000"/>
                <w:sz w:val="20"/>
                <w:szCs w:val="20"/>
              </w:rPr>
              <w:t>0</w:t>
            </w:r>
          </w:p>
        </w:tc>
        <w:tc>
          <w:tcPr>
            <w:tcW w:w="729" w:type="pct"/>
            <w:vAlign w:val="center"/>
          </w:tcPr>
          <w:p>
            <w:pPr>
              <w:widowControl/>
              <w:spacing w:line="200" w:lineRule="exact"/>
              <w:jc w:val="center"/>
              <w:rPr>
                <w:color w:val="000000"/>
                <w:sz w:val="20"/>
                <w:szCs w:val="20"/>
              </w:rPr>
            </w:pPr>
            <w:r>
              <w:rPr>
                <w:color w:val="000000"/>
                <w:sz w:val="20"/>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8"/>
                <w:rFonts w:hint="default" w:ascii="Times New Roman" w:hAnsi="Times New Roman" w:eastAsia="仿宋_GB2312" w:cs="Times New Roman"/>
                <w:sz w:val="20"/>
                <w:szCs w:val="20"/>
              </w:rPr>
              <w:t>其中：中央、省补助</w:t>
            </w:r>
          </w:p>
        </w:tc>
        <w:tc>
          <w:tcPr>
            <w:tcW w:w="664" w:type="pct"/>
            <w:vAlign w:val="center"/>
          </w:tcPr>
          <w:p>
            <w:pPr>
              <w:widowControl/>
              <w:spacing w:line="200" w:lineRule="exact"/>
              <w:jc w:val="center"/>
              <w:rPr>
                <w:color w:val="000000"/>
                <w:sz w:val="20"/>
                <w:szCs w:val="20"/>
              </w:rPr>
            </w:pPr>
            <w:r>
              <w:rPr>
                <w:color w:val="000000"/>
                <w:sz w:val="20"/>
                <w:szCs w:val="20"/>
              </w:rPr>
              <w:t>390</w:t>
            </w:r>
          </w:p>
        </w:tc>
        <w:tc>
          <w:tcPr>
            <w:tcW w:w="1421" w:type="pct"/>
            <w:gridSpan w:val="2"/>
            <w:vAlign w:val="center"/>
          </w:tcPr>
          <w:p>
            <w:pPr>
              <w:widowControl/>
              <w:spacing w:line="200" w:lineRule="exact"/>
              <w:jc w:val="center"/>
              <w:rPr>
                <w:color w:val="000000"/>
                <w:sz w:val="20"/>
                <w:szCs w:val="20"/>
              </w:rPr>
            </w:pPr>
            <w:r>
              <w:rPr>
                <w:color w:val="000000"/>
                <w:sz w:val="20"/>
                <w:szCs w:val="20"/>
              </w:rPr>
              <w:t>0</w:t>
            </w:r>
          </w:p>
        </w:tc>
        <w:tc>
          <w:tcPr>
            <w:tcW w:w="729" w:type="pct"/>
            <w:vAlign w:val="center"/>
          </w:tcPr>
          <w:p>
            <w:pPr>
              <w:widowControl/>
              <w:spacing w:line="200" w:lineRule="exact"/>
              <w:jc w:val="center"/>
              <w:rPr>
                <w:color w:val="000000"/>
                <w:sz w:val="20"/>
                <w:szCs w:val="20"/>
              </w:rPr>
            </w:pPr>
            <w:r>
              <w:rPr>
                <w:color w:val="000000"/>
                <w:sz w:val="20"/>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8"/>
                <w:rFonts w:hint="default" w:ascii="Times New Roman" w:hAnsi="Times New Roman" w:eastAsia="仿宋_GB2312" w:cs="Times New Roman"/>
                <w:sz w:val="20"/>
                <w:szCs w:val="20"/>
              </w:rPr>
              <w:t>市级财政资</w:t>
            </w:r>
          </w:p>
        </w:tc>
        <w:tc>
          <w:tcPr>
            <w:tcW w:w="664" w:type="pct"/>
            <w:vAlign w:val="center"/>
          </w:tcPr>
          <w:p>
            <w:pPr>
              <w:widowControl/>
              <w:spacing w:line="200" w:lineRule="exact"/>
              <w:jc w:val="center"/>
              <w:rPr>
                <w:color w:val="000000"/>
                <w:sz w:val="20"/>
                <w:szCs w:val="20"/>
              </w:rPr>
            </w:pPr>
          </w:p>
        </w:tc>
        <w:tc>
          <w:tcPr>
            <w:tcW w:w="1421" w:type="pct"/>
            <w:gridSpan w:val="2"/>
            <w:vAlign w:val="center"/>
          </w:tcPr>
          <w:p>
            <w:pPr>
              <w:widowControl/>
              <w:spacing w:line="200" w:lineRule="exact"/>
              <w:jc w:val="center"/>
              <w:rPr>
                <w:color w:val="000000"/>
                <w:sz w:val="20"/>
                <w:szCs w:val="20"/>
              </w:rPr>
            </w:pP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color w:val="000000"/>
                <w:kern w:val="0"/>
                <w:sz w:val="20"/>
                <w:szCs w:val="20"/>
              </w:rPr>
              <w:t>县级财政资</w:t>
            </w:r>
          </w:p>
        </w:tc>
        <w:tc>
          <w:tcPr>
            <w:tcW w:w="664" w:type="pct"/>
            <w:vAlign w:val="center"/>
          </w:tcPr>
          <w:p>
            <w:pPr>
              <w:widowControl/>
              <w:spacing w:line="200" w:lineRule="exact"/>
              <w:jc w:val="center"/>
              <w:rPr>
                <w:color w:val="000000"/>
                <w:sz w:val="20"/>
                <w:szCs w:val="20"/>
              </w:rPr>
            </w:pPr>
          </w:p>
        </w:tc>
        <w:tc>
          <w:tcPr>
            <w:tcW w:w="1421" w:type="pct"/>
            <w:gridSpan w:val="2"/>
            <w:vAlign w:val="center"/>
          </w:tcPr>
          <w:p>
            <w:pPr>
              <w:widowControl/>
              <w:spacing w:line="200" w:lineRule="exact"/>
              <w:jc w:val="center"/>
              <w:rPr>
                <w:color w:val="000000"/>
                <w:sz w:val="20"/>
                <w:szCs w:val="20"/>
              </w:rPr>
            </w:pP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8"/>
                <w:rFonts w:hint="default" w:ascii="Times New Roman" w:hAnsi="Times New Roman" w:eastAsia="仿宋_GB2312" w:cs="Times New Roman"/>
                <w:sz w:val="20"/>
                <w:szCs w:val="20"/>
              </w:rPr>
              <w:t>其他资金</w:t>
            </w:r>
          </w:p>
        </w:tc>
        <w:tc>
          <w:tcPr>
            <w:tcW w:w="664" w:type="pct"/>
            <w:vAlign w:val="center"/>
          </w:tcPr>
          <w:p>
            <w:pPr>
              <w:widowControl/>
              <w:spacing w:line="200" w:lineRule="exact"/>
              <w:jc w:val="center"/>
              <w:rPr>
                <w:color w:val="000000"/>
                <w:sz w:val="20"/>
                <w:szCs w:val="20"/>
              </w:rPr>
            </w:pPr>
          </w:p>
        </w:tc>
        <w:tc>
          <w:tcPr>
            <w:tcW w:w="1421" w:type="pct"/>
            <w:gridSpan w:val="2"/>
            <w:vAlign w:val="center"/>
          </w:tcPr>
          <w:p>
            <w:pPr>
              <w:widowControl/>
              <w:spacing w:line="200" w:lineRule="exact"/>
              <w:jc w:val="center"/>
              <w:rPr>
                <w:color w:val="000000"/>
                <w:sz w:val="20"/>
                <w:szCs w:val="20"/>
              </w:rPr>
            </w:pP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420" w:type="pct"/>
            <w:vMerge w:val="restart"/>
            <w:vAlign w:val="center"/>
          </w:tcPr>
          <w:p>
            <w:pPr>
              <w:widowControl/>
              <w:spacing w:line="180" w:lineRule="exact"/>
              <w:jc w:val="center"/>
              <w:textAlignment w:val="center"/>
              <w:rPr>
                <w:color w:val="000000"/>
                <w:sz w:val="20"/>
                <w:szCs w:val="20"/>
              </w:rPr>
            </w:pPr>
            <w:r>
              <w:rPr>
                <w:color w:val="000000"/>
                <w:kern w:val="0"/>
                <w:sz w:val="20"/>
                <w:szCs w:val="20"/>
              </w:rPr>
              <w:t>总体目标完成情况</w:t>
            </w:r>
          </w:p>
        </w:tc>
        <w:tc>
          <w:tcPr>
            <w:tcW w:w="2429" w:type="pct"/>
            <w:gridSpan w:val="4"/>
            <w:vAlign w:val="center"/>
          </w:tcPr>
          <w:p>
            <w:pPr>
              <w:widowControl/>
              <w:spacing w:line="200" w:lineRule="exact"/>
              <w:jc w:val="center"/>
              <w:textAlignment w:val="center"/>
              <w:rPr>
                <w:color w:val="000000"/>
                <w:sz w:val="20"/>
                <w:szCs w:val="20"/>
              </w:rPr>
            </w:pPr>
            <w:r>
              <w:rPr>
                <w:color w:val="000000"/>
                <w:kern w:val="0"/>
                <w:sz w:val="20"/>
                <w:szCs w:val="20"/>
              </w:rPr>
              <w:t>总体目标</w:t>
            </w:r>
          </w:p>
        </w:tc>
        <w:tc>
          <w:tcPr>
            <w:tcW w:w="2150" w:type="pct"/>
            <w:gridSpan w:val="3"/>
            <w:vAlign w:val="center"/>
          </w:tcPr>
          <w:p>
            <w:pPr>
              <w:widowControl/>
              <w:spacing w:line="200" w:lineRule="exact"/>
              <w:jc w:val="center"/>
              <w:textAlignment w:val="center"/>
              <w:rPr>
                <w:color w:val="000000"/>
                <w:sz w:val="20"/>
                <w:szCs w:val="20"/>
              </w:rPr>
            </w:pPr>
            <w:r>
              <w:rPr>
                <w:color w:val="000000"/>
                <w:kern w:val="0"/>
                <w:sz w:val="20"/>
                <w:szCs w:val="20"/>
              </w:rPr>
              <w:t>全年实际完成情况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420" w:type="pct"/>
            <w:vMerge w:val="continue"/>
            <w:vAlign w:val="center"/>
          </w:tcPr>
          <w:p>
            <w:pPr>
              <w:widowControl/>
              <w:spacing w:line="200" w:lineRule="exact"/>
              <w:jc w:val="center"/>
              <w:rPr>
                <w:color w:val="000000"/>
                <w:sz w:val="20"/>
                <w:szCs w:val="20"/>
              </w:rPr>
            </w:pPr>
          </w:p>
        </w:tc>
        <w:tc>
          <w:tcPr>
            <w:tcW w:w="2429" w:type="pct"/>
            <w:gridSpan w:val="4"/>
            <w:vAlign w:val="center"/>
          </w:tcPr>
          <w:p>
            <w:pPr>
              <w:widowControl/>
              <w:spacing w:line="200" w:lineRule="exact"/>
              <w:rPr>
                <w:color w:val="000000"/>
                <w:sz w:val="20"/>
                <w:szCs w:val="20"/>
              </w:rPr>
            </w:pPr>
            <w:r>
              <w:rPr>
                <w:color w:val="000000"/>
                <w:sz w:val="20"/>
                <w:szCs w:val="20"/>
              </w:rPr>
              <w:t>完成自然保护地综合管理能力的提升。</w:t>
            </w:r>
          </w:p>
        </w:tc>
        <w:tc>
          <w:tcPr>
            <w:tcW w:w="2150" w:type="pct"/>
            <w:gridSpan w:val="3"/>
            <w:vAlign w:val="center"/>
          </w:tcPr>
          <w:p>
            <w:pPr>
              <w:widowControl/>
              <w:spacing w:line="200" w:lineRule="exact"/>
              <w:rPr>
                <w:color w:val="000000"/>
                <w:sz w:val="20"/>
                <w:szCs w:val="20"/>
              </w:rPr>
            </w:pPr>
            <w:r>
              <w:rPr>
                <w:color w:val="000000"/>
                <w:sz w:val="20"/>
                <w:szCs w:val="20"/>
              </w:rPr>
              <w:t>完成自然保护地综合管理能力的提升。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restart"/>
            <w:textDirection w:val="tbRlV"/>
            <w:vAlign w:val="center"/>
          </w:tcPr>
          <w:p>
            <w:pPr>
              <w:widowControl/>
              <w:spacing w:line="200" w:lineRule="exact"/>
              <w:jc w:val="center"/>
              <w:textAlignment w:val="center"/>
              <w:rPr>
                <w:color w:val="000000"/>
                <w:sz w:val="20"/>
                <w:szCs w:val="20"/>
              </w:rPr>
            </w:pPr>
            <w:r>
              <w:rPr>
                <w:color w:val="000000"/>
                <w:kern w:val="0"/>
                <w:sz w:val="20"/>
                <w:szCs w:val="20"/>
              </w:rPr>
              <w:t>绩效指标</w:t>
            </w:r>
          </w:p>
        </w:tc>
        <w:tc>
          <w:tcPr>
            <w:tcW w:w="291" w:type="pct"/>
            <w:vAlign w:val="center"/>
          </w:tcPr>
          <w:p>
            <w:pPr>
              <w:widowControl/>
              <w:spacing w:line="180" w:lineRule="exact"/>
              <w:jc w:val="center"/>
              <w:textAlignment w:val="center"/>
              <w:rPr>
                <w:color w:val="000000"/>
                <w:kern w:val="0"/>
                <w:sz w:val="20"/>
                <w:szCs w:val="20"/>
              </w:rPr>
            </w:pPr>
            <w:r>
              <w:rPr>
                <w:color w:val="000000"/>
                <w:kern w:val="0"/>
                <w:sz w:val="20"/>
                <w:szCs w:val="20"/>
              </w:rPr>
              <w:t>一级</w:t>
            </w:r>
          </w:p>
          <w:p>
            <w:pPr>
              <w:widowControl/>
              <w:spacing w:line="180" w:lineRule="exact"/>
              <w:jc w:val="center"/>
              <w:textAlignment w:val="center"/>
              <w:rPr>
                <w:color w:val="000000"/>
                <w:sz w:val="20"/>
                <w:szCs w:val="20"/>
              </w:rPr>
            </w:pPr>
            <w:r>
              <w:rPr>
                <w:color w:val="000000"/>
                <w:kern w:val="0"/>
                <w:sz w:val="20"/>
                <w:szCs w:val="20"/>
              </w:rPr>
              <w:t>指标</w:t>
            </w: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二级指标</w:t>
            </w:r>
          </w:p>
        </w:tc>
        <w:tc>
          <w:tcPr>
            <w:tcW w:w="1475" w:type="pct"/>
            <w:gridSpan w:val="2"/>
            <w:vAlign w:val="center"/>
          </w:tcPr>
          <w:p>
            <w:pPr>
              <w:widowControl/>
              <w:spacing w:line="200" w:lineRule="exact"/>
              <w:jc w:val="center"/>
              <w:textAlignment w:val="center"/>
              <w:rPr>
                <w:color w:val="000000"/>
                <w:sz w:val="20"/>
                <w:szCs w:val="20"/>
              </w:rPr>
            </w:pPr>
            <w:r>
              <w:rPr>
                <w:color w:val="000000"/>
                <w:kern w:val="0"/>
                <w:sz w:val="20"/>
                <w:szCs w:val="20"/>
              </w:rPr>
              <w:t>三级指标</w:t>
            </w:r>
          </w:p>
        </w:tc>
        <w:tc>
          <w:tcPr>
            <w:tcW w:w="704" w:type="pct"/>
            <w:vAlign w:val="center"/>
          </w:tcPr>
          <w:p>
            <w:pPr>
              <w:widowControl/>
              <w:spacing w:line="200" w:lineRule="exact"/>
              <w:jc w:val="center"/>
              <w:textAlignment w:val="center"/>
              <w:rPr>
                <w:color w:val="000000"/>
                <w:sz w:val="20"/>
                <w:szCs w:val="20"/>
              </w:rPr>
            </w:pPr>
            <w:r>
              <w:rPr>
                <w:color w:val="000000"/>
                <w:kern w:val="0"/>
                <w:sz w:val="20"/>
                <w:szCs w:val="20"/>
              </w:rPr>
              <w:t>指标值</w:t>
            </w:r>
          </w:p>
        </w:tc>
        <w:tc>
          <w:tcPr>
            <w:tcW w:w="716" w:type="pct"/>
            <w:vAlign w:val="center"/>
          </w:tcPr>
          <w:p>
            <w:pPr>
              <w:widowControl/>
              <w:spacing w:line="200" w:lineRule="exact"/>
              <w:jc w:val="center"/>
              <w:textAlignment w:val="center"/>
              <w:rPr>
                <w:color w:val="000000"/>
                <w:sz w:val="20"/>
                <w:szCs w:val="20"/>
              </w:rPr>
            </w:pPr>
            <w:r>
              <w:rPr>
                <w:color w:val="000000"/>
                <w:kern w:val="0"/>
                <w:sz w:val="20"/>
                <w:szCs w:val="20"/>
              </w:rPr>
              <w:t>全年实际完成值</w:t>
            </w:r>
          </w:p>
        </w:tc>
        <w:tc>
          <w:tcPr>
            <w:tcW w:w="729" w:type="pct"/>
            <w:vAlign w:val="center"/>
          </w:tcPr>
          <w:p>
            <w:pPr>
              <w:widowControl/>
              <w:spacing w:line="200" w:lineRule="exact"/>
              <w:jc w:val="center"/>
              <w:textAlignment w:val="center"/>
              <w:rPr>
                <w:color w:val="000000"/>
                <w:sz w:val="20"/>
                <w:szCs w:val="20"/>
              </w:rPr>
            </w:pPr>
            <w:r>
              <w:rPr>
                <w:color w:val="000000"/>
                <w:kern w:val="0"/>
                <w:sz w:val="20"/>
                <w:szCs w:val="20"/>
              </w:rPr>
              <w:t>未完成原因和改进措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Merge w:val="restart"/>
            <w:vAlign w:val="center"/>
          </w:tcPr>
          <w:p>
            <w:pPr>
              <w:widowControl/>
              <w:spacing w:line="200" w:lineRule="exact"/>
              <w:jc w:val="center"/>
              <w:rPr>
                <w:color w:val="000000"/>
                <w:sz w:val="20"/>
                <w:szCs w:val="20"/>
              </w:rPr>
            </w:pP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质量指标</w:t>
            </w:r>
          </w:p>
        </w:tc>
        <w:tc>
          <w:tcPr>
            <w:tcW w:w="1475" w:type="pct"/>
            <w:gridSpan w:val="2"/>
            <w:vAlign w:val="center"/>
          </w:tcPr>
          <w:p>
            <w:pPr>
              <w:widowControl/>
              <w:spacing w:line="200" w:lineRule="exact"/>
              <w:jc w:val="center"/>
              <w:rPr>
                <w:color w:val="000000"/>
                <w:sz w:val="20"/>
                <w:szCs w:val="20"/>
              </w:rPr>
            </w:pPr>
            <w:r>
              <w:rPr>
                <w:color w:val="000000"/>
                <w:sz w:val="20"/>
                <w:szCs w:val="20"/>
              </w:rPr>
              <w:t>项目完成质量达标率</w:t>
            </w:r>
          </w:p>
        </w:tc>
        <w:tc>
          <w:tcPr>
            <w:tcW w:w="704" w:type="pct"/>
            <w:vAlign w:val="center"/>
          </w:tcPr>
          <w:p>
            <w:pPr>
              <w:widowControl/>
              <w:spacing w:line="200" w:lineRule="exact"/>
              <w:jc w:val="center"/>
              <w:rPr>
                <w:color w:val="000000"/>
                <w:sz w:val="20"/>
                <w:szCs w:val="20"/>
              </w:rPr>
            </w:pPr>
            <w:r>
              <w:rPr>
                <w:color w:val="000000"/>
                <w:sz w:val="20"/>
                <w:szCs w:val="20"/>
              </w:rPr>
              <w:t>≥90%</w:t>
            </w:r>
          </w:p>
        </w:tc>
        <w:tc>
          <w:tcPr>
            <w:tcW w:w="716" w:type="pct"/>
            <w:vAlign w:val="center"/>
          </w:tcPr>
          <w:p>
            <w:pPr>
              <w:widowControl/>
              <w:spacing w:line="200" w:lineRule="exact"/>
              <w:jc w:val="center"/>
              <w:rPr>
                <w:color w:val="000000"/>
                <w:sz w:val="20"/>
                <w:szCs w:val="20"/>
              </w:rPr>
            </w:pPr>
            <w:r>
              <w:rPr>
                <w:color w:val="000000"/>
                <w:sz w:val="20"/>
                <w:szCs w:val="20"/>
              </w:rPr>
              <w:t>≥91%</w:t>
            </w: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时效指标</w:t>
            </w:r>
          </w:p>
        </w:tc>
        <w:tc>
          <w:tcPr>
            <w:tcW w:w="1475" w:type="pct"/>
            <w:gridSpan w:val="2"/>
            <w:vAlign w:val="center"/>
          </w:tcPr>
          <w:p>
            <w:pPr>
              <w:widowControl/>
              <w:spacing w:line="200" w:lineRule="exact"/>
              <w:jc w:val="center"/>
              <w:rPr>
                <w:color w:val="000000"/>
                <w:sz w:val="20"/>
                <w:szCs w:val="20"/>
              </w:rPr>
            </w:pPr>
            <w:r>
              <w:rPr>
                <w:color w:val="000000"/>
                <w:sz w:val="20"/>
                <w:szCs w:val="20"/>
              </w:rPr>
              <w:t>项目完成及时率</w:t>
            </w:r>
          </w:p>
        </w:tc>
        <w:tc>
          <w:tcPr>
            <w:tcW w:w="704" w:type="pct"/>
            <w:vAlign w:val="center"/>
          </w:tcPr>
          <w:p>
            <w:pPr>
              <w:widowControl/>
              <w:spacing w:line="200" w:lineRule="exact"/>
              <w:jc w:val="center"/>
              <w:rPr>
                <w:color w:val="000000"/>
                <w:sz w:val="20"/>
                <w:szCs w:val="20"/>
              </w:rPr>
            </w:pPr>
            <w:r>
              <w:rPr>
                <w:color w:val="000000"/>
                <w:sz w:val="20"/>
                <w:szCs w:val="20"/>
              </w:rPr>
              <w:t>≥96%</w:t>
            </w:r>
          </w:p>
        </w:tc>
        <w:tc>
          <w:tcPr>
            <w:tcW w:w="716" w:type="pct"/>
            <w:vAlign w:val="center"/>
          </w:tcPr>
          <w:p>
            <w:pPr>
              <w:widowControl/>
              <w:spacing w:line="200" w:lineRule="exact"/>
              <w:jc w:val="center"/>
              <w:rPr>
                <w:color w:val="000000"/>
                <w:sz w:val="20"/>
                <w:szCs w:val="20"/>
              </w:rPr>
            </w:pPr>
            <w:r>
              <w:rPr>
                <w:color w:val="000000"/>
                <w:sz w:val="20"/>
                <w:szCs w:val="20"/>
              </w:rPr>
              <w:t>≥97%</w:t>
            </w: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成本指标</w:t>
            </w:r>
          </w:p>
        </w:tc>
        <w:tc>
          <w:tcPr>
            <w:tcW w:w="1475" w:type="pct"/>
            <w:gridSpan w:val="2"/>
            <w:vAlign w:val="center"/>
          </w:tcPr>
          <w:p>
            <w:pPr>
              <w:widowControl/>
              <w:spacing w:line="200" w:lineRule="exact"/>
              <w:jc w:val="center"/>
              <w:rPr>
                <w:color w:val="000000"/>
                <w:sz w:val="20"/>
                <w:szCs w:val="20"/>
              </w:rPr>
            </w:pPr>
            <w:r>
              <w:rPr>
                <w:color w:val="000000"/>
                <w:sz w:val="20"/>
                <w:szCs w:val="20"/>
              </w:rPr>
              <w:t>项目提升成本</w:t>
            </w:r>
          </w:p>
        </w:tc>
        <w:tc>
          <w:tcPr>
            <w:tcW w:w="704" w:type="pct"/>
            <w:vAlign w:val="center"/>
          </w:tcPr>
          <w:p>
            <w:pPr>
              <w:widowControl/>
              <w:spacing w:line="200" w:lineRule="exact"/>
              <w:jc w:val="center"/>
              <w:rPr>
                <w:color w:val="000000"/>
                <w:sz w:val="20"/>
                <w:szCs w:val="20"/>
              </w:rPr>
            </w:pPr>
            <w:r>
              <w:rPr>
                <w:color w:val="000000"/>
                <w:sz w:val="20"/>
                <w:szCs w:val="20"/>
              </w:rPr>
              <w:t>≤390万元</w:t>
            </w:r>
          </w:p>
        </w:tc>
        <w:tc>
          <w:tcPr>
            <w:tcW w:w="716" w:type="pct"/>
            <w:vAlign w:val="center"/>
          </w:tcPr>
          <w:p>
            <w:pPr>
              <w:widowControl/>
              <w:spacing w:line="200" w:lineRule="exact"/>
              <w:jc w:val="center"/>
              <w:rPr>
                <w:color w:val="000000"/>
                <w:sz w:val="20"/>
                <w:szCs w:val="20"/>
              </w:rPr>
            </w:pPr>
            <w:r>
              <w:rPr>
                <w:color w:val="000000"/>
                <w:sz w:val="20"/>
                <w:szCs w:val="20"/>
              </w:rPr>
              <w:t>=0万元</w:t>
            </w:r>
          </w:p>
        </w:tc>
        <w:tc>
          <w:tcPr>
            <w:tcW w:w="729" w:type="pct"/>
            <w:vAlign w:val="center"/>
          </w:tcPr>
          <w:p>
            <w:pPr>
              <w:widowControl/>
              <w:spacing w:line="200" w:lineRule="exact"/>
              <w:jc w:val="center"/>
              <w:rPr>
                <w:color w:val="000000"/>
                <w:sz w:val="20"/>
                <w:szCs w:val="20"/>
              </w:rPr>
            </w:pPr>
            <w:r>
              <w:rPr>
                <w:color w:val="000000"/>
                <w:sz w:val="20"/>
                <w:szCs w:val="20"/>
              </w:rPr>
              <w:t>资金正处于兑现阶段，加快资金拨付进度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Align w:val="center"/>
          </w:tcPr>
          <w:p>
            <w:pPr>
              <w:widowControl/>
              <w:spacing w:line="200" w:lineRule="exact"/>
              <w:jc w:val="center"/>
              <w:textAlignment w:val="center"/>
              <w:rPr>
                <w:color w:val="000000"/>
                <w:kern w:val="0"/>
                <w:sz w:val="20"/>
                <w:szCs w:val="20"/>
              </w:rPr>
            </w:pPr>
            <w:r>
              <w:rPr>
                <w:color w:val="000000"/>
                <w:kern w:val="0"/>
                <w:sz w:val="20"/>
                <w:szCs w:val="20"/>
              </w:rPr>
              <w:t>效</w:t>
            </w:r>
          </w:p>
          <w:p>
            <w:pPr>
              <w:widowControl/>
              <w:spacing w:line="200" w:lineRule="exact"/>
              <w:jc w:val="center"/>
              <w:textAlignment w:val="center"/>
              <w:rPr>
                <w:color w:val="000000"/>
                <w:kern w:val="0"/>
                <w:sz w:val="20"/>
                <w:szCs w:val="20"/>
              </w:rPr>
            </w:pPr>
            <w:r>
              <w:rPr>
                <w:color w:val="000000"/>
                <w:kern w:val="0"/>
                <w:sz w:val="20"/>
                <w:szCs w:val="20"/>
              </w:rPr>
              <w:t>益</w:t>
            </w:r>
          </w:p>
          <w:p>
            <w:pPr>
              <w:widowControl/>
              <w:spacing w:line="200" w:lineRule="exact"/>
              <w:jc w:val="center"/>
              <w:textAlignment w:val="center"/>
              <w:rPr>
                <w:color w:val="000000"/>
                <w:kern w:val="0"/>
                <w:sz w:val="20"/>
                <w:szCs w:val="20"/>
              </w:rPr>
            </w:pPr>
            <w:r>
              <w:rPr>
                <w:color w:val="000000"/>
                <w:kern w:val="0"/>
                <w:sz w:val="20"/>
                <w:szCs w:val="20"/>
              </w:rPr>
              <w:t>指</w:t>
            </w:r>
          </w:p>
          <w:p>
            <w:pPr>
              <w:widowControl/>
              <w:spacing w:line="200" w:lineRule="exact"/>
              <w:jc w:val="center"/>
              <w:textAlignment w:val="center"/>
              <w:rPr>
                <w:color w:val="000000"/>
                <w:sz w:val="20"/>
                <w:szCs w:val="20"/>
              </w:rPr>
            </w:pPr>
            <w:r>
              <w:rPr>
                <w:color w:val="000000"/>
                <w:kern w:val="0"/>
                <w:sz w:val="20"/>
                <w:szCs w:val="20"/>
              </w:rPr>
              <w:t>标</w:t>
            </w:r>
          </w:p>
        </w:tc>
        <w:tc>
          <w:tcPr>
            <w:tcW w:w="662" w:type="pct"/>
            <w:vAlign w:val="center"/>
          </w:tcPr>
          <w:p>
            <w:pPr>
              <w:widowControl/>
              <w:spacing w:line="200" w:lineRule="exact"/>
              <w:jc w:val="center"/>
              <w:textAlignment w:val="center"/>
              <w:rPr>
                <w:kern w:val="0"/>
                <w:sz w:val="20"/>
                <w:szCs w:val="20"/>
              </w:rPr>
            </w:pPr>
            <w:r>
              <w:rPr>
                <w:kern w:val="0"/>
                <w:sz w:val="20"/>
                <w:szCs w:val="20"/>
              </w:rPr>
              <w:t>社会效益</w:t>
            </w:r>
          </w:p>
          <w:p>
            <w:pPr>
              <w:widowControl/>
              <w:spacing w:line="200" w:lineRule="exact"/>
              <w:jc w:val="center"/>
              <w:textAlignment w:val="center"/>
              <w:rPr>
                <w:sz w:val="20"/>
                <w:szCs w:val="20"/>
              </w:rPr>
            </w:pPr>
            <w:r>
              <w:rPr>
                <w:kern w:val="0"/>
                <w:sz w:val="20"/>
                <w:szCs w:val="20"/>
              </w:rPr>
              <w:t>指标</w:t>
            </w:r>
          </w:p>
        </w:tc>
        <w:tc>
          <w:tcPr>
            <w:tcW w:w="1475" w:type="pct"/>
            <w:gridSpan w:val="2"/>
            <w:vAlign w:val="center"/>
          </w:tcPr>
          <w:p>
            <w:pPr>
              <w:widowControl/>
              <w:spacing w:line="200" w:lineRule="exact"/>
              <w:ind w:firstLine="200" w:firstLineChars="100"/>
              <w:jc w:val="center"/>
              <w:rPr>
                <w:color w:val="000000"/>
                <w:sz w:val="20"/>
                <w:szCs w:val="20"/>
              </w:rPr>
            </w:pPr>
            <w:r>
              <w:rPr>
                <w:color w:val="000000"/>
                <w:sz w:val="20"/>
                <w:szCs w:val="20"/>
              </w:rPr>
              <w:t>有效提高建设和管理能力</w:t>
            </w:r>
          </w:p>
        </w:tc>
        <w:tc>
          <w:tcPr>
            <w:tcW w:w="704" w:type="pct"/>
            <w:vAlign w:val="center"/>
          </w:tcPr>
          <w:p>
            <w:pPr>
              <w:widowControl/>
              <w:spacing w:line="200" w:lineRule="exact"/>
              <w:jc w:val="center"/>
              <w:rPr>
                <w:color w:val="000000"/>
                <w:sz w:val="20"/>
                <w:szCs w:val="20"/>
              </w:rPr>
            </w:pPr>
            <w:r>
              <w:rPr>
                <w:color w:val="000000"/>
                <w:sz w:val="20"/>
                <w:szCs w:val="20"/>
              </w:rPr>
              <w:t>优</w:t>
            </w:r>
          </w:p>
        </w:tc>
        <w:tc>
          <w:tcPr>
            <w:tcW w:w="716" w:type="pct"/>
            <w:vAlign w:val="center"/>
          </w:tcPr>
          <w:p>
            <w:pPr>
              <w:widowControl/>
              <w:spacing w:line="200" w:lineRule="exact"/>
              <w:jc w:val="center"/>
              <w:rPr>
                <w:color w:val="000000"/>
                <w:sz w:val="20"/>
                <w:szCs w:val="20"/>
              </w:rPr>
            </w:pPr>
            <w:r>
              <w:rPr>
                <w:color w:val="000000"/>
                <w:sz w:val="20"/>
                <w:szCs w:val="20"/>
              </w:rPr>
              <w:t>优</w:t>
            </w: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Align w:val="center"/>
          </w:tcPr>
          <w:p>
            <w:pPr>
              <w:widowControl/>
              <w:spacing w:line="180" w:lineRule="exact"/>
              <w:jc w:val="center"/>
              <w:textAlignment w:val="center"/>
              <w:rPr>
                <w:color w:val="000000"/>
                <w:sz w:val="20"/>
                <w:szCs w:val="20"/>
              </w:rPr>
            </w:pPr>
            <w:r>
              <w:rPr>
                <w:color w:val="000000"/>
                <w:kern w:val="0"/>
                <w:sz w:val="20"/>
                <w:szCs w:val="20"/>
              </w:rPr>
              <w:t>满意度指标</w:t>
            </w:r>
          </w:p>
        </w:tc>
        <w:tc>
          <w:tcPr>
            <w:tcW w:w="662" w:type="pct"/>
            <w:vAlign w:val="center"/>
          </w:tcPr>
          <w:p>
            <w:pPr>
              <w:widowControl/>
              <w:spacing w:line="200" w:lineRule="exact"/>
              <w:jc w:val="center"/>
              <w:textAlignment w:val="center"/>
              <w:rPr>
                <w:kern w:val="0"/>
                <w:sz w:val="20"/>
                <w:szCs w:val="20"/>
              </w:rPr>
            </w:pPr>
            <w:r>
              <w:rPr>
                <w:kern w:val="0"/>
                <w:sz w:val="20"/>
                <w:szCs w:val="20"/>
              </w:rPr>
              <w:t>服务对象</w:t>
            </w:r>
          </w:p>
          <w:p>
            <w:pPr>
              <w:widowControl/>
              <w:spacing w:line="200" w:lineRule="exact"/>
              <w:jc w:val="center"/>
              <w:textAlignment w:val="center"/>
              <w:rPr>
                <w:sz w:val="20"/>
                <w:szCs w:val="20"/>
              </w:rPr>
            </w:pPr>
            <w:r>
              <w:rPr>
                <w:kern w:val="0"/>
                <w:sz w:val="20"/>
                <w:szCs w:val="20"/>
              </w:rPr>
              <w:t>满意度指标</w:t>
            </w:r>
          </w:p>
        </w:tc>
        <w:tc>
          <w:tcPr>
            <w:tcW w:w="1475" w:type="pct"/>
            <w:gridSpan w:val="2"/>
            <w:vAlign w:val="center"/>
          </w:tcPr>
          <w:p>
            <w:pPr>
              <w:widowControl/>
              <w:spacing w:line="200" w:lineRule="exact"/>
              <w:jc w:val="center"/>
              <w:rPr>
                <w:sz w:val="20"/>
                <w:szCs w:val="20"/>
              </w:rPr>
            </w:pPr>
            <w:r>
              <w:rPr>
                <w:color w:val="000000"/>
                <w:sz w:val="20"/>
                <w:szCs w:val="20"/>
              </w:rPr>
              <w:t>保护区成效获得公众认可度</w:t>
            </w:r>
          </w:p>
        </w:tc>
        <w:tc>
          <w:tcPr>
            <w:tcW w:w="704" w:type="pct"/>
            <w:vAlign w:val="center"/>
          </w:tcPr>
          <w:p>
            <w:pPr>
              <w:widowControl/>
              <w:spacing w:line="200" w:lineRule="exact"/>
              <w:jc w:val="center"/>
              <w:rPr>
                <w:sz w:val="20"/>
                <w:szCs w:val="20"/>
              </w:rPr>
            </w:pPr>
            <w:r>
              <w:rPr>
                <w:color w:val="000000"/>
                <w:sz w:val="20"/>
                <w:szCs w:val="20"/>
              </w:rPr>
              <w:t>≥92%</w:t>
            </w:r>
          </w:p>
        </w:tc>
        <w:tc>
          <w:tcPr>
            <w:tcW w:w="716" w:type="pct"/>
            <w:vAlign w:val="center"/>
          </w:tcPr>
          <w:p>
            <w:pPr>
              <w:widowControl/>
              <w:spacing w:line="200" w:lineRule="exact"/>
              <w:jc w:val="center"/>
              <w:rPr>
                <w:sz w:val="20"/>
                <w:szCs w:val="20"/>
              </w:rPr>
            </w:pPr>
            <w:r>
              <w:rPr>
                <w:color w:val="000000"/>
                <w:sz w:val="20"/>
                <w:szCs w:val="20"/>
              </w:rPr>
              <w:t>≥92%</w:t>
            </w:r>
          </w:p>
        </w:tc>
        <w:tc>
          <w:tcPr>
            <w:tcW w:w="729" w:type="pct"/>
            <w:vAlign w:val="center"/>
          </w:tcPr>
          <w:p>
            <w:pPr>
              <w:widowControl/>
              <w:spacing w:line="200" w:lineRule="exact"/>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Align w:val="center"/>
          </w:tcPr>
          <w:p>
            <w:pPr>
              <w:widowControl/>
              <w:spacing w:line="200" w:lineRule="exact"/>
              <w:jc w:val="center"/>
              <w:textAlignment w:val="center"/>
              <w:rPr>
                <w:color w:val="000000"/>
                <w:sz w:val="20"/>
                <w:szCs w:val="20"/>
              </w:rPr>
            </w:pPr>
            <w:r>
              <w:rPr>
                <w:color w:val="000000"/>
                <w:kern w:val="0"/>
                <w:sz w:val="20"/>
                <w:szCs w:val="20"/>
              </w:rPr>
              <w:t>说明</w:t>
            </w:r>
          </w:p>
        </w:tc>
        <w:tc>
          <w:tcPr>
            <w:tcW w:w="4579" w:type="pct"/>
            <w:gridSpan w:val="7"/>
            <w:vAlign w:val="center"/>
          </w:tcPr>
          <w:p>
            <w:pPr>
              <w:widowControl/>
              <w:spacing w:line="200" w:lineRule="exact"/>
              <w:jc w:val="center"/>
              <w:textAlignment w:val="center"/>
              <w:rPr>
                <w:color w:val="000000"/>
                <w:sz w:val="20"/>
                <w:szCs w:val="20"/>
              </w:rPr>
            </w:pPr>
            <w:r>
              <w:rPr>
                <w:color w:val="000000"/>
                <w:kern w:val="0"/>
                <w:sz w:val="20"/>
                <w:szCs w:val="20"/>
              </w:rPr>
              <w:t>请在此处简要说明各级巡视（巡察）、各级审计和财政监督中发现的问题及其所涉及的金额，如没有请填无。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注：1.其他资金包括与中央、省级财政补助资金、市（县）级财政资金共同投入到同一项目的自有资金、社会资金，以及以前年度的结转结余资金等。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2.定量指标，主管部门对资金使用单位填写的实际完成值汇总时，绝对值直接累加计算，相对值按照资金额度加权平均计算。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3.定性指标。资金使用单位分别按照100%-80%（含）、80%-60%（含）、60-0%合理填写实际完成值，在汇总时，按照资金额度加权平均计算。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4.全年执行数是指按照国库集中支付制度要求，支付到商品和劳务供应者或者用款单位形成的实际支出。</w:t>
            </w:r>
          </w:p>
        </w:tc>
      </w:tr>
    </w:tbl>
    <w:p>
      <w:pPr>
        <w:rPr>
          <w:sz w:val="21"/>
          <w:szCs w:val="21"/>
        </w:rPr>
      </w:pPr>
      <w:r>
        <w:rPr>
          <w:sz w:val="21"/>
          <w:szCs w:val="21"/>
        </w:rPr>
        <w:br w:type="page"/>
      </w:r>
    </w:p>
    <w:p>
      <w:pPr>
        <w:sectPr>
          <w:footerReference r:id="rId3" w:type="default"/>
          <w:pgSz w:w="11906" w:h="16838"/>
          <w:pgMar w:top="1440" w:right="1800" w:bottom="1440" w:left="1800" w:header="851" w:footer="992" w:gutter="0"/>
          <w:pgNumType w:fmt="numberInDash"/>
          <w:cols w:space="425" w:num="1"/>
          <w:docGrid w:type="lines" w:linePitch="312" w:charSpace="0"/>
        </w:sectPr>
      </w:pPr>
    </w:p>
    <w:p>
      <w:pPr>
        <w:pStyle w:val="3"/>
        <w:spacing w:before="0" w:after="0" w:line="360" w:lineRule="auto"/>
        <w:rPr>
          <w:rFonts w:eastAsia="黑体"/>
          <w:sz w:val="32"/>
        </w:rPr>
      </w:pPr>
      <w:r>
        <w:rPr>
          <w:rFonts w:eastAsia="黑体"/>
          <w:sz w:val="32"/>
        </w:rPr>
        <w:t>附件2</w:t>
      </w:r>
    </w:p>
    <w:p>
      <w:pPr>
        <w:jc w:val="center"/>
        <w:rPr>
          <w:rFonts w:hint="eastAsia" w:eastAsia="方正公文楷体"/>
          <w:color w:val="000000"/>
          <w:kern w:val="0"/>
          <w:sz w:val="24"/>
          <w:szCs w:val="24"/>
        </w:rPr>
      </w:pPr>
      <w:r>
        <w:rPr>
          <w:rFonts w:eastAsia="方正公文楷体"/>
          <w:color w:val="000000"/>
          <w:kern w:val="0"/>
          <w:sz w:val="24"/>
          <w:szCs w:val="24"/>
        </w:rPr>
        <w:t>2022年度自然保护地综合管理能力项目支出绩效评价</w:t>
      </w:r>
      <w:r>
        <w:rPr>
          <w:rFonts w:hint="eastAsia" w:eastAsia="方正公文楷体"/>
          <w:color w:val="000000"/>
          <w:kern w:val="0"/>
          <w:sz w:val="24"/>
          <w:szCs w:val="24"/>
        </w:rPr>
        <w:t>自评得分表</w:t>
      </w: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9"/>
        <w:gridCol w:w="431"/>
        <w:gridCol w:w="1402"/>
        <w:gridCol w:w="1140"/>
        <w:gridCol w:w="1171"/>
        <w:gridCol w:w="1777"/>
        <w:gridCol w:w="1127"/>
        <w:gridCol w:w="781"/>
        <w:gridCol w:w="584"/>
        <w:gridCol w:w="506"/>
        <w:gridCol w:w="609"/>
        <w:gridCol w:w="615"/>
        <w:gridCol w:w="4213"/>
        <w:gridCol w:w="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分值权重</w:t>
            </w:r>
          </w:p>
        </w:tc>
        <w:tc>
          <w:tcPr>
            <w:tcW w:w="1327" w:type="pct"/>
            <w:gridSpan w:val="4"/>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分层分类指标</w:t>
            </w:r>
          </w:p>
        </w:tc>
        <w:tc>
          <w:tcPr>
            <w:tcW w:w="569"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指标解释</w:t>
            </w:r>
          </w:p>
        </w:tc>
        <w:tc>
          <w:tcPr>
            <w:tcW w:w="1352" w:type="pct"/>
            <w:gridSpan w:val="6"/>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评分方法</w:t>
            </w:r>
          </w:p>
        </w:tc>
        <w:tc>
          <w:tcPr>
            <w:tcW w:w="1348"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评价要点及说明</w:t>
            </w:r>
          </w:p>
        </w:tc>
        <w:tc>
          <w:tcPr>
            <w:tcW w:w="211"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400" w:lineRule="exact"/>
              <w:jc w:val="center"/>
              <w:rPr>
                <w:rFonts w:ascii="仿宋_GB2312" w:hAnsi="Arial Unicode MS" w:cs="Arial Unicode MS"/>
                <w:b/>
                <w:bCs/>
                <w:kern w:val="0"/>
                <w:sz w:val="18"/>
                <w:szCs w:val="18"/>
              </w:rPr>
            </w:pPr>
          </w:p>
        </w:tc>
        <w:tc>
          <w:tcPr>
            <w:tcW w:w="138" w:type="pct"/>
            <w:vMerge w:val="restart"/>
            <w:vAlign w:val="center"/>
          </w:tcPr>
          <w:p>
            <w:pPr>
              <w:spacing w:line="28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分层指标</w:t>
            </w:r>
          </w:p>
        </w:tc>
        <w:tc>
          <w:tcPr>
            <w:tcW w:w="449"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适用范围</w:t>
            </w:r>
          </w:p>
        </w:tc>
        <w:tc>
          <w:tcPr>
            <w:tcW w:w="365"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一级指标</w:t>
            </w:r>
          </w:p>
        </w:tc>
        <w:tc>
          <w:tcPr>
            <w:tcW w:w="375"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二级指标</w:t>
            </w:r>
          </w:p>
        </w:tc>
        <w:tc>
          <w:tcPr>
            <w:tcW w:w="569" w:type="pct"/>
            <w:vMerge w:val="continue"/>
            <w:vAlign w:val="center"/>
          </w:tcPr>
          <w:p>
            <w:pPr>
              <w:spacing w:line="400" w:lineRule="exact"/>
              <w:jc w:val="center"/>
              <w:rPr>
                <w:rFonts w:ascii="仿宋_GB2312" w:hAnsi="Arial Unicode MS" w:cs="Arial Unicode MS"/>
                <w:b/>
                <w:bCs/>
                <w:kern w:val="0"/>
                <w:sz w:val="18"/>
                <w:szCs w:val="18"/>
              </w:rPr>
            </w:pPr>
          </w:p>
        </w:tc>
        <w:tc>
          <w:tcPr>
            <w:tcW w:w="361"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方法归类</w:t>
            </w:r>
          </w:p>
        </w:tc>
        <w:tc>
          <w:tcPr>
            <w:tcW w:w="991" w:type="pct"/>
            <w:gridSpan w:val="5"/>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计算公式</w:t>
            </w:r>
          </w:p>
        </w:tc>
        <w:tc>
          <w:tcPr>
            <w:tcW w:w="1348" w:type="pct"/>
            <w:vMerge w:val="continue"/>
            <w:vAlign w:val="center"/>
          </w:tcPr>
          <w:p>
            <w:pPr>
              <w:spacing w:line="400" w:lineRule="exact"/>
              <w:rPr>
                <w:rFonts w:ascii="仿宋_GB2312" w:hAnsi="Arial Unicode MS" w:cs="Arial Unicode MS"/>
                <w:b/>
                <w:bCs/>
                <w:kern w:val="0"/>
                <w:sz w:val="18"/>
                <w:szCs w:val="18"/>
              </w:rPr>
            </w:pPr>
          </w:p>
        </w:tc>
        <w:tc>
          <w:tcPr>
            <w:tcW w:w="211" w:type="pct"/>
            <w:vMerge w:val="continue"/>
            <w:vAlign w:val="center"/>
          </w:tcPr>
          <w:p>
            <w:pPr>
              <w:spacing w:line="400" w:lineRule="exact"/>
              <w:jc w:val="center"/>
              <w:rPr>
                <w:rFonts w:ascii="仿宋_GB2312" w:hAnsi="Arial Unicode MS" w:cs="Arial Unicode MS"/>
                <w:b/>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400" w:lineRule="exact"/>
              <w:jc w:val="center"/>
              <w:rPr>
                <w:rFonts w:ascii="仿宋_GB2312" w:hAnsi="Arial Unicode MS" w:cs="Arial Unicode MS"/>
                <w:kern w:val="0"/>
                <w:sz w:val="18"/>
                <w:szCs w:val="18"/>
              </w:rPr>
            </w:pPr>
          </w:p>
        </w:tc>
        <w:tc>
          <w:tcPr>
            <w:tcW w:w="138" w:type="pct"/>
            <w:vMerge w:val="continue"/>
            <w:vAlign w:val="center"/>
          </w:tcPr>
          <w:p>
            <w:pPr>
              <w:spacing w:line="400" w:lineRule="exact"/>
              <w:jc w:val="center"/>
              <w:rPr>
                <w:rFonts w:ascii="仿宋_GB2312" w:hAnsi="Arial Unicode MS" w:cs="Arial Unicode MS"/>
                <w:kern w:val="0"/>
                <w:sz w:val="18"/>
                <w:szCs w:val="18"/>
              </w:rPr>
            </w:pPr>
          </w:p>
        </w:tc>
        <w:tc>
          <w:tcPr>
            <w:tcW w:w="449" w:type="pct"/>
            <w:vMerge w:val="continue"/>
            <w:vAlign w:val="center"/>
          </w:tcPr>
          <w:p>
            <w:pPr>
              <w:spacing w:line="400" w:lineRule="exact"/>
              <w:jc w:val="center"/>
              <w:rPr>
                <w:rFonts w:ascii="仿宋_GB2312" w:hAnsi="Arial Unicode MS" w:cs="Arial Unicode MS"/>
                <w:kern w:val="0"/>
                <w:sz w:val="18"/>
                <w:szCs w:val="18"/>
              </w:rPr>
            </w:pPr>
          </w:p>
        </w:tc>
        <w:tc>
          <w:tcPr>
            <w:tcW w:w="365" w:type="pct"/>
            <w:vMerge w:val="continue"/>
            <w:vAlign w:val="center"/>
          </w:tcPr>
          <w:p>
            <w:pPr>
              <w:spacing w:line="400" w:lineRule="exact"/>
              <w:jc w:val="center"/>
              <w:rPr>
                <w:rFonts w:ascii="仿宋_GB2312" w:hAnsi="Arial Unicode MS" w:cs="Arial Unicode MS"/>
                <w:kern w:val="0"/>
                <w:sz w:val="18"/>
                <w:szCs w:val="18"/>
              </w:rPr>
            </w:pPr>
          </w:p>
        </w:tc>
        <w:tc>
          <w:tcPr>
            <w:tcW w:w="375" w:type="pct"/>
            <w:vMerge w:val="continue"/>
            <w:vAlign w:val="center"/>
          </w:tcPr>
          <w:p>
            <w:pPr>
              <w:spacing w:line="400" w:lineRule="exact"/>
              <w:jc w:val="center"/>
              <w:rPr>
                <w:rFonts w:ascii="仿宋_GB2312" w:hAnsi="Arial Unicode MS" w:cs="Arial Unicode MS"/>
                <w:kern w:val="0"/>
                <w:sz w:val="18"/>
                <w:szCs w:val="18"/>
              </w:rPr>
            </w:pPr>
          </w:p>
        </w:tc>
        <w:tc>
          <w:tcPr>
            <w:tcW w:w="569" w:type="pct"/>
            <w:vMerge w:val="continue"/>
            <w:vAlign w:val="center"/>
          </w:tcPr>
          <w:p>
            <w:pPr>
              <w:spacing w:line="400" w:lineRule="exact"/>
              <w:jc w:val="center"/>
              <w:rPr>
                <w:rFonts w:ascii="仿宋_GB2312" w:hAnsi="Arial Unicode MS" w:cs="Arial Unicode MS"/>
                <w:kern w:val="0"/>
                <w:sz w:val="18"/>
                <w:szCs w:val="18"/>
              </w:rPr>
            </w:pPr>
          </w:p>
        </w:tc>
        <w:tc>
          <w:tcPr>
            <w:tcW w:w="361" w:type="pct"/>
            <w:vMerge w:val="continue"/>
            <w:vAlign w:val="center"/>
          </w:tcPr>
          <w:p>
            <w:pPr>
              <w:spacing w:line="400" w:lineRule="exact"/>
              <w:jc w:val="center"/>
              <w:rPr>
                <w:rFonts w:ascii="仿宋_GB2312" w:hAnsi="Arial Unicode MS" w:cs="Arial Unicode MS"/>
                <w:kern w:val="0"/>
                <w:sz w:val="18"/>
                <w:szCs w:val="18"/>
              </w:rPr>
            </w:pPr>
          </w:p>
        </w:tc>
        <w:tc>
          <w:tcPr>
            <w:tcW w:w="250"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w:t>
            </w:r>
          </w:p>
        </w:tc>
        <w:tc>
          <w:tcPr>
            <w:tcW w:w="187"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0.3</w:t>
            </w:r>
          </w:p>
        </w:tc>
        <w:tc>
          <w:tcPr>
            <w:tcW w:w="162"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0.6</w:t>
            </w:r>
          </w:p>
        </w:tc>
        <w:tc>
          <w:tcPr>
            <w:tcW w:w="195"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0.8</w:t>
            </w:r>
          </w:p>
        </w:tc>
        <w:tc>
          <w:tcPr>
            <w:tcW w:w="197"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1</w:t>
            </w:r>
          </w:p>
        </w:tc>
        <w:tc>
          <w:tcPr>
            <w:tcW w:w="1348" w:type="pct"/>
            <w:vMerge w:val="continue"/>
            <w:vAlign w:val="center"/>
          </w:tcPr>
          <w:p>
            <w:pPr>
              <w:spacing w:line="400" w:lineRule="exact"/>
              <w:rPr>
                <w:rFonts w:ascii="仿宋_GB2312" w:hAnsi="Arial Unicode MS" w:cs="Arial Unicode MS"/>
                <w:kern w:val="0"/>
                <w:sz w:val="18"/>
                <w:szCs w:val="18"/>
              </w:rPr>
            </w:pPr>
          </w:p>
        </w:tc>
        <w:tc>
          <w:tcPr>
            <w:tcW w:w="211" w:type="pct"/>
            <w:vMerge w:val="continue"/>
            <w:vAlign w:val="center"/>
          </w:tcPr>
          <w:p>
            <w:pPr>
              <w:spacing w:line="400" w:lineRule="exact"/>
              <w:jc w:val="center"/>
              <w:rPr>
                <w:rFonts w:ascii="仿宋_GB2312" w:hAnsi="Arial Unicode MS" w:cs="Arial Unicode M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通用指标</w:t>
            </w:r>
          </w:p>
        </w:tc>
        <w:tc>
          <w:tcPr>
            <w:tcW w:w="449"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所有项目</w:t>
            </w: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项目决策</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程序严密</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项目设立是否经过严格评估论证，管理制度是否健全完善</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不完善</w:t>
            </w:r>
          </w:p>
        </w:tc>
        <w:tc>
          <w:tcPr>
            <w:tcW w:w="187" w:type="pct"/>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较完善</w:t>
            </w:r>
          </w:p>
        </w:tc>
        <w:tc>
          <w:tcPr>
            <w:tcW w:w="195" w:type="pct"/>
            <w:vAlign w:val="center"/>
          </w:tcPr>
          <w:p>
            <w:pPr>
              <w:spacing w:line="300" w:lineRule="exact"/>
              <w:jc w:val="center"/>
              <w:rPr>
                <w:rFonts w:ascii="仿宋_GB2312" w:hAnsi="Arial Unicode MS" w:cs="Arial Unicode MS"/>
                <w:kern w:val="0"/>
                <w:sz w:val="18"/>
                <w:szCs w:val="18"/>
              </w:rPr>
            </w:pP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完善</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主要查看新增项目是否经过事前评估或可行性论证，延续性项目资金管理办法是否健全完善</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规划合理</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项目规划是否符合县委、县政府重大决策部署，是否与项目年度目标一致</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不合理</w:t>
            </w:r>
          </w:p>
        </w:tc>
        <w:tc>
          <w:tcPr>
            <w:tcW w:w="187" w:type="pct"/>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较合理</w:t>
            </w:r>
          </w:p>
        </w:tc>
        <w:tc>
          <w:tcPr>
            <w:tcW w:w="195" w:type="pct"/>
            <w:vAlign w:val="center"/>
          </w:tcPr>
          <w:p>
            <w:pPr>
              <w:spacing w:line="300" w:lineRule="exact"/>
              <w:jc w:val="center"/>
              <w:rPr>
                <w:rFonts w:ascii="仿宋_GB2312" w:hAnsi="Arial Unicode MS" w:cs="Arial Unicode MS"/>
                <w:kern w:val="0"/>
                <w:sz w:val="18"/>
                <w:szCs w:val="18"/>
              </w:rPr>
            </w:pP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合理</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设立依据是否充分，符合县委、县政府重大决策部署和宏观政策规划，项目年度绩效目标与中长期规划是否一致。样本评价中，规划是否与现实需求匹配，是否存在因规划不够合理导致项目效益欠佳的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分配合理</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项目资金分配结果是否与规划计划一致；是否按规定及时分配专项预算资金</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是否评分法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否</w:t>
            </w:r>
          </w:p>
        </w:tc>
        <w:tc>
          <w:tcPr>
            <w:tcW w:w="187" w:type="pct"/>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p>
        </w:tc>
        <w:tc>
          <w:tcPr>
            <w:tcW w:w="195" w:type="pct"/>
            <w:vAlign w:val="center"/>
          </w:tcPr>
          <w:p>
            <w:pPr>
              <w:spacing w:line="300" w:lineRule="exact"/>
              <w:jc w:val="center"/>
              <w:rPr>
                <w:rFonts w:ascii="仿宋_GB2312" w:hAnsi="Arial Unicode MS" w:cs="Arial Unicode MS"/>
                <w:kern w:val="0"/>
                <w:sz w:val="18"/>
                <w:szCs w:val="18"/>
              </w:rPr>
            </w:pP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按项目法分配的项目，以所有项目点实施完成情况与规划计划情况进行对比。按因素法分配的项目和据实据效分配的项目，将资金分配方向与规划计划支持方向进行对比；分配依据充分的得分，明显不充分扣分。两种情况分值权重各占一半</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使用合规</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项目资金使用是否符合相关的财务管理制度规定</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项目资金是否符合国家财经法规和财务管理制度及有关专项资金管理办法规定；资金拨付是否有完整的审批程序和手续；是否符合项目预算批复或合同规定用途；是否存在截留、挤占、挪用、虚列支出等情况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执行有效</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项目实施是否符合相关管理制度规定</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项目实施是否遵守相关法律法规；项目调整手续是否完备；项目合同、验收报告、技术鉴定等资料是否齐全并及时归档；项目实施的人员条件、场地设备、信息支撑等是否落实到位</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完成结果</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预算完成</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项目资金拨付到具体支持对象企业、项目（人）的情况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指标得分=项目资金到人到户额度/项目资金额度×100%*指标分值</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主要查看项目资金拨付到人到户、到项目、到企业与资金总量的对比</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目标完成</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项目实施后是否完成预期目标</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指标得分=实际完成任务量/绩效目标设定任务量×100%*指标分值</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主要查看项目实施后产出数量指标完成情况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违规记录</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项目管理是否合规</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不合规</w:t>
            </w:r>
          </w:p>
        </w:tc>
        <w:tc>
          <w:tcPr>
            <w:tcW w:w="187" w:type="pct"/>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3处及以上不合规</w:t>
            </w:r>
          </w:p>
        </w:tc>
        <w:tc>
          <w:tcPr>
            <w:tcW w:w="162" w:type="pct"/>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2处不合规</w:t>
            </w:r>
          </w:p>
        </w:tc>
        <w:tc>
          <w:tcPr>
            <w:tcW w:w="195" w:type="pct"/>
            <w:vAlign w:val="center"/>
          </w:tcPr>
          <w:p>
            <w:pPr>
              <w:spacing w:line="220" w:lineRule="exact"/>
              <w:jc w:val="center"/>
              <w:rPr>
                <w:rFonts w:ascii="仿宋_GB2312" w:hAnsi="Arial Unicode MS" w:cs="Arial Unicode MS"/>
                <w:kern w:val="0"/>
                <w:sz w:val="18"/>
                <w:szCs w:val="18"/>
              </w:rPr>
            </w:pPr>
            <w:r>
              <w:rPr>
                <w:rFonts w:ascii="仿宋_GB2312" w:hAnsi="Arial Unicode MS" w:cs="Arial Unicode MS"/>
                <w:kern w:val="0"/>
                <w:sz w:val="18"/>
                <w:szCs w:val="18"/>
              </w:rPr>
              <w:t>1处不合规</w:t>
            </w: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合规</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根据巡视巡察、审计监督、财政检查结果反映专项管理是否合规</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20%</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共性指标</w:t>
            </w:r>
          </w:p>
        </w:tc>
        <w:tc>
          <w:tcPr>
            <w:tcW w:w="449"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产业发展项目</w:t>
            </w: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项目效果</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符合性</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项目实施效果是否与县委、县政府重大产业政策、规划布局、资金投向等匹配吻合</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指标地方=项目实施符合的点位数/所有选点总数×100%*指标分值</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根据项目现场评价实施效果与绩效目标进行对比，汇总所有样本点情况综合分析政策整体吻合度</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成长性</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反映不同类型产业政策实施对相关行业企业成长性的促进作用，主要反映支持对象的创新、创造、创业能力情况，产业结构情况，持续盈利能力情况。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指标得分=各项具体指标得分的平均分</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根据产业政策实施对象的总资产增长率、固定资产增长率、主营业务收入增长率、主营利润增长率、净利润增长率等情况综合判断，统计年鉴相关数据为准</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50%</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特性指标</w:t>
            </w:r>
          </w:p>
        </w:tc>
        <w:tc>
          <w:tcPr>
            <w:tcW w:w="449"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农业产业（包括林业产业）</w:t>
            </w: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经济效益</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增加值提升</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项目实施涉及产值增长情况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指标得分=三年产值平均增长率/标准值*指标分值</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产值增长率=当年涉农产值增量/上一年度涉农产值总量×100%</w:t>
            </w:r>
          </w:p>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重点查看项目实施区域涉农增加值变动情况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年均收入变动率</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项目实施后农户收入变动情况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指标得分=三年人均年收入增长率/标准值*指标分值（三年人均年收入增长率/标准值负值为0，＞1按1计算）</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人均年收入增长率=（项目实施后人均年收入-项目实施前人均年收入）/项目实施前人均年收入×100%</w:t>
            </w:r>
          </w:p>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重点查看三年来农民人均年收入增长变化情况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社会效益</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从业带动能力</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项目带动周边从事相关行业情况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指标得分=三年平均新增带动就业户数/标准值*指标分值</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通过实地走访、调研、收集带动就业户数相关基础数据进行对比分析</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满意度</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项目区域群体满意度</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按根据实际满意度与满意度标准值的比率计算指标得分</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主要调研政策和项目相关方在政策实施过程中的满意值，通过不满意情况汇总分析政策在顶层设计、制度构建、管理实施及成效各环节的情况。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4789" w:type="pct"/>
            <w:gridSpan w:val="13"/>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合计</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94</w:t>
            </w:r>
          </w:p>
        </w:tc>
      </w:tr>
    </w:tbl>
    <w:p>
      <w:pPr>
        <w:rPr>
          <w:b/>
          <w:bCs/>
          <w:sz w:val="24"/>
          <w:szCs w:val="24"/>
        </w:rPr>
      </w:pPr>
      <w:r>
        <w:rPr>
          <w:rFonts w:eastAsia="楷体_GB2312"/>
          <w:b/>
          <w:bCs/>
          <w:sz w:val="24"/>
          <w:szCs w:val="24"/>
        </w:rPr>
        <w:t>相关说明：</w:t>
      </w:r>
    </w:p>
    <w:p>
      <w:pPr>
        <w:rPr>
          <w:b/>
          <w:bCs/>
          <w:sz w:val="24"/>
          <w:szCs w:val="24"/>
        </w:rPr>
      </w:pPr>
      <w:r>
        <w:rPr>
          <w:rFonts w:eastAsia="楷体_GB2312"/>
          <w:b/>
          <w:bCs/>
          <w:sz w:val="24"/>
          <w:szCs w:val="24"/>
        </w:rPr>
        <w:t>1.评分方法归为六类：</w:t>
      </w:r>
    </w:p>
    <w:p>
      <w:pPr>
        <w:rPr>
          <w:sz w:val="24"/>
          <w:szCs w:val="24"/>
        </w:rPr>
      </w:pPr>
      <w:r>
        <w:rPr>
          <w:rFonts w:eastAsia="楷体_GB2312"/>
          <w:b/>
          <w:bCs/>
          <w:sz w:val="24"/>
          <w:szCs w:val="24"/>
        </w:rPr>
        <w:t>（1）是否评分法：</w:t>
      </w:r>
      <w:r>
        <w:rPr>
          <w:sz w:val="24"/>
          <w:szCs w:val="24"/>
        </w:rPr>
        <w:t>适用于合规性等正反判断指标，正向满分，反向0分。</w:t>
      </w:r>
    </w:p>
    <w:p>
      <w:pPr>
        <w:rPr>
          <w:sz w:val="24"/>
          <w:szCs w:val="24"/>
        </w:rPr>
      </w:pPr>
      <w:r>
        <w:rPr>
          <w:rFonts w:eastAsia="楷体_GB2312"/>
          <w:b/>
          <w:bCs/>
          <w:sz w:val="24"/>
          <w:szCs w:val="24"/>
        </w:rPr>
        <w:t>（2）分级评分法：</w:t>
      </w:r>
      <w:r>
        <w:rPr>
          <w:sz w:val="24"/>
          <w:szCs w:val="24"/>
        </w:rPr>
        <w:t>指标评分设置n级权重，指标得分按指标值所处区间的权重计算。</w:t>
      </w:r>
    </w:p>
    <w:p>
      <w:pPr>
        <w:rPr>
          <w:sz w:val="24"/>
          <w:szCs w:val="24"/>
        </w:rPr>
      </w:pPr>
      <w:r>
        <w:rPr>
          <w:rFonts w:eastAsia="楷体_GB2312"/>
          <w:b/>
          <w:bCs/>
          <w:sz w:val="24"/>
          <w:szCs w:val="24"/>
        </w:rPr>
        <w:t>（3）比率分值法：</w:t>
      </w:r>
      <w:r>
        <w:rPr>
          <w:sz w:val="24"/>
          <w:szCs w:val="24"/>
        </w:rPr>
        <w:t>对存在连续性比率的指标，按比率乘以指标分值计算得分。</w:t>
      </w:r>
    </w:p>
    <w:p>
      <w:pPr>
        <w:rPr>
          <w:sz w:val="24"/>
          <w:szCs w:val="24"/>
        </w:rPr>
      </w:pPr>
      <w:r>
        <w:rPr>
          <w:rFonts w:eastAsia="楷体_GB2312"/>
          <w:b/>
          <w:bCs/>
          <w:sz w:val="24"/>
          <w:szCs w:val="24"/>
        </w:rPr>
        <w:t>（4）缺（错）项扣分法：</w:t>
      </w:r>
      <w:r>
        <w:rPr>
          <w:sz w:val="24"/>
          <w:szCs w:val="24"/>
        </w:rPr>
        <w:t>按照要求所具备的事项计算，全部具备得满分，缺少一项扣X分。</w:t>
      </w:r>
    </w:p>
    <w:p>
      <w:pPr>
        <w:rPr>
          <w:sz w:val="24"/>
          <w:szCs w:val="24"/>
        </w:rPr>
      </w:pPr>
      <w:r>
        <w:rPr>
          <w:rFonts w:eastAsia="楷体_GB2312"/>
          <w:b/>
          <w:bCs/>
          <w:sz w:val="24"/>
          <w:szCs w:val="24"/>
        </w:rPr>
        <w:t>（5）满意值赋分法：</w:t>
      </w:r>
      <w:r>
        <w:rPr>
          <w:sz w:val="24"/>
          <w:szCs w:val="24"/>
        </w:rPr>
        <w:t>设置一个满意值，指标值达到满意值得满分，未达到不得分或扣分。</w:t>
      </w:r>
    </w:p>
    <w:p>
      <w:pPr>
        <w:rPr>
          <w:sz w:val="24"/>
          <w:szCs w:val="24"/>
        </w:rPr>
      </w:pPr>
      <w:r>
        <w:rPr>
          <w:rFonts w:eastAsia="楷体_GB2312"/>
          <w:b/>
          <w:bCs/>
          <w:sz w:val="24"/>
          <w:szCs w:val="24"/>
        </w:rPr>
        <w:t>（6）按数累加法：</w:t>
      </w:r>
      <w:r>
        <w:rPr>
          <w:sz w:val="24"/>
          <w:szCs w:val="24"/>
        </w:rPr>
        <w:t>若有必要用于加分项指标。</w:t>
      </w:r>
    </w:p>
    <w:p>
      <w:pPr>
        <w:pStyle w:val="11"/>
        <w:rPr>
          <w:rFonts w:ascii="Times New Roman" w:hAnsi="Times New Roman" w:cs="Times New Roman"/>
        </w:rPr>
      </w:pPr>
      <w:r>
        <w:rPr>
          <w:rFonts w:ascii="Times New Roman" w:hAnsi="Times New Roman" w:eastAsia="楷体_GB2312" w:cs="Times New Roman"/>
          <w:b/>
          <w:bCs/>
        </w:rPr>
        <w:t>2.特性指标二三级指标权重可自行分配。</w:t>
      </w:r>
    </w:p>
    <w:sectPr>
      <w:pgSz w:w="16838" w:h="11906" w:orient="landscape"/>
      <w:pgMar w:top="720" w:right="720" w:bottom="720" w:left="720" w:header="397" w:footer="454" w:gutter="0"/>
      <w:pgNumType w:fmt="numberInDash"/>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Arial Unicode MS">
    <w:panose1 w:val="020B0604020202020204"/>
    <w:charset w:val="80"/>
    <w:family w:val="swiss"/>
    <w:pitch w:val="default"/>
    <w:sig w:usb0="FFFFFFFF" w:usb1="E9FFFFFF"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 w:name="方正公文小标宋">
    <w:altName w:val="宋体"/>
    <w:panose1 w:val="02000500000000000000"/>
    <w:charset w:val="86"/>
    <w:family w:val="auto"/>
    <w:pitch w:val="default"/>
    <w:sig w:usb0="00000000" w:usb1="00000000"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公文楷体">
    <w:altName w:val="楷体_GB2312"/>
    <w:panose1 w:val="02000500000000000000"/>
    <w:charset w:val="86"/>
    <w:family w:val="auto"/>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60"/>
  <w:drawingGridVerticalSpacing w:val="435"/>
  <w:displayHorizont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486FB767-AAF9-4ED3-9C65-63DFE8E9CE0C}" w:val="KUr9E1jDwoctlTxO78vqBJIM23/+6g0CQSWey4p=PHafNzhkLRYZiAVun5bsmFdXG"/>
    <w:docVar w:name="commondata" w:val="eyJoZGlkIjoiZjJiYzRjZDg4ODIxMmZkMzVjYzYxNzIzMDEwYjJjY2IifQ=="/>
    <w:docVar w:name="DocumentID" w:val="{2D7152F4-809D-451C-95F8-5F33FE345812}"/>
  </w:docVars>
  <w:rsids>
    <w:rsidRoot w:val="0B0634F0"/>
    <w:rsid w:val="00247B30"/>
    <w:rsid w:val="00275788"/>
    <w:rsid w:val="002F7F7D"/>
    <w:rsid w:val="004C7C22"/>
    <w:rsid w:val="0051360E"/>
    <w:rsid w:val="00760468"/>
    <w:rsid w:val="00B92D8B"/>
    <w:rsid w:val="00BE2410"/>
    <w:rsid w:val="00D90768"/>
    <w:rsid w:val="00DD55E5"/>
    <w:rsid w:val="0890362F"/>
    <w:rsid w:val="0B0634F0"/>
    <w:rsid w:val="10F772D2"/>
    <w:rsid w:val="1A395A32"/>
    <w:rsid w:val="2101264B"/>
    <w:rsid w:val="25755F61"/>
    <w:rsid w:val="30A9785A"/>
    <w:rsid w:val="3E0844C2"/>
    <w:rsid w:val="402D539C"/>
    <w:rsid w:val="4C086D1A"/>
    <w:rsid w:val="4F0102F5"/>
    <w:rsid w:val="4FBB1C67"/>
    <w:rsid w:val="51234082"/>
    <w:rsid w:val="58102D59"/>
    <w:rsid w:val="5F021EAC"/>
    <w:rsid w:val="63335D92"/>
    <w:rsid w:val="6DED6A5F"/>
    <w:rsid w:val="6E881A5B"/>
    <w:rsid w:val="75562450"/>
    <w:rsid w:val="7E703C3A"/>
    <w:rsid w:val="7E7350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9"/>
    <w:qFormat/>
    <w:uiPriority w:val="0"/>
    <w:pPr>
      <w:keepNext/>
      <w:keepLines/>
      <w:spacing w:before="340" w:after="330" w:line="576" w:lineRule="auto"/>
      <w:outlineLvl w:val="0"/>
    </w:pPr>
    <w:rPr>
      <w:b/>
      <w:kern w:val="44"/>
      <w:sz w:val="44"/>
    </w:rPr>
  </w:style>
  <w:style w:type="paragraph" w:styleId="4">
    <w:name w:val="heading 2"/>
    <w:basedOn w:val="1"/>
    <w:next w:val="1"/>
    <w:link w:val="20"/>
    <w:unhideWhenUsed/>
    <w:qFormat/>
    <w:uiPriority w:val="0"/>
    <w:pPr>
      <w:keepNext/>
      <w:keepLines/>
      <w:spacing w:before="260" w:after="260" w:line="413" w:lineRule="auto"/>
      <w:outlineLvl w:val="1"/>
    </w:pPr>
    <w:rPr>
      <w:rFonts w:ascii="Arial" w:hAnsi="Arial" w:eastAsia="黑体"/>
      <w:b/>
    </w:rPr>
  </w:style>
  <w:style w:type="paragraph" w:styleId="5">
    <w:name w:val="heading 3"/>
    <w:basedOn w:val="1"/>
    <w:next w:val="1"/>
    <w:unhideWhenUsed/>
    <w:qFormat/>
    <w:uiPriority w:val="0"/>
    <w:pPr>
      <w:keepNext/>
      <w:keepLines/>
      <w:spacing w:before="260" w:after="260" w:line="413" w:lineRule="auto"/>
      <w:outlineLvl w:val="2"/>
    </w:pPr>
    <w:rPr>
      <w:b/>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99"/>
    <w:pPr>
      <w:ind w:firstLine="680"/>
    </w:pPr>
  </w:style>
  <w:style w:type="paragraph" w:styleId="6">
    <w:name w:val="index 5"/>
    <w:basedOn w:val="1"/>
    <w:next w:val="1"/>
    <w:qFormat/>
    <w:uiPriority w:val="0"/>
    <w:pPr>
      <w:ind w:left="1680"/>
    </w:pPr>
  </w:style>
  <w:style w:type="paragraph" w:styleId="7">
    <w:name w:val="Body Text"/>
    <w:basedOn w:val="1"/>
    <w:qFormat/>
    <w:uiPriority w:val="1"/>
    <w:pPr>
      <w:ind w:left="492"/>
    </w:pPr>
    <w:rPr>
      <w:rFonts w:ascii="微软雅黑" w:hAnsi="微软雅黑" w:eastAsia="微软雅黑" w:cs="微软雅黑"/>
      <w:b/>
      <w:bCs/>
      <w:lang w:val="zh-CN" w:bidi="zh-CN"/>
    </w:rPr>
  </w:style>
  <w:style w:type="paragraph" w:styleId="8">
    <w:name w:val="Body Text Indent"/>
    <w:basedOn w:val="1"/>
    <w:next w:val="9"/>
    <w:semiHidden/>
    <w:unhideWhenUsed/>
    <w:qFormat/>
    <w:uiPriority w:val="99"/>
    <w:pPr>
      <w:spacing w:after="120"/>
      <w:ind w:left="420" w:leftChars="200"/>
    </w:p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HTML Preformatted"/>
    <w:basedOn w:val="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sz w:val="24"/>
      <w:szCs w:val="24"/>
    </w:rPr>
  </w:style>
  <w:style w:type="paragraph" w:styleId="12">
    <w:name w:val="Normal (Web)"/>
    <w:basedOn w:val="1"/>
    <w:qFormat/>
    <w:uiPriority w:val="0"/>
    <w:pPr>
      <w:spacing w:beforeAutospacing="1" w:afterAutospacing="1"/>
      <w:jc w:val="left"/>
    </w:pPr>
    <w:rPr>
      <w:kern w:val="0"/>
      <w:sz w:val="24"/>
    </w:rPr>
  </w:style>
  <w:style w:type="paragraph" w:styleId="13">
    <w:name w:val="Body Text First Indent 2"/>
    <w:basedOn w:val="8"/>
    <w:next w:val="6"/>
    <w:qFormat/>
    <w:uiPriority w:val="0"/>
    <w:pPr>
      <w:spacing w:after="0" w:line="440" w:lineRule="exact"/>
      <w:ind w:left="0" w:leftChars="0" w:firstLine="420" w:firstLineChars="200"/>
    </w:pPr>
    <w:rPr>
      <w:rFonts w:ascii="仿宋_GB2312"/>
    </w:rPr>
  </w:style>
  <w:style w:type="table" w:styleId="15">
    <w:name w:val="Table Grid"/>
    <w:basedOn w:val="14"/>
    <w:qFormat/>
    <w:uiPriority w:val="39"/>
    <w:rPr>
      <w:rFonts w:ascii="仿宋_GB2312" w:hAnsi="Arial Unicode MS" w:eastAsia="仿宋_GB2312" w:cs="Arial Unicode MS"/>
      <w:sz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page number"/>
    <w:basedOn w:val="16"/>
    <w:qFormat/>
    <w:uiPriority w:val="0"/>
  </w:style>
  <w:style w:type="character" w:customStyle="1" w:styleId="18">
    <w:name w:val="font01"/>
    <w:basedOn w:val="16"/>
    <w:qFormat/>
    <w:uiPriority w:val="0"/>
    <w:rPr>
      <w:rFonts w:hint="eastAsia" w:ascii="宋体" w:hAnsi="宋体" w:eastAsia="宋体" w:cs="宋体"/>
      <w:color w:val="000000"/>
      <w:sz w:val="16"/>
      <w:szCs w:val="16"/>
      <w:u w:val="none"/>
    </w:rPr>
  </w:style>
  <w:style w:type="character" w:customStyle="1" w:styleId="19">
    <w:name w:val="标题 1 字符"/>
    <w:link w:val="3"/>
    <w:qFormat/>
    <w:uiPriority w:val="0"/>
    <w:rPr>
      <w:b/>
      <w:kern w:val="44"/>
      <w:sz w:val="44"/>
    </w:rPr>
  </w:style>
  <w:style w:type="character" w:customStyle="1" w:styleId="20">
    <w:name w:val="标题 2 字符"/>
    <w:link w:val="4"/>
    <w:qFormat/>
    <w:uiPriority w:val="0"/>
    <w:rPr>
      <w:rFonts w:ascii="Arial" w:hAnsi="Arial" w:eastAsia="黑体"/>
      <w:b/>
      <w:sz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1725</Words>
  <Characters>1830</Characters>
  <Lines>305</Lines>
  <Paragraphs>236</Paragraphs>
  <TotalTime>2</TotalTime>
  <ScaleCrop>false</ScaleCrop>
  <LinksUpToDate>false</LinksUpToDate>
  <CharactersWithSpaces>3319</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2023-07-11T01:34:00Z</dcterms:created>
  <dc:creator>徐泉</dc:creator>
  <cp:lastModifiedBy>Administrator</cp:lastModifiedBy>
  <dcterms:modified xsi:type="dcterms:W3CDTF">2023-11-28T06:53:41Z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23365E4A76BC40789C715C73995BE054_11</vt:lpwstr>
  </property>
</Properties>
</file>