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07A5E7">
      <w:pPr>
        <w:rPr>
          <w:rFonts w:ascii="Times New Roman" w:hAnsi="Times New Roman"/>
        </w:rPr>
      </w:pPr>
      <w:bookmarkStart w:id="0" w:name="_Toc15377193"/>
      <w:bookmarkStart w:id="1" w:name="_Toc15396597"/>
      <w:bookmarkStart w:id="2" w:name="_Toc15396475"/>
      <w:bookmarkStart w:id="3" w:name="_Toc15378441"/>
      <w:bookmarkStart w:id="4" w:name="_Toc15377425"/>
      <w:bookmarkStart w:id="5" w:name="_Toc15306267"/>
    </w:p>
    <w:p w14:paraId="35AA5413">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3FB5035">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EB44FB4">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3E3DD5E7">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144BA2A">
      <w:pPr>
        <w:pStyle w:val="6"/>
        <w:jc w:val="center"/>
        <w:rPr>
          <w:rFonts w:hint="eastAsia" w:ascii="Times New Roman" w:eastAsia="方正小标宋简体" w:cs="Times New Roman"/>
          <w:color w:val="auto"/>
          <w:kern w:val="2"/>
          <w:sz w:val="44"/>
          <w:szCs w:val="44"/>
          <w:highlight w:val="none"/>
          <w:lang w:val="en-US" w:eastAsia="zh-CN" w:bidi="ar-SA"/>
        </w:rPr>
      </w:pPr>
      <w:bookmarkStart w:id="6" w:name="_Toc15396598"/>
      <w:bookmarkStart w:id="7" w:name="_Toc15377194"/>
      <w:bookmarkStart w:id="8" w:name="_Toc15377426"/>
      <w:bookmarkStart w:id="9" w:name="_Toc15378442"/>
      <w:bookmarkStart w:id="10" w:name="_Toc15396476"/>
      <w:r>
        <w:rPr>
          <w:rFonts w:hint="eastAsia" w:ascii="Times New Roman" w:eastAsia="方正小标宋简体" w:cs="Times New Roman"/>
          <w:b/>
          <w:bCs/>
          <w:color w:val="auto"/>
          <w:kern w:val="2"/>
          <w:sz w:val="44"/>
          <w:szCs w:val="44"/>
          <w:highlight w:val="none"/>
          <w:lang w:val="en-US" w:eastAsia="zh-CN" w:bidi="ar-SA"/>
        </w:rPr>
        <w:t>2025</w:t>
      </w:r>
      <w:r>
        <w:rPr>
          <w:rFonts w:hint="eastAsia" w:ascii="Times New Roman" w:eastAsia="方正小标宋简体" w:cs="Times New Roman"/>
          <w:color w:val="auto"/>
          <w:kern w:val="2"/>
          <w:sz w:val="44"/>
          <w:szCs w:val="44"/>
          <w:highlight w:val="none"/>
          <w:lang w:val="en-US" w:eastAsia="zh-CN" w:bidi="ar-SA"/>
        </w:rPr>
        <w:t>年度沐川县</w:t>
      </w:r>
      <w:bookmarkEnd w:id="5"/>
      <w:bookmarkStart w:id="11" w:name="_Toc15306268"/>
    </w:p>
    <w:p w14:paraId="31D9F0DD">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底堡乡人民政府单位</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74B3F1BB">
      <w:pP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br w:type="page"/>
      </w:r>
    </w:p>
    <w:p w14:paraId="203FB6F8">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641B6FE2">
      <w:pPr>
        <w:widowControl/>
        <w:jc w:val="center"/>
        <w:rPr>
          <w:rFonts w:ascii="Times New Roman" w:hAnsi="Times New Roman" w:eastAsia="黑体" w:cstheme="minorBidi"/>
          <w:color w:val="auto"/>
          <w:sz w:val="28"/>
          <w:szCs w:val="28"/>
          <w:highlight w:val="none"/>
        </w:rPr>
      </w:pPr>
      <w:r>
        <w:rPr>
          <w:rFonts w:hint="eastAsia" w:ascii="Times New Roman" w:hAnsi="Times New Roman" w:eastAsia="黑体"/>
          <w:color w:val="auto"/>
          <w:sz w:val="48"/>
          <w:szCs w:val="48"/>
          <w:highlight w:val="none"/>
        </w:rPr>
        <w:t>目录</w:t>
      </w:r>
    </w:p>
    <w:p w14:paraId="5655313C">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22</w:t>
      </w:r>
      <w:bookmarkStart w:id="119" w:name="_GoBack"/>
      <w:bookmarkEnd w:id="119"/>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59941"/>
        <w15:color w:val="DBDBDB"/>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13A47563">
          <w:pPr>
            <w:spacing w:before="0" w:beforeLines="0" w:after="0" w:afterLines="0" w:line="240" w:lineRule="auto"/>
            <w:ind w:left="0" w:leftChars="0" w:right="0" w:rightChars="0" w:firstLine="0" w:firstLineChars="0"/>
            <w:jc w:val="center"/>
          </w:pPr>
          <w:bookmarkStart w:id="12" w:name="_Toc1585_WPSOffice_Type2"/>
        </w:p>
        <w:p w14:paraId="6DEE9B2E">
          <w:pPr>
            <w:pStyle w:val="36"/>
            <w:tabs>
              <w:tab w:val="right" w:leader="dot" w:pos="8306"/>
            </w:tabs>
            <w:rPr>
              <w:rFonts w:hint="eastAsia" w:ascii="宋体" w:hAnsi="宋体" w:eastAsia="宋体" w:cs="宋体"/>
              <w:sz w:val="32"/>
              <w:szCs w:val="32"/>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_Toc19573_WPSOffice_Level1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74081"/>
              <w:placeholder>
                <w:docPart w:val="{c78e8935-1451-4ceb-a2bc-92db4f3c290b}"/>
              </w:placeholder>
              <w15:color w:val="509DF3"/>
            </w:sdtPr>
            <w:sdtEndPr>
              <w:rPr>
                <w:rFonts w:hint="eastAsia" w:ascii="宋体" w:hAnsi="宋体" w:eastAsia="宋体" w:cs="宋体"/>
                <w:b w:val="0"/>
                <w:bCs w:val="0"/>
                <w:kern w:val="2"/>
                <w:sz w:val="32"/>
                <w:szCs w:val="32"/>
                <w:lang w:val="en-US" w:eastAsia="zh-CN" w:bidi="ar-SA"/>
              </w:rPr>
            </w:sdtEndPr>
            <w:sdtContent>
              <w:r>
                <w:rPr>
                  <w:rFonts w:hint="eastAsia" w:ascii="宋体" w:hAnsi="宋体" w:eastAsia="宋体" w:cs="宋体"/>
                  <w:b/>
                  <w:bCs/>
                  <w:sz w:val="32"/>
                  <w:szCs w:val="32"/>
                </w:rPr>
                <w:t>第一部分 部门概况</w:t>
              </w:r>
            </w:sdtContent>
          </w:sdt>
          <w:r>
            <w:rPr>
              <w:rFonts w:hint="eastAsia" w:ascii="宋体" w:hAnsi="宋体" w:eastAsia="宋体" w:cs="宋体"/>
              <w:b w:val="0"/>
              <w:bCs w:val="0"/>
              <w:sz w:val="32"/>
              <w:szCs w:val="32"/>
            </w:rPr>
            <w:tab/>
          </w:r>
          <w:r>
            <w:rPr>
              <w:rFonts w:hint="eastAsia" w:ascii="宋体" w:hAnsi="宋体" w:eastAsia="宋体" w:cs="宋体"/>
              <w:b w:val="0"/>
              <w:bCs w:val="0"/>
              <w:sz w:val="32"/>
              <w:szCs w:val="32"/>
              <w:lang w:val="en-US" w:eastAsia="zh-CN"/>
            </w:rPr>
            <w:t>4</w:t>
          </w:r>
          <w:r>
            <w:rPr>
              <w:rFonts w:hint="eastAsia" w:ascii="宋体" w:hAnsi="宋体" w:eastAsia="宋体" w:cs="宋体"/>
              <w:b/>
              <w:bCs/>
              <w:sz w:val="32"/>
              <w:szCs w:val="32"/>
            </w:rPr>
            <w:fldChar w:fldCharType="end"/>
          </w:r>
        </w:p>
        <w:p w14:paraId="4626B523">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_Toc1585_WPSOffice_Level2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7516"/>
              <w:placeholder>
                <w:docPart w:val="{c69de6a3-a9f3-4a29-89ba-b61e5c22cec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一、部门职责</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4</w:t>
          </w:r>
          <w:r>
            <w:rPr>
              <w:rFonts w:hint="eastAsia" w:ascii="宋体" w:hAnsi="宋体" w:eastAsia="宋体" w:cs="宋体"/>
              <w:sz w:val="32"/>
              <w:szCs w:val="32"/>
            </w:rPr>
            <w:fldChar w:fldCharType="end"/>
          </w:r>
        </w:p>
        <w:p w14:paraId="18B99802">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_Toc32164_WPSOffice_Level2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3480"/>
              <w:placeholder>
                <w:docPart w:val="{f8e99e2e-5be9-4f31-a790-0256400a32ca}"/>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二、机构设置</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6</w:t>
          </w:r>
          <w:r>
            <w:rPr>
              <w:rFonts w:hint="eastAsia" w:ascii="宋体" w:hAnsi="宋体" w:eastAsia="宋体" w:cs="宋体"/>
              <w:sz w:val="32"/>
              <w:szCs w:val="32"/>
            </w:rPr>
            <w:fldChar w:fldCharType="end"/>
          </w:r>
        </w:p>
        <w:p w14:paraId="51F031E4">
          <w:pPr>
            <w:pStyle w:val="36"/>
            <w:tabs>
              <w:tab w:val="right" w:leader="dot" w:pos="8306"/>
            </w:tabs>
            <w:rPr>
              <w:rFonts w:hint="eastAsia" w:ascii="宋体" w:hAnsi="宋体" w:eastAsia="宋体" w:cs="宋体"/>
              <w:sz w:val="32"/>
              <w:szCs w:val="32"/>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_Toc1585_WPSOffice_Level1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77174"/>
              <w:placeholder>
                <w:docPart w:val="{25c5a498-478d-48a5-8cf8-2c9915d8bfc7}"/>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第二部分 2025年度部门决算情况说明</w:t>
              </w:r>
            </w:sdtContent>
          </w:sdt>
          <w:r>
            <w:rPr>
              <w:rFonts w:hint="eastAsia" w:ascii="宋体" w:hAnsi="宋体" w:eastAsia="宋体" w:cs="宋体"/>
              <w:b w:val="0"/>
              <w:bCs w:val="0"/>
              <w:sz w:val="32"/>
              <w:szCs w:val="32"/>
            </w:rPr>
            <w:tab/>
          </w:r>
          <w:r>
            <w:rPr>
              <w:rFonts w:hint="eastAsia" w:ascii="宋体" w:hAnsi="宋体" w:eastAsia="宋体" w:cs="宋体"/>
              <w:b w:val="0"/>
              <w:bCs w:val="0"/>
              <w:sz w:val="32"/>
              <w:szCs w:val="32"/>
              <w:lang w:val="en-US" w:eastAsia="zh-CN"/>
            </w:rPr>
            <w:t>7</w:t>
          </w:r>
          <w:r>
            <w:rPr>
              <w:rFonts w:hint="eastAsia" w:ascii="宋体" w:hAnsi="宋体" w:eastAsia="宋体" w:cs="宋体"/>
              <w:b/>
              <w:bCs/>
              <w:sz w:val="32"/>
              <w:szCs w:val="32"/>
            </w:rPr>
            <w:fldChar w:fldCharType="end"/>
          </w:r>
        </w:p>
        <w:p w14:paraId="19BBF1A8">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_Toc9075_WPSOffice_Level2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2743"/>
              <w:placeholder>
                <w:docPart w:val="{5222d798-80ef-4363-b0be-9a95e72d9e2e}"/>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一、收入支出决算总体情况说明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7</w:t>
          </w:r>
          <w:r>
            <w:rPr>
              <w:rFonts w:hint="eastAsia" w:ascii="宋体" w:hAnsi="宋体" w:eastAsia="宋体" w:cs="宋体"/>
              <w:sz w:val="32"/>
              <w:szCs w:val="32"/>
            </w:rPr>
            <w:fldChar w:fldCharType="end"/>
          </w:r>
        </w:p>
        <w:p w14:paraId="2A1F8182">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_Toc16320_WPSOffice_Level2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2710"/>
              <w:placeholder>
                <w:docPart w:val="{59ee2ec6-47ef-4233-bc9e-72c61bcb4293}"/>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二、收入决算情况说明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7</w:t>
          </w:r>
          <w:r>
            <w:rPr>
              <w:rFonts w:hint="eastAsia" w:ascii="宋体" w:hAnsi="宋体" w:eastAsia="宋体" w:cs="宋体"/>
              <w:sz w:val="32"/>
              <w:szCs w:val="32"/>
            </w:rPr>
            <w:fldChar w:fldCharType="end"/>
          </w:r>
        </w:p>
        <w:p w14:paraId="0DB57AF4">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_Toc27415_WPSOffice_Level2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1622"/>
              <w:placeholder>
                <w:docPart w:val="{0a9cdf62-73a3-4954-9846-3eacaa9c9a5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三、支出决算情况说明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8</w:t>
          </w:r>
          <w:r>
            <w:rPr>
              <w:rFonts w:hint="eastAsia" w:ascii="宋体" w:hAnsi="宋体" w:eastAsia="宋体" w:cs="宋体"/>
              <w:sz w:val="32"/>
              <w:szCs w:val="32"/>
            </w:rPr>
            <w:fldChar w:fldCharType="end"/>
          </w:r>
        </w:p>
        <w:p w14:paraId="1A7C71D8">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_Toc11275_WPSOffice_Level2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3424"/>
              <w:placeholder>
                <w:docPart w:val="{874e5884-f2da-4921-b14b-017f0c246625}"/>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四、财政拨款收入支出决算总体情况说明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9</w:t>
          </w:r>
          <w:r>
            <w:rPr>
              <w:rFonts w:hint="eastAsia" w:ascii="宋体" w:hAnsi="宋体" w:eastAsia="宋体" w:cs="宋体"/>
              <w:sz w:val="32"/>
              <w:szCs w:val="32"/>
            </w:rPr>
            <w:fldChar w:fldCharType="end"/>
          </w:r>
        </w:p>
        <w:p w14:paraId="754B97E4">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_Toc5431_WPSOffice_Level2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6181"/>
              <w:placeholder>
                <w:docPart w:val="{e4c926f8-f530-4457-b655-954ad5791da8}"/>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五、一般公共预算财政拨款支出决算情况说明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9</w:t>
          </w:r>
          <w:r>
            <w:rPr>
              <w:rFonts w:hint="eastAsia" w:ascii="宋体" w:hAnsi="宋体" w:eastAsia="宋体" w:cs="宋体"/>
              <w:sz w:val="32"/>
              <w:szCs w:val="32"/>
            </w:rPr>
            <w:fldChar w:fldCharType="end"/>
          </w:r>
        </w:p>
        <w:p w14:paraId="0087D201">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_Toc14030_WPSOffice_Level2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1240"/>
              <w:placeholder>
                <w:docPart w:val="{870b16dd-21de-48e9-9631-fcc07d518479}"/>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六、一般公共预算财政拨款基本支出决算情况说明</w:t>
              </w:r>
            </w:sdtContent>
          </w:sdt>
          <w:r>
            <w:rPr>
              <w:rFonts w:hint="eastAsia" w:ascii="宋体" w:hAnsi="宋体" w:eastAsia="宋体" w:cs="宋体"/>
              <w:sz w:val="32"/>
              <w:szCs w:val="32"/>
            </w:rPr>
            <w:tab/>
          </w:r>
          <w:bookmarkStart w:id="13" w:name="_Toc14030_WPSOffice_Level2Page"/>
          <w:r>
            <w:rPr>
              <w:rFonts w:hint="eastAsia" w:ascii="宋体" w:hAnsi="宋体" w:eastAsia="宋体" w:cs="宋体"/>
              <w:sz w:val="32"/>
              <w:szCs w:val="32"/>
              <w:lang w:val="en-US" w:eastAsia="zh-CN"/>
            </w:rPr>
            <w:t>1</w:t>
          </w:r>
          <w:r>
            <w:rPr>
              <w:rFonts w:hint="eastAsia" w:ascii="宋体" w:hAnsi="宋体" w:eastAsia="宋体" w:cs="宋体"/>
              <w:sz w:val="32"/>
              <w:szCs w:val="32"/>
            </w:rPr>
            <w:t>4</w:t>
          </w:r>
          <w:bookmarkEnd w:id="13"/>
          <w:r>
            <w:rPr>
              <w:rFonts w:hint="eastAsia" w:ascii="宋体" w:hAnsi="宋体" w:eastAsia="宋体" w:cs="宋体"/>
              <w:sz w:val="32"/>
              <w:szCs w:val="32"/>
            </w:rPr>
            <w:fldChar w:fldCharType="end"/>
          </w:r>
        </w:p>
        <w:p w14:paraId="364E10C1">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_Toc22308_WPSOffice_Level2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2824"/>
              <w:placeholder>
                <w:docPart w:val="{8d244b10-409e-407b-8cff-0bfe3260188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七、财政拨款“三公”经费支出决算情况说明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5</w:t>
          </w:r>
        </w:p>
        <w:p w14:paraId="52560705">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_Toc20864_WPSOffice_Level2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9628"/>
              <w:placeholder>
                <w:docPart w:val="{5a6a4bb1-ee96-4452-9608-781840b8cf4f}"/>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八、政府性基金预算支出决算情况说明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6</w:t>
          </w:r>
        </w:p>
        <w:p w14:paraId="665EC0FD">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_Toc20543_WPSOffice_Level2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3091"/>
              <w:placeholder>
                <w:docPart w:val="{9f39555d-7e34-4007-8187-0d7b131d6dae}"/>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九、国有资本经营预算支出决算情况说明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7</w:t>
          </w:r>
        </w:p>
        <w:p w14:paraId="605EE172">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_Toc19132_WPSOffice_Level2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7367"/>
              <w:placeholder>
                <w:docPart w:val="{3761cd58-9aaf-47bd-8624-eb418766efa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十、其他重要事项的情况说明</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1</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7</w:t>
          </w:r>
        </w:p>
        <w:p w14:paraId="1CA271B0">
          <w:pPr>
            <w:pStyle w:val="36"/>
            <w:tabs>
              <w:tab w:val="right" w:leader="dot" w:pos="8306"/>
            </w:tabs>
            <w:rPr>
              <w:rFonts w:hint="eastAsia" w:ascii="宋体" w:hAnsi="宋体" w:eastAsia="宋体" w:cs="宋体"/>
              <w:sz w:val="32"/>
              <w:szCs w:val="32"/>
              <w:lang w:val="en-US" w:eastAsia="zh-CN"/>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_Toc32164_WPSOffice_Level1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80837"/>
              <w:placeholder>
                <w:docPart w:val="{331f9978-afa3-4132-986d-c221e4e7c0ff}"/>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第三部分 名词解释</w:t>
              </w:r>
            </w:sdtContent>
          </w:sdt>
          <w:r>
            <w:rPr>
              <w:rFonts w:hint="eastAsia" w:ascii="宋体" w:hAnsi="宋体" w:eastAsia="宋体" w:cs="宋体"/>
              <w:b/>
              <w:bCs/>
              <w:sz w:val="32"/>
              <w:szCs w:val="32"/>
            </w:rPr>
            <w:tab/>
          </w:r>
          <w:r>
            <w:rPr>
              <w:rFonts w:hint="eastAsia" w:ascii="宋体" w:hAnsi="宋体" w:eastAsia="宋体" w:cs="宋体"/>
              <w:b/>
              <w:bCs/>
              <w:sz w:val="32"/>
              <w:szCs w:val="32"/>
              <w:lang w:val="en-US" w:eastAsia="zh-CN"/>
            </w:rPr>
            <w:t>2</w:t>
          </w:r>
          <w:r>
            <w:rPr>
              <w:rFonts w:hint="eastAsia" w:ascii="宋体" w:hAnsi="宋体" w:eastAsia="宋体" w:cs="宋体"/>
              <w:b/>
              <w:bCs/>
              <w:sz w:val="32"/>
              <w:szCs w:val="32"/>
            </w:rPr>
            <w:fldChar w:fldCharType="end"/>
          </w:r>
          <w:r>
            <w:rPr>
              <w:rFonts w:hint="eastAsia" w:ascii="宋体" w:hAnsi="宋体" w:eastAsia="宋体" w:cs="宋体"/>
              <w:b/>
              <w:bCs/>
              <w:sz w:val="32"/>
              <w:szCs w:val="32"/>
              <w:lang w:val="en-US" w:eastAsia="zh-CN"/>
            </w:rPr>
            <w:t>0</w:t>
          </w:r>
        </w:p>
        <w:p w14:paraId="7551194D">
          <w:pPr>
            <w:pStyle w:val="36"/>
            <w:tabs>
              <w:tab w:val="right" w:leader="dot" w:pos="8306"/>
            </w:tabs>
            <w:rPr>
              <w:rFonts w:hint="eastAsia" w:ascii="宋体" w:hAnsi="宋体" w:eastAsia="宋体" w:cs="宋体"/>
              <w:sz w:val="32"/>
              <w:szCs w:val="32"/>
              <w:lang w:val="en-US" w:eastAsia="zh-CN"/>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_Toc9075_WPSOffice_Level1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78575"/>
              <w:placeholder>
                <w:docPart w:val="{933345c6-9d86-4715-b761-f78d2440e96c}"/>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第四部分 附件</w:t>
              </w:r>
            </w:sdtContent>
          </w:sdt>
          <w:r>
            <w:rPr>
              <w:rFonts w:hint="eastAsia" w:ascii="宋体" w:hAnsi="宋体" w:eastAsia="宋体" w:cs="宋体"/>
              <w:b/>
              <w:bCs/>
              <w:sz w:val="32"/>
              <w:szCs w:val="32"/>
            </w:rPr>
            <w:tab/>
          </w:r>
          <w:r>
            <w:rPr>
              <w:rFonts w:hint="eastAsia" w:ascii="宋体" w:hAnsi="宋体" w:eastAsia="宋体" w:cs="宋体"/>
              <w:b/>
              <w:bCs/>
              <w:sz w:val="32"/>
              <w:szCs w:val="32"/>
              <w:lang w:val="en-US" w:eastAsia="zh-CN"/>
            </w:rPr>
            <w:t>2</w:t>
          </w:r>
          <w:r>
            <w:rPr>
              <w:rFonts w:hint="eastAsia" w:ascii="宋体" w:hAnsi="宋体" w:eastAsia="宋体" w:cs="宋体"/>
              <w:b/>
              <w:bCs/>
              <w:sz w:val="32"/>
              <w:szCs w:val="32"/>
            </w:rPr>
            <w:fldChar w:fldCharType="end"/>
          </w:r>
          <w:r>
            <w:rPr>
              <w:rFonts w:hint="eastAsia" w:ascii="宋体" w:hAnsi="宋体" w:eastAsia="宋体" w:cs="宋体"/>
              <w:b/>
              <w:bCs/>
              <w:sz w:val="32"/>
              <w:szCs w:val="32"/>
              <w:lang w:val="en-US" w:eastAsia="zh-CN"/>
            </w:rPr>
            <w:t>6</w:t>
          </w:r>
        </w:p>
        <w:p w14:paraId="419F7077">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_Toc30346_WPSOffice_Level2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0022"/>
              <w:placeholder>
                <w:docPart w:val="{315cfab6-9101-4f78-afea-aa8a589b2dd7}"/>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附件 1 部门预算绩效评价报告范本</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2</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6</w:t>
          </w:r>
        </w:p>
        <w:p w14:paraId="1DDA4249">
          <w:pPr>
            <w:pStyle w:val="37"/>
            <w:tabs>
              <w:tab w:val="right" w:leader="dot" w:pos="8306"/>
            </w:tabs>
            <w:rPr>
              <w:rFonts w:hint="eastAsia" w:ascii="宋体" w:hAnsi="宋体" w:eastAsia="宋体" w:cs="宋体"/>
              <w:sz w:val="32"/>
              <w:szCs w:val="32"/>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_Toc25345_WPSOffice_Level2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5231"/>
              <w:placeholder>
                <w:docPart w:val="{e2d41912-03cb-4849-9852-9f067f1fc96f}"/>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附件 2 专项预算项目绩效评价报告范本</w:t>
              </w:r>
            </w:sdtContent>
          </w:sdt>
          <w:r>
            <w:rPr>
              <w:rFonts w:hint="eastAsia" w:ascii="宋体" w:hAnsi="宋体" w:eastAsia="宋体" w:cs="宋体"/>
              <w:sz w:val="32"/>
              <w:szCs w:val="32"/>
            </w:rPr>
            <w:tab/>
          </w:r>
          <w:bookmarkStart w:id="14" w:name="_Toc25345_WPSOffice_Level2Page"/>
          <w:r>
            <w:rPr>
              <w:rFonts w:hint="eastAsia" w:ascii="宋体" w:hAnsi="宋体" w:eastAsia="宋体" w:cs="宋体"/>
              <w:sz w:val="32"/>
              <w:szCs w:val="32"/>
              <w:lang w:val="en-US" w:eastAsia="zh-CN"/>
            </w:rPr>
            <w:t>3</w:t>
          </w:r>
          <w:r>
            <w:rPr>
              <w:rFonts w:hint="eastAsia" w:ascii="宋体" w:hAnsi="宋体" w:eastAsia="宋体" w:cs="宋体"/>
              <w:sz w:val="32"/>
              <w:szCs w:val="32"/>
            </w:rPr>
            <w:t>4</w:t>
          </w:r>
          <w:bookmarkEnd w:id="14"/>
          <w:r>
            <w:rPr>
              <w:rFonts w:hint="eastAsia" w:ascii="宋体" w:hAnsi="宋体" w:eastAsia="宋体" w:cs="宋体"/>
              <w:sz w:val="32"/>
              <w:szCs w:val="32"/>
            </w:rPr>
            <w:fldChar w:fldCharType="end"/>
          </w:r>
        </w:p>
        <w:p w14:paraId="00AE39EC">
          <w:pPr>
            <w:pStyle w:val="36"/>
            <w:tabs>
              <w:tab w:val="right" w:leader="dot" w:pos="8306"/>
            </w:tabs>
            <w:rPr>
              <w:rFonts w:hint="eastAsia" w:ascii="宋体" w:hAnsi="宋体" w:eastAsia="宋体" w:cs="宋体"/>
              <w:sz w:val="32"/>
              <w:szCs w:val="32"/>
              <w:lang w:val="en-US" w:eastAsia="zh-CN"/>
            </w:rPr>
          </w:pPr>
          <w:r>
            <w:rPr>
              <w:rFonts w:hint="eastAsia" w:ascii="宋体" w:hAnsi="宋体" w:eastAsia="宋体" w:cs="宋体"/>
              <w:b/>
              <w:bCs/>
              <w:sz w:val="32"/>
              <w:szCs w:val="32"/>
            </w:rPr>
            <w:fldChar w:fldCharType="begin"/>
          </w:r>
          <w:r>
            <w:rPr>
              <w:rFonts w:hint="eastAsia" w:ascii="宋体" w:hAnsi="宋体" w:eastAsia="宋体" w:cs="宋体"/>
              <w:sz w:val="32"/>
              <w:szCs w:val="32"/>
            </w:rPr>
            <w:instrText xml:space="preserve"> HYPERLINK \l _Toc16320_WPSOffice_Level1 </w:instrText>
          </w:r>
          <w:r>
            <w:rPr>
              <w:rFonts w:hint="eastAsia" w:ascii="宋体" w:hAnsi="宋体" w:eastAsia="宋体" w:cs="宋体"/>
              <w:b/>
              <w:bCs/>
              <w:sz w:val="32"/>
              <w:szCs w:val="32"/>
            </w:rPr>
            <w:fldChar w:fldCharType="separate"/>
          </w:r>
          <w:sdt>
            <w:sdtPr>
              <w:rPr>
                <w:rFonts w:hint="eastAsia" w:ascii="宋体" w:hAnsi="宋体" w:eastAsia="宋体" w:cs="宋体"/>
                <w:b/>
                <w:bCs/>
                <w:kern w:val="2"/>
                <w:sz w:val="32"/>
                <w:szCs w:val="32"/>
                <w:lang w:val="en-US" w:eastAsia="zh-CN" w:bidi="ar-SA"/>
              </w:rPr>
              <w:id w:val="147456274"/>
              <w:placeholder>
                <w:docPart w:val="{f178669f-6984-4502-94f4-55fcc772c148}"/>
              </w:placeholder>
              <w15:color w:val="509DF3"/>
            </w:sdtPr>
            <w:sdtEndPr>
              <w:rPr>
                <w:rFonts w:hint="eastAsia" w:ascii="宋体" w:hAnsi="宋体" w:eastAsia="宋体" w:cs="宋体"/>
                <w:b/>
                <w:bCs/>
                <w:kern w:val="2"/>
                <w:sz w:val="32"/>
                <w:szCs w:val="32"/>
                <w:lang w:val="en-US" w:eastAsia="zh-CN" w:bidi="ar-SA"/>
              </w:rPr>
            </w:sdtEndPr>
            <w:sdtContent>
              <w:r>
                <w:rPr>
                  <w:rFonts w:hint="eastAsia" w:ascii="宋体" w:hAnsi="宋体" w:eastAsia="宋体" w:cs="宋体"/>
                  <w:b/>
                  <w:bCs/>
                  <w:sz w:val="32"/>
                  <w:szCs w:val="32"/>
                </w:rPr>
                <w:t>第五部分 附表</w:t>
              </w:r>
            </w:sdtContent>
          </w:sdt>
          <w:r>
            <w:rPr>
              <w:rFonts w:hint="eastAsia" w:ascii="宋体" w:hAnsi="宋体" w:eastAsia="宋体" w:cs="宋体"/>
              <w:b/>
              <w:bCs/>
              <w:sz w:val="32"/>
              <w:szCs w:val="32"/>
            </w:rPr>
            <w:tab/>
          </w:r>
          <w:r>
            <w:rPr>
              <w:rFonts w:hint="eastAsia" w:ascii="宋体" w:hAnsi="宋体" w:eastAsia="宋体" w:cs="宋体"/>
              <w:b/>
              <w:bCs/>
              <w:sz w:val="32"/>
              <w:szCs w:val="32"/>
              <w:lang w:val="en-US" w:eastAsia="zh-CN"/>
            </w:rPr>
            <w:t>3</w:t>
          </w:r>
          <w:r>
            <w:rPr>
              <w:rFonts w:hint="eastAsia" w:ascii="宋体" w:hAnsi="宋体" w:eastAsia="宋体" w:cs="宋体"/>
              <w:b/>
              <w:bCs/>
              <w:sz w:val="32"/>
              <w:szCs w:val="32"/>
            </w:rPr>
            <w:fldChar w:fldCharType="end"/>
          </w:r>
          <w:r>
            <w:rPr>
              <w:rFonts w:hint="eastAsia" w:ascii="宋体" w:hAnsi="宋体" w:eastAsia="宋体" w:cs="宋体"/>
              <w:b/>
              <w:bCs/>
              <w:sz w:val="32"/>
              <w:szCs w:val="32"/>
              <w:lang w:val="en-US" w:eastAsia="zh-CN"/>
            </w:rPr>
            <w:t>9</w:t>
          </w:r>
        </w:p>
        <w:p w14:paraId="5936C85D">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_Toc18661_WPSOffice_Level2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4785"/>
              <w:placeholder>
                <w:docPart w:val="{7ca4576c-f61b-4989-8ee1-aed2644f807a}"/>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一、收入支出决算总表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D6B137E">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_Toc25739_WPSOffice_Level2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2558"/>
              <w:placeholder>
                <w:docPart w:val="{ae305f88-2423-485d-ae11-75f93ddae0f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二、收入决算表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461487A1">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_Toc31765_WPSOffice_Level2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1654"/>
              <w:placeholder>
                <w:docPart w:val="{e9bdd178-67f9-482e-9ec2-653d54aa2497}"/>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三、支出决算表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2094F1DC">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_Toc16057_WPSOffice_Level2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0342"/>
              <w:placeholder>
                <w:docPart w:val="{8a858028-3ebe-4400-94fe-7da22738cb08}"/>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四、财政拨款收入支出决算总表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23DA7A5D">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_Toc16634_WPSOffice_Level2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0772"/>
              <w:placeholder>
                <w:docPart w:val="{b508c286-4181-432d-be84-74d1878f11c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五、财政拨款支出决算明细表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236ACCB">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_Toc27101_WPSOffice_Level2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53582"/>
              <w:placeholder>
                <w:docPart w:val="{99821659-ee6e-49e1-b6d8-16fea59dd2f9}"/>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六、一般公共预算财政拨款支出决算表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0C291BAE">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_Toc30128_WPSOffice_Level2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6783"/>
              <w:placeholder>
                <w:docPart w:val="{97016a4a-209e-42b1-be64-362dbafa90c4}"/>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七、一般公共预算财政拨款支出决算明细表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469B8614">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_Toc15988_WPSOffice_Level2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2576"/>
              <w:placeholder>
                <w:docPart w:val="{abcc4a4c-3273-4f65-aaba-6bd15b03a345}"/>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八、一般公共预算财政拨款基本支出决算明细表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C4F0C5A">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_Toc24677_WPSOffice_Level2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1141"/>
              <w:placeholder>
                <w:docPart w:val="{8f37575c-fc78-4628-8239-275faf034e12}"/>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九、一般公共预算财政拨款项目支出决算表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273D6A54">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_Toc776_WPSOffice_Level2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81275"/>
              <w:placeholder>
                <w:docPart w:val="{1e1eca27-73f5-45ef-8eb0-3d515e4f080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十、政府性基金预算财政拨款收入支出决算表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0EF1FD72">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_Toc18986_WPSOffice_Level2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7085"/>
              <w:placeholder>
                <w:docPart w:val="{d9fef407-d14e-4938-a626-4dd2f3e8c999}"/>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十一、国有资本经营预算财政拨款收入支出决算表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709C4FEA">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_Toc20053_WPSOffice_Level2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68009"/>
              <w:placeholder>
                <w:docPart w:val="{e318152f-7d1c-4f4d-872c-82036fb0061d}"/>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十二、国有资本经营预算财政拨款支出决算表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p w14:paraId="20BCE607">
          <w:pPr>
            <w:pStyle w:val="37"/>
            <w:tabs>
              <w:tab w:val="right" w:leader="dot" w:pos="8306"/>
            </w:tabs>
            <w:rPr>
              <w:rFonts w:hint="eastAsia" w:ascii="宋体" w:hAnsi="宋体" w:eastAsia="宋体" w:cs="宋体"/>
              <w:sz w:val="32"/>
              <w:szCs w:val="32"/>
              <w:lang w:val="en-US" w:eastAsia="zh-CN"/>
            </w:rPr>
          </w:pPr>
          <w:r>
            <w:rPr>
              <w:rFonts w:hint="eastAsia" w:ascii="宋体" w:hAnsi="宋体" w:eastAsia="宋体" w:cs="宋体"/>
              <w:sz w:val="32"/>
              <w:szCs w:val="32"/>
            </w:rPr>
            <w:fldChar w:fldCharType="begin"/>
          </w:r>
          <w:r>
            <w:rPr>
              <w:rFonts w:hint="eastAsia" w:ascii="宋体" w:hAnsi="宋体" w:eastAsia="宋体" w:cs="宋体"/>
              <w:sz w:val="32"/>
              <w:szCs w:val="32"/>
            </w:rPr>
            <w:instrText xml:space="preserve"> HYPERLINK \l _Toc16653_WPSOffice_Level2 </w:instrText>
          </w:r>
          <w:r>
            <w:rPr>
              <w:rFonts w:hint="eastAsia" w:ascii="宋体" w:hAnsi="宋体" w:eastAsia="宋体" w:cs="宋体"/>
              <w:sz w:val="32"/>
              <w:szCs w:val="32"/>
            </w:rPr>
            <w:fldChar w:fldCharType="separate"/>
          </w:r>
          <w:sdt>
            <w:sdtPr>
              <w:rPr>
                <w:rFonts w:hint="eastAsia" w:ascii="宋体" w:hAnsi="宋体" w:eastAsia="宋体" w:cs="宋体"/>
                <w:kern w:val="2"/>
                <w:sz w:val="32"/>
                <w:szCs w:val="32"/>
                <w:lang w:val="en-US" w:eastAsia="zh-CN" w:bidi="ar-SA"/>
              </w:rPr>
              <w:id w:val="147478974"/>
              <w:placeholder>
                <w:docPart w:val="{65524171-a5fa-42a2-b23f-eb9d9f3aa4cc}"/>
              </w:placeholder>
              <w15:color w:val="509DF3"/>
            </w:sdtPr>
            <w:sdtEndPr>
              <w:rPr>
                <w:rFonts w:hint="eastAsia" w:ascii="宋体" w:hAnsi="宋体" w:eastAsia="宋体" w:cs="宋体"/>
                <w:kern w:val="2"/>
                <w:sz w:val="32"/>
                <w:szCs w:val="32"/>
                <w:lang w:val="en-US" w:eastAsia="zh-CN" w:bidi="ar-SA"/>
              </w:rPr>
            </w:sdtEndPr>
            <w:sdtContent>
              <w:r>
                <w:rPr>
                  <w:rFonts w:hint="eastAsia" w:ascii="宋体" w:hAnsi="宋体" w:eastAsia="宋体" w:cs="宋体"/>
                  <w:sz w:val="32"/>
                  <w:szCs w:val="32"/>
                </w:rPr>
                <w:t>十三、财政拨款“三公”经费支出决算表</w:t>
              </w:r>
            </w:sdtContent>
          </w:sdt>
          <w:r>
            <w:rPr>
              <w:rFonts w:hint="eastAsia" w:ascii="宋体" w:hAnsi="宋体" w:eastAsia="宋体" w:cs="宋体"/>
              <w:sz w:val="32"/>
              <w:szCs w:val="32"/>
            </w:rPr>
            <w:tab/>
          </w:r>
          <w:r>
            <w:rPr>
              <w:rFonts w:hint="eastAsia" w:ascii="宋体" w:hAnsi="宋体" w:eastAsia="宋体" w:cs="宋体"/>
              <w:sz w:val="32"/>
              <w:szCs w:val="32"/>
              <w:lang w:val="en-US" w:eastAsia="zh-CN"/>
            </w:rPr>
            <w:t>3</w:t>
          </w:r>
          <w:r>
            <w:rPr>
              <w:rFonts w:hint="eastAsia" w:ascii="宋体" w:hAnsi="宋体" w:eastAsia="宋体" w:cs="宋体"/>
              <w:sz w:val="32"/>
              <w:szCs w:val="32"/>
            </w:rPr>
            <w:fldChar w:fldCharType="end"/>
          </w:r>
          <w:r>
            <w:rPr>
              <w:rFonts w:hint="eastAsia" w:ascii="宋体" w:hAnsi="宋体" w:eastAsia="宋体" w:cs="宋体"/>
              <w:sz w:val="32"/>
              <w:szCs w:val="32"/>
              <w:lang w:val="en-US" w:eastAsia="zh-CN"/>
            </w:rPr>
            <w:t>9</w:t>
          </w:r>
        </w:p>
        <w:bookmarkEnd w:id="12"/>
        <w:p w14:paraId="519EAB41">
          <w:pPr>
            <w:pStyle w:val="37"/>
            <w:tabs>
              <w:tab w:val="right" w:leader="dot" w:pos="8306"/>
            </w:tabs>
          </w:pPr>
          <w:bookmarkStart w:id="15" w:name="_Toc19573_WPSOffice_Level1"/>
        </w:p>
      </w:sdtContent>
    </w:sdt>
    <w:bookmarkEnd w:id="15"/>
    <w:p w14:paraId="68D73C7B">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6" w:name="_Toc15396599"/>
      <w:bookmarkStart w:id="17" w:name="_Toc15377196"/>
      <w:r>
        <w:rPr>
          <w:rFonts w:hint="eastAsia" w:ascii="Times New Roman" w:hAnsi="Times New Roman" w:eastAsia="仿宋_GB2312" w:cs="仿宋_GB2312"/>
          <w:b/>
          <w:color w:val="auto"/>
          <w:sz w:val="32"/>
          <w:szCs w:val="32"/>
          <w:highlight w:val="none"/>
        </w:rPr>
        <w:br w:type="page"/>
      </w:r>
    </w:p>
    <w:p w14:paraId="269A5FEC">
      <w:pPr>
        <w:pStyle w:val="3"/>
        <w:bidi w:val="0"/>
        <w:rPr>
          <w:rFonts w:hint="eastAsia"/>
        </w:rPr>
      </w:pPr>
      <w:bookmarkStart w:id="18" w:name="_Toc9601_WPSOffice_Level1"/>
      <w:bookmarkStart w:id="19" w:name="_Toc11275_WPSOffice_Level1"/>
      <w:r>
        <w:rPr>
          <w:rFonts w:hint="eastAsia"/>
        </w:rPr>
        <w:t>第一部分</w:t>
      </w:r>
      <w:r>
        <w:rPr>
          <w:rFonts w:hint="eastAsia"/>
          <w:lang w:val="en-US" w:eastAsia="zh-CN"/>
        </w:rPr>
        <w:t xml:space="preserve"> </w:t>
      </w:r>
      <w:r>
        <w:rPr>
          <w:rFonts w:hint="eastAsia"/>
        </w:rPr>
        <w:t xml:space="preserve"> 部门概况</w:t>
      </w:r>
      <w:bookmarkEnd w:id="16"/>
      <w:bookmarkEnd w:id="17"/>
      <w:bookmarkEnd w:id="18"/>
      <w:bookmarkEnd w:id="19"/>
    </w:p>
    <w:p w14:paraId="5A21DDA9">
      <w:pPr>
        <w:widowControl/>
        <w:jc w:val="left"/>
        <w:rPr>
          <w:rFonts w:ascii="Times New Roman" w:hAnsi="Times New Roman" w:eastAsia="黑体"/>
          <w:color w:val="auto"/>
          <w:sz w:val="32"/>
          <w:szCs w:val="32"/>
          <w:highlight w:val="none"/>
        </w:rPr>
      </w:pPr>
    </w:p>
    <w:p w14:paraId="6421CE52">
      <w:pPr>
        <w:pStyle w:val="4"/>
        <w:numPr>
          <w:ilvl w:val="0"/>
          <w:numId w:val="1"/>
        </w:numPr>
        <w:bidi w:val="0"/>
        <w:rPr>
          <w:rFonts w:hint="eastAsia"/>
          <w:lang w:eastAsia="zh-CN"/>
        </w:rPr>
      </w:pPr>
      <w:bookmarkStart w:id="20" w:name="_Toc1897_WPSOffice_Level2"/>
      <w:r>
        <w:rPr>
          <w:rFonts w:hint="eastAsia"/>
          <w:lang w:eastAsia="zh-CN"/>
        </w:rPr>
        <w:t>部门职责</w:t>
      </w:r>
      <w:bookmarkEnd w:id="20"/>
    </w:p>
    <w:p w14:paraId="3DAB3CBB">
      <w:pPr>
        <w:numPr>
          <w:ilvl w:val="0"/>
          <w:numId w:val="2"/>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21" w:name="_Toc15396601"/>
      <w:bookmarkStart w:id="22" w:name="_Toc15377200"/>
      <w:r>
        <w:rPr>
          <w:rFonts w:hint="eastAsia" w:ascii="Times New Roman" w:hAnsi="Times New Roman" w:eastAsia="楷体_GB2312" w:cs="楷体_GB2312"/>
          <w:b/>
          <w:color w:val="auto"/>
          <w:sz w:val="32"/>
          <w:szCs w:val="32"/>
          <w:highlight w:val="none"/>
          <w:lang w:val="en-US" w:eastAsia="zh-CN"/>
        </w:rPr>
        <w:t>乡党委主要职责。</w:t>
      </w:r>
    </w:p>
    <w:p w14:paraId="511BF098">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一是宣传和贯彻执行党的路线方针政策和党中央、上级党组织及乡党员代表大会的决议。</w:t>
      </w:r>
    </w:p>
    <w:p w14:paraId="007A65F0">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二是讨论和决定加强党的建设、经济建设、政治建设、文化建设、社会建设、生态文明建设以及乡村振兴中重大事项。</w:t>
      </w:r>
    </w:p>
    <w:p w14:paraId="0A3AF7DC">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三是领导乡人民政府、群团组织和其他各类组织，支持并保证机关和组织依照国家法律法规以及各自章程履行职责。领导全乡人民武装工作。</w:t>
      </w:r>
    </w:p>
    <w:p w14:paraId="3B6D88BD">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四是加强乡党委自身建设和村（社区）党组织建设，以及其他隶属乡党委的党组织建设，抓好发展党员工作，加强党员队伍建设。认真履行党风廉政建设主体责任和监督责任。</w:t>
      </w:r>
    </w:p>
    <w:p w14:paraId="7DB820FD">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五是按照干部管理权限，负责干部的教育、培训、选拔、考核和监督等工作，协助管理上级有关部门驻乡单位的干部，做好人才服务和引进工作。</w:t>
      </w:r>
    </w:p>
    <w:p w14:paraId="2AEB5F09">
      <w:pPr>
        <w:pStyle w:val="6"/>
        <w:bidi w:val="0"/>
        <w:spacing w:beforeLines="-2147483648" w:line="600" w:lineRule="exact"/>
        <w:ind w:firstLine="640" w:firstLineChars="200"/>
        <w:rPr>
          <w:rFonts w:hint="eastAsia" w:ascii="仿宋_GB2312" w:hAnsi="仿宋_GB2312" w:eastAsia="仿宋_GB2312" w:cs="仿宋_GB2312"/>
          <w:bCs/>
          <w:color w:val="000000"/>
          <w:kern w:val="0"/>
          <w:sz w:val="32"/>
          <w:szCs w:val="32"/>
          <w:highlight w:val="none"/>
          <w:lang w:val="en-US" w:eastAsia="zh-CN" w:bidi="ar-SA"/>
        </w:rPr>
      </w:pPr>
      <w:r>
        <w:rPr>
          <w:rFonts w:hint="eastAsia" w:hAnsi="仿宋_GB2312"/>
          <w:sz w:val="32"/>
          <w:lang w:val="en-US" w:eastAsia="zh-CN"/>
        </w:rPr>
        <w:t>六是加强基层治理体系建设，领导全乡的基层治理，加强社会主义民主法治建设和精神文明建设，加强社会治安综合治理，做好乡村振兴、生态环保、民生保障、统战等工作；七是完成上级党委交办的其他任务。</w:t>
      </w:r>
    </w:p>
    <w:p w14:paraId="19F21E39">
      <w:pPr>
        <w:keepNext w:val="0"/>
        <w:keepLines w:val="0"/>
        <w:widowControl/>
        <w:suppressLineNumbers w:val="0"/>
        <w:ind w:firstLine="643" w:firstLineChars="200"/>
        <w:jc w:val="left"/>
      </w:pPr>
      <w:r>
        <w:rPr>
          <w:rFonts w:hint="eastAsia" w:ascii="Times New Roman" w:hAnsi="Times New Roman" w:eastAsia="楷体_GB2312" w:cs="楷体_GB2312"/>
          <w:b/>
          <w:color w:val="auto"/>
          <w:sz w:val="32"/>
          <w:szCs w:val="32"/>
          <w:highlight w:val="none"/>
          <w:lang w:val="en-US" w:eastAsia="zh-CN"/>
        </w:rPr>
        <w:t>（二）乡人民政府主要职责。</w:t>
      </w:r>
      <w:r>
        <w:rPr>
          <w:rFonts w:ascii="仿宋_GB2312" w:hAnsi="宋体" w:eastAsia="仿宋_GB2312" w:cs="仿宋_GB2312"/>
          <w:color w:val="000000"/>
          <w:kern w:val="0"/>
          <w:sz w:val="31"/>
          <w:szCs w:val="31"/>
          <w:lang w:val="en-US" w:eastAsia="zh-CN" w:bidi="ar"/>
        </w:rPr>
        <w:t xml:space="preserve"> </w:t>
      </w:r>
    </w:p>
    <w:p w14:paraId="7B564AC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一是贯彻落实党的路线方针政策和国家法律法规以及上级党委、政府的决议、决定和命令，执行乡党委和乡人民代表大会的决议，加强农村基层政权建设，巩固党在农村的执政基础。 </w:t>
      </w:r>
    </w:p>
    <w:p w14:paraId="7753C317">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二是组织编制本行政区域经济社会发展规划和乡国土空间规划。负责农村基础设施和各项公益事业建设，巩固扩展脱贫攻坚成果，实施乡村振兴战略，加快经济社会发展，改善群众生产生活环境。 </w:t>
      </w:r>
    </w:p>
    <w:p w14:paraId="5410300E">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三是指导农村经济发展，推进农业经济结构调整，促进农村经济增长、农业增效、农民增收。 </w:t>
      </w:r>
    </w:p>
    <w:p w14:paraId="5A21682E">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四是加强农村公共服务体系建设，抓好基础教育、科技、文化、体育、卫生健康、食（药）品安全等工作，做好民政事务、残疾、老龄、就业创业、社会保障、劳动关系协调、民族宗教、退役军人事务、统计等工作，促进农村社会事业健康发展。 </w:t>
      </w:r>
    </w:p>
    <w:p w14:paraId="0EE7D1FB">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五是负责辖区内自然资源、生态环境保护、森林防灭火、防汛抗旱、耕地保护、粮食安全、供销合作社等工作。 </w:t>
      </w:r>
    </w:p>
    <w:p w14:paraId="1CB667DC">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六是推进基层民主法治建设，加强普法依法治理，指导村（居）民委员会工作，维护群众合法权益。 </w:t>
      </w:r>
    </w:p>
    <w:p w14:paraId="135FF10E">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七是承担辖区平安建设、社会治安综合治理、安全和应急管理等有关工作。负责群众来信来访，反映社情民意，化解矛盾纠纷，维护社会安全稳定。 </w:t>
      </w:r>
    </w:p>
    <w:p w14:paraId="29685C90">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八是负责清理编制执行权责清单、公共服务清单事项，承接落实赋权乡镇行政权力事项。建立清单动态调整和公示机制，推进政务公开，接受群众监督，增强政府公信力。</w:t>
      </w:r>
    </w:p>
    <w:p w14:paraId="2E38D7A0">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九是负责国防教育、兵役征集、民兵预备役等有关工作。</w:t>
      </w:r>
    </w:p>
    <w:p w14:paraId="0279AC9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十是承担法律、法规、规章规定的其他职能和上级党委、政府交办的其他工作。 </w:t>
      </w:r>
    </w:p>
    <w:p w14:paraId="71B915F7">
      <w:pPr>
        <w:pStyle w:val="2"/>
        <w:rPr>
          <w:rFonts w:hint="eastAsia"/>
          <w:lang w:val="en-US" w:eastAsia="zh-CN"/>
        </w:rPr>
      </w:pPr>
    </w:p>
    <w:p w14:paraId="46850A71">
      <w:pPr>
        <w:pStyle w:val="4"/>
        <w:numPr>
          <w:ilvl w:val="0"/>
          <w:numId w:val="1"/>
        </w:numPr>
        <w:bidi w:val="0"/>
        <w:rPr>
          <w:rFonts w:hint="eastAsia"/>
          <w:lang w:eastAsia="zh-CN"/>
        </w:rPr>
      </w:pPr>
      <w:bookmarkStart w:id="23" w:name="_Toc17466_WPSOffice_Level2"/>
      <w:r>
        <w:rPr>
          <w:rFonts w:hint="eastAsia"/>
          <w:lang w:eastAsia="zh-CN"/>
        </w:rPr>
        <w:t>机构设置</w:t>
      </w:r>
      <w:bookmarkEnd w:id="21"/>
      <w:bookmarkEnd w:id="22"/>
      <w:bookmarkEnd w:id="23"/>
    </w:p>
    <w:p w14:paraId="6FA3380B">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zh-CN"/>
        </w:rPr>
        <w:t>沐川县底堡乡人民政府下属二级预算单位 3 个，其中 行政单位 1 个，其他事业单位 2 个。</w:t>
      </w:r>
    </w:p>
    <w:p w14:paraId="45083D59">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en-US" w:eastAsia="zh-CN"/>
        </w:rPr>
        <w:t>无</w:t>
      </w:r>
      <w:r>
        <w:rPr>
          <w:rFonts w:hint="eastAsia" w:hAnsi="仿宋_GB2312"/>
          <w:sz w:val="32"/>
          <w:lang w:val="zh-CN"/>
        </w:rPr>
        <w:t>纳入</w:t>
      </w:r>
      <w:r>
        <w:rPr>
          <w:rFonts w:hint="eastAsia" w:hAnsi="仿宋_GB2312"/>
          <w:sz w:val="32"/>
          <w:lang w:val="zh-CN" w:eastAsia="zh-CN"/>
        </w:rPr>
        <w:t>2025年度</w:t>
      </w:r>
      <w:r>
        <w:rPr>
          <w:rFonts w:hint="eastAsia" w:hAnsi="仿宋_GB2312"/>
          <w:sz w:val="32"/>
          <w:lang w:val="zh-CN"/>
        </w:rPr>
        <w:t>部门决算编制范围的二级预算单位</w:t>
      </w:r>
      <w:r>
        <w:rPr>
          <w:rFonts w:hint="eastAsia" w:hAnsi="仿宋_GB2312"/>
          <w:sz w:val="32"/>
          <w:lang w:val="zh-CN" w:eastAsia="zh-CN"/>
        </w:rPr>
        <w:t>。</w:t>
      </w:r>
    </w:p>
    <w:p w14:paraId="6AB5D964">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152A1746">
      <w:pPr>
        <w:pStyle w:val="3"/>
        <w:bidi w:val="0"/>
        <w:rPr>
          <w:rFonts w:hint="eastAsia"/>
        </w:rPr>
      </w:pPr>
      <w:bookmarkStart w:id="24" w:name="_Toc15396602"/>
      <w:bookmarkStart w:id="25" w:name="_Toc5431_WPSOffice_Level1"/>
      <w:bookmarkStart w:id="26" w:name="_Toc6400_WPSOffice_Level1"/>
      <w:bookmarkStart w:id="27" w:name="_Toc15377204"/>
      <w:r>
        <w:rPr>
          <w:rFonts w:hint="eastAsia"/>
        </w:rPr>
        <w:t>第二部分</w:t>
      </w:r>
      <w:r>
        <w:rPr>
          <w:rFonts w:hint="eastAsia"/>
          <w:lang w:val="en-US" w:eastAsia="zh-CN"/>
        </w:rPr>
        <w:t xml:space="preserve"> </w:t>
      </w:r>
      <w:r>
        <w:rPr>
          <w:rFonts w:hint="eastAsia"/>
        </w:rPr>
        <w:t xml:space="preserve"> </w:t>
      </w:r>
      <w:r>
        <w:rPr>
          <w:rFonts w:hint="eastAsia"/>
          <w:b w:val="0"/>
          <w:bCs w:val="0"/>
          <w:lang w:val="en-US" w:eastAsia="zh-CN"/>
        </w:rPr>
        <w:t>2025</w:t>
      </w:r>
      <w:r>
        <w:rPr>
          <w:rFonts w:hint="eastAsia"/>
          <w:lang w:val="en-US" w:eastAsia="zh-CN"/>
        </w:rPr>
        <w:t>年度</w:t>
      </w:r>
      <w:r>
        <w:rPr>
          <w:rFonts w:hint="eastAsia"/>
        </w:rPr>
        <w:t>部门决算情况说明</w:t>
      </w:r>
      <w:bookmarkEnd w:id="24"/>
      <w:bookmarkEnd w:id="25"/>
      <w:bookmarkEnd w:id="26"/>
      <w:bookmarkEnd w:id="27"/>
    </w:p>
    <w:p w14:paraId="7F6038C9">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28" w:name="_Toc15396603"/>
      <w:bookmarkStart w:id="29" w:name="_Toc15377205"/>
      <w:bookmarkStart w:id="30" w:name="_Toc23499_WPSOffice_Level2"/>
      <w:r>
        <w:rPr>
          <w:rFonts w:hint="eastAsia" w:eastAsia="黑体" w:asciiTheme="majorAscii" w:hAnsiTheme="majorAscii"/>
          <w:b w:val="0"/>
          <w:bCs w:val="0"/>
          <w:lang w:eastAsia="zh-CN"/>
        </w:rPr>
        <w:t>收入支出决算总体情况说明</w:t>
      </w:r>
      <w:bookmarkEnd w:id="28"/>
      <w:bookmarkEnd w:id="29"/>
      <w:bookmarkEnd w:id="30"/>
    </w:p>
    <w:p w14:paraId="00D78840">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 xml:space="preserve">2025年度收入、支出总计均为1258.18万元。与上年度相比，收入、支出总计各增加71.17万元，增长6.00%。主要变动原因是我单位2025年新增公务人员2名、事业人员2名，相关相关薪资、社会保障和就业支出、住房保障等费用增加；2025 年在农业项目投入有所增加，所以农林水支出较 </w:t>
      </w:r>
      <w:r>
        <w:rPr>
          <w:rFonts w:hint="default" w:hAnsi="仿宋_GB2312"/>
          <w:sz w:val="32"/>
          <w:lang w:val="en-US" w:eastAsia="zh-CN"/>
        </w:rPr>
        <w:t>202</w:t>
      </w:r>
      <w:r>
        <w:rPr>
          <w:rFonts w:hint="eastAsia" w:hAnsi="仿宋_GB2312"/>
          <w:sz w:val="32"/>
          <w:lang w:val="en-US" w:eastAsia="zh-CN"/>
        </w:rPr>
        <w:t>4</w:t>
      </w:r>
      <w:r>
        <w:rPr>
          <w:rFonts w:hint="default" w:hAnsi="仿宋_GB2312"/>
          <w:sz w:val="32"/>
          <w:lang w:val="en-US" w:eastAsia="zh-CN"/>
        </w:rPr>
        <w:t xml:space="preserve"> </w:t>
      </w:r>
      <w:r>
        <w:rPr>
          <w:rFonts w:hint="eastAsia" w:hAnsi="仿宋_GB2312"/>
          <w:sz w:val="32"/>
          <w:lang w:val="en-US" w:eastAsia="zh-CN"/>
        </w:rPr>
        <w:t>年增加。</w:t>
      </w:r>
    </w:p>
    <w:p w14:paraId="1F4026DD">
      <w:pPr>
        <w:keepNext w:val="0"/>
        <w:keepLines w:val="0"/>
        <w:widowControl/>
        <w:suppressLineNumbers w:val="0"/>
        <w:jc w:val="left"/>
        <w:rPr>
          <w:rFonts w:hint="default"/>
          <w:lang w:val="en-US"/>
        </w:rPr>
      </w:pPr>
    </w:p>
    <w:p w14:paraId="5B47E321">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584065" cy="2755265"/>
            <wp:effectExtent l="0" t="0" r="6985" b="6985"/>
            <wp:docPr id="1" name="图片 1" descr="总收支变动情况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总收支变动情况表1"/>
                    <pic:cNvPicPr>
                      <a:picLocks noChangeAspect="1"/>
                    </pic:cNvPicPr>
                  </pic:nvPicPr>
                  <pic:blipFill>
                    <a:blip r:embed="rId7"/>
                    <a:stretch>
                      <a:fillRect/>
                    </a:stretch>
                  </pic:blipFill>
                  <pic:spPr>
                    <a:xfrm>
                      <a:off x="0" y="0"/>
                      <a:ext cx="4584065" cy="2755265"/>
                    </a:xfrm>
                    <a:prstGeom prst="rect">
                      <a:avLst/>
                    </a:prstGeom>
                  </pic:spPr>
                </pic:pic>
              </a:graphicData>
            </a:graphic>
          </wp:inline>
        </w:drawing>
      </w:r>
    </w:p>
    <w:p w14:paraId="2FD98BC6">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14:paraId="372AB38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rPr>
      </w:pPr>
    </w:p>
    <w:p w14:paraId="39AC7790">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31" w:name="_Toc29178_WPSOffice_Level2"/>
      <w:bookmarkStart w:id="32" w:name="_Toc15396604"/>
      <w:bookmarkStart w:id="33" w:name="_Toc15377206"/>
      <w:r>
        <w:rPr>
          <w:rFonts w:hint="eastAsia" w:eastAsia="黑体" w:asciiTheme="majorAscii" w:hAnsiTheme="majorAscii"/>
          <w:b w:val="0"/>
          <w:bCs w:val="0"/>
          <w:lang w:eastAsia="zh-CN"/>
        </w:rPr>
        <w:t>收入决算情况说明</w:t>
      </w:r>
      <w:bookmarkEnd w:id="31"/>
      <w:bookmarkEnd w:id="32"/>
      <w:bookmarkEnd w:id="33"/>
    </w:p>
    <w:p w14:paraId="1C9893CB">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zh-CN" w:eastAsia="zh-CN"/>
        </w:rPr>
        <w:t>2025年度本年收入合计1258.18万元，其中：一般公共预算财政拨款收入1258.18万元，占</w:t>
      </w:r>
      <w:r>
        <w:rPr>
          <w:rFonts w:hint="eastAsia" w:hAnsi="仿宋_GB2312"/>
          <w:sz w:val="32"/>
          <w:lang w:val="en-US" w:eastAsia="zh-CN"/>
        </w:rPr>
        <w:t>100</w:t>
      </w:r>
      <w:r>
        <w:rPr>
          <w:rFonts w:hint="eastAsia" w:hAnsi="仿宋_GB2312"/>
          <w:sz w:val="32"/>
          <w:lang w:val="zh-CN" w:eastAsia="zh-CN"/>
        </w:rPr>
        <w:t>%。</w:t>
      </w:r>
    </w:p>
    <w:p w14:paraId="1414C8B6">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584065" cy="2755265"/>
            <wp:effectExtent l="0" t="0" r="6985" b="6985"/>
            <wp:docPr id="2" name="图片 2" descr="总收支变动情况表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总收支变动情况表1"/>
                    <pic:cNvPicPr>
                      <a:picLocks noChangeAspect="1"/>
                    </pic:cNvPicPr>
                  </pic:nvPicPr>
                  <pic:blipFill>
                    <a:blip r:embed="rId7"/>
                    <a:stretch>
                      <a:fillRect/>
                    </a:stretch>
                  </pic:blipFill>
                  <pic:spPr>
                    <a:xfrm>
                      <a:off x="0" y="0"/>
                      <a:ext cx="4584065" cy="2755265"/>
                    </a:xfrm>
                    <a:prstGeom prst="rect">
                      <a:avLst/>
                    </a:prstGeom>
                  </pic:spPr>
                </pic:pic>
              </a:graphicData>
            </a:graphic>
          </wp:inline>
        </w:drawing>
      </w:r>
    </w:p>
    <w:p w14:paraId="6871CE58">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bookmarkStart w:id="34" w:name="_Toc15377207"/>
      <w:bookmarkStart w:id="35" w:name="_Toc15396605"/>
    </w:p>
    <w:p w14:paraId="5EBFFCAF">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p>
    <w:p w14:paraId="7920BC70">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36" w:name="_Toc1019_WPSOffice_Level2"/>
      <w:r>
        <w:rPr>
          <w:rFonts w:hint="eastAsia" w:eastAsia="黑体" w:asciiTheme="majorAscii" w:hAnsiTheme="majorAscii"/>
          <w:b w:val="0"/>
          <w:bCs w:val="0"/>
          <w:lang w:eastAsia="zh-CN"/>
        </w:rPr>
        <w:t>支出决算情况说明</w:t>
      </w:r>
      <w:bookmarkEnd w:id="34"/>
      <w:bookmarkEnd w:id="35"/>
      <w:bookmarkEnd w:id="36"/>
    </w:p>
    <w:p w14:paraId="7CB30F78">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zh-CN" w:eastAsia="zh-CN"/>
        </w:rPr>
        <w:t>2025年度本年支出合计</w:t>
      </w:r>
      <w:r>
        <w:rPr>
          <w:rFonts w:hint="eastAsia" w:hAnsi="仿宋_GB2312"/>
          <w:sz w:val="32"/>
          <w:lang w:val="en-US" w:eastAsia="zh-CN"/>
        </w:rPr>
        <w:t>1258.18</w:t>
      </w:r>
      <w:r>
        <w:rPr>
          <w:rFonts w:hint="eastAsia" w:hAnsi="仿宋_GB2312"/>
          <w:sz w:val="32"/>
          <w:lang w:val="zh-CN" w:eastAsia="zh-CN"/>
        </w:rPr>
        <w:t>万元，其中：基本支出838.48万元，占</w:t>
      </w:r>
      <w:r>
        <w:rPr>
          <w:rFonts w:hint="eastAsia" w:hAnsi="仿宋_GB2312"/>
          <w:sz w:val="32"/>
          <w:lang w:val="en-US" w:eastAsia="zh-CN"/>
        </w:rPr>
        <w:t>66.63</w:t>
      </w:r>
      <w:r>
        <w:rPr>
          <w:rFonts w:hint="eastAsia" w:hAnsi="仿宋_GB2312"/>
          <w:sz w:val="32"/>
          <w:lang w:val="zh-CN" w:eastAsia="zh-CN"/>
        </w:rPr>
        <w:t>%；项目支出419.7万元，占</w:t>
      </w:r>
      <w:r>
        <w:rPr>
          <w:rFonts w:hint="eastAsia" w:hAnsi="仿宋_GB2312"/>
          <w:sz w:val="32"/>
          <w:lang w:val="en-US" w:eastAsia="zh-CN"/>
        </w:rPr>
        <w:t>33.37</w:t>
      </w:r>
      <w:r>
        <w:rPr>
          <w:rFonts w:hint="eastAsia" w:hAnsi="仿宋_GB2312"/>
          <w:sz w:val="32"/>
          <w:lang w:val="zh-CN" w:eastAsia="zh-CN"/>
        </w:rPr>
        <w:t>%。</w:t>
      </w:r>
    </w:p>
    <w:p w14:paraId="522ED8FF">
      <w:pPr>
        <w:pStyle w:val="28"/>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outlineLvl w:val="1"/>
        <w:rPr>
          <w:rFonts w:hint="eastAsia"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drawing>
          <wp:inline distT="0" distB="0" distL="114300" distR="114300">
            <wp:extent cx="4543425" cy="2731135"/>
            <wp:effectExtent l="0" t="0" r="9525" b="12065"/>
            <wp:docPr id="3" name="图片 3" descr="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支出决算结构图"/>
                    <pic:cNvPicPr>
                      <a:picLocks noChangeAspect="1"/>
                    </pic:cNvPicPr>
                  </pic:nvPicPr>
                  <pic:blipFill>
                    <a:blip r:embed="rId8"/>
                    <a:stretch>
                      <a:fillRect/>
                    </a:stretch>
                  </pic:blipFill>
                  <pic:spPr>
                    <a:xfrm>
                      <a:off x="0" y="0"/>
                      <a:ext cx="4543425" cy="2731135"/>
                    </a:xfrm>
                    <a:prstGeom prst="rect">
                      <a:avLst/>
                    </a:prstGeom>
                  </pic:spPr>
                </pic:pic>
              </a:graphicData>
            </a:graphic>
          </wp:inline>
        </w:drawing>
      </w:r>
    </w:p>
    <w:p w14:paraId="2A0456AC">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14:paraId="1AADE7BE">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center"/>
        <w:textAlignment w:val="auto"/>
        <w:outlineLvl w:val="1"/>
        <w:rPr>
          <w:rFonts w:hint="eastAsia" w:ascii="Times New Roman" w:hAnsi="Times New Roman" w:eastAsia="仿宋_GB2312" w:cs="仿宋_GB2312"/>
          <w:color w:val="auto"/>
          <w:sz w:val="32"/>
          <w:szCs w:val="32"/>
          <w:highlight w:val="none"/>
          <w:lang w:eastAsia="zh-CN"/>
        </w:rPr>
      </w:pPr>
    </w:p>
    <w:p w14:paraId="78C6E4A1">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37" w:name="_Toc15396606"/>
      <w:bookmarkStart w:id="38" w:name="_Toc15377208"/>
      <w:bookmarkStart w:id="39" w:name="_Toc20161_WPSOffice_Level2"/>
      <w:r>
        <w:rPr>
          <w:rFonts w:hint="eastAsia" w:eastAsia="黑体" w:asciiTheme="majorAscii" w:hAnsiTheme="majorAscii"/>
          <w:b w:val="0"/>
          <w:bCs w:val="0"/>
          <w:lang w:eastAsia="zh-CN"/>
        </w:rPr>
        <w:t>财政拨款收入支出决算总体情况说明</w:t>
      </w:r>
      <w:bookmarkEnd w:id="37"/>
      <w:bookmarkEnd w:id="38"/>
      <w:bookmarkEnd w:id="39"/>
    </w:p>
    <w:p w14:paraId="679E11FB">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 xml:space="preserve">2025年度财政拨款收入、支出总计均为1258.18万元。与上年度相比，财政拨款收入、支出总计各增加101.5万元，增长8.78%。主要变动原因是我单位2025年新增公务人员2名、事业人员2名，相关薪资、社会保障和就业支出、住房保障等费用增加；2025 年在农业项目投入有所增加，所以农林水支出较 </w:t>
      </w:r>
      <w:r>
        <w:rPr>
          <w:rFonts w:hint="default" w:hAnsi="仿宋_GB2312"/>
          <w:sz w:val="32"/>
          <w:lang w:val="en-US" w:eastAsia="zh-CN"/>
        </w:rPr>
        <w:t>202</w:t>
      </w:r>
      <w:r>
        <w:rPr>
          <w:rFonts w:hint="eastAsia" w:hAnsi="仿宋_GB2312"/>
          <w:sz w:val="32"/>
          <w:lang w:val="en-US" w:eastAsia="zh-CN"/>
        </w:rPr>
        <w:t>4</w:t>
      </w:r>
      <w:r>
        <w:rPr>
          <w:rFonts w:hint="default" w:hAnsi="仿宋_GB2312"/>
          <w:sz w:val="32"/>
          <w:lang w:val="en-US" w:eastAsia="zh-CN"/>
        </w:rPr>
        <w:t xml:space="preserve"> </w:t>
      </w:r>
      <w:r>
        <w:rPr>
          <w:rFonts w:hint="eastAsia" w:hAnsi="仿宋_GB2312"/>
          <w:sz w:val="32"/>
          <w:lang w:val="en-US" w:eastAsia="zh-CN"/>
        </w:rPr>
        <w:t>年增加。</w:t>
      </w:r>
    </w:p>
    <w:p w14:paraId="434F306E">
      <w:pPr>
        <w:spacing w:line="240" w:lineRule="auto"/>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138930" cy="2572385"/>
            <wp:effectExtent l="0" t="0" r="13970" b="18415"/>
            <wp:docPr id="5" name="图片 5" descr="财政拨款收、支决算总计变动情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财政拨款收、支决算总计变动情况1"/>
                    <pic:cNvPicPr>
                      <a:picLocks noChangeAspect="1"/>
                    </pic:cNvPicPr>
                  </pic:nvPicPr>
                  <pic:blipFill>
                    <a:blip r:embed="rId9"/>
                    <a:stretch>
                      <a:fillRect/>
                    </a:stretch>
                  </pic:blipFill>
                  <pic:spPr>
                    <a:xfrm>
                      <a:off x="0" y="0"/>
                      <a:ext cx="4138930" cy="2572385"/>
                    </a:xfrm>
                    <a:prstGeom prst="rect">
                      <a:avLst/>
                    </a:prstGeom>
                  </pic:spPr>
                </pic:pic>
              </a:graphicData>
            </a:graphic>
          </wp:inline>
        </w:drawing>
      </w:r>
    </w:p>
    <w:p w14:paraId="5AC8BDBB">
      <w:pPr>
        <w:spacing w:line="600" w:lineRule="exact"/>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p>
    <w:p w14:paraId="472C3A2B">
      <w:pPr>
        <w:pStyle w:val="2"/>
        <w:rPr>
          <w:rFonts w:hint="eastAsia"/>
          <w:lang w:val="en-US" w:eastAsia="zh-CN"/>
        </w:rPr>
      </w:pPr>
    </w:p>
    <w:p w14:paraId="41C8F532">
      <w:pPr>
        <w:pStyle w:val="4"/>
        <w:numPr>
          <w:ilvl w:val="0"/>
          <w:numId w:val="3"/>
        </w:numPr>
        <w:bidi w:val="0"/>
        <w:spacing w:line="600" w:lineRule="exact"/>
        <w:ind w:left="0" w:leftChars="0" w:right="0" w:firstLine="420" w:firstLineChars="0"/>
        <w:rPr>
          <w:rFonts w:hint="eastAsia" w:eastAsia="黑体" w:asciiTheme="majorAscii" w:hAnsiTheme="majorAscii"/>
          <w:b w:val="0"/>
          <w:bCs w:val="0"/>
          <w:lang w:eastAsia="zh-CN"/>
        </w:rPr>
      </w:pPr>
      <w:bookmarkStart w:id="40" w:name="_Toc12481_WPSOffice_Level2"/>
      <w:bookmarkStart w:id="41" w:name="_Toc15377209"/>
      <w:bookmarkStart w:id="42" w:name="_Toc15396607"/>
      <w:r>
        <w:rPr>
          <w:rFonts w:hint="eastAsia" w:eastAsia="黑体" w:asciiTheme="majorAscii" w:hAnsiTheme="majorAscii"/>
          <w:b w:val="0"/>
          <w:bCs w:val="0"/>
          <w:lang w:eastAsia="zh-CN"/>
        </w:rPr>
        <w:t>一般公共预算财政拨款支出决算情况说明</w:t>
      </w:r>
      <w:bookmarkEnd w:id="40"/>
      <w:bookmarkEnd w:id="41"/>
      <w:bookmarkEnd w:id="42"/>
    </w:p>
    <w:p w14:paraId="237080FD">
      <w:pPr>
        <w:numPr>
          <w:ilvl w:val="0"/>
          <w:numId w:val="4"/>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43" w:name="_Toc15377210"/>
      <w:r>
        <w:rPr>
          <w:rFonts w:hint="eastAsia" w:ascii="Times New Roman" w:hAnsi="Times New Roman" w:eastAsia="楷体_GB2312" w:cs="楷体_GB2312"/>
          <w:b/>
          <w:color w:val="auto"/>
          <w:sz w:val="32"/>
          <w:szCs w:val="32"/>
          <w:highlight w:val="none"/>
          <w:lang w:val="en-US" w:eastAsia="zh-CN"/>
        </w:rPr>
        <w:t>一般公共预算财政拨款支出决算总体情况</w:t>
      </w:r>
      <w:bookmarkEnd w:id="43"/>
    </w:p>
    <w:p w14:paraId="7DF6C051">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2025年度一般公共预算财政拨款支1258.18万元，占本年支出合计的100%。与上年度相比，一般公共预算财政拨款支出增加102.69万元，增长8.89%。主要变动原因是我单位2025年新增公务人员2名、事业人员2名，相关相关薪资、社会保障和就业支出、住房保障等费用增加；2025 年在农业项目投入有所增加，所以农林水支出较 </w:t>
      </w:r>
      <w:r>
        <w:rPr>
          <w:rFonts w:hint="default" w:hAnsi="仿宋_GB2312"/>
          <w:sz w:val="32"/>
          <w:lang w:val="en-US" w:eastAsia="zh-CN"/>
        </w:rPr>
        <w:t>202</w:t>
      </w:r>
      <w:r>
        <w:rPr>
          <w:rFonts w:hint="eastAsia" w:hAnsi="仿宋_GB2312"/>
          <w:sz w:val="32"/>
          <w:lang w:val="en-US" w:eastAsia="zh-CN"/>
        </w:rPr>
        <w:t>4</w:t>
      </w:r>
      <w:r>
        <w:rPr>
          <w:rFonts w:hint="default" w:hAnsi="仿宋_GB2312"/>
          <w:sz w:val="32"/>
          <w:lang w:val="en-US" w:eastAsia="zh-CN"/>
        </w:rPr>
        <w:t xml:space="preserve"> </w:t>
      </w:r>
      <w:r>
        <w:rPr>
          <w:rFonts w:hint="eastAsia" w:hAnsi="仿宋_GB2312"/>
          <w:sz w:val="32"/>
          <w:lang w:val="en-US" w:eastAsia="zh-CN"/>
        </w:rPr>
        <w:t>年增加。</w:t>
      </w:r>
    </w:p>
    <w:p w14:paraId="4F08F507">
      <w:pPr>
        <w:pStyle w:val="2"/>
        <w:jc w:val="center"/>
        <w:rPr>
          <w:rFonts w:hint="eastAsia"/>
          <w:lang w:val="en-US" w:eastAsia="zh-CN"/>
        </w:rPr>
      </w:pPr>
      <w:r>
        <w:rPr>
          <w:rFonts w:hint="eastAsia"/>
          <w:lang w:val="en-US" w:eastAsia="zh-CN"/>
        </w:rPr>
        <w:drawing>
          <wp:inline distT="0" distB="0" distL="114300" distR="114300">
            <wp:extent cx="3804285" cy="1924685"/>
            <wp:effectExtent l="0" t="0" r="5715" b="18415"/>
            <wp:docPr id="7" name="图片 7" descr="一般公共预算财政拨款支出决算变动情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一般公共预算财政拨款支出决算变动情况"/>
                    <pic:cNvPicPr>
                      <a:picLocks noChangeAspect="1"/>
                    </pic:cNvPicPr>
                  </pic:nvPicPr>
                  <pic:blipFill>
                    <a:blip r:embed="rId10"/>
                    <a:stretch>
                      <a:fillRect/>
                    </a:stretch>
                  </pic:blipFill>
                  <pic:spPr>
                    <a:xfrm>
                      <a:off x="0" y="0"/>
                      <a:ext cx="3804285" cy="1924685"/>
                    </a:xfrm>
                    <a:prstGeom prst="rect">
                      <a:avLst/>
                    </a:prstGeom>
                  </pic:spPr>
                </pic:pic>
              </a:graphicData>
            </a:graphic>
          </wp:inline>
        </w:drawing>
      </w:r>
    </w:p>
    <w:p w14:paraId="0B63A527">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14:paraId="261C0CC2">
      <w:pPr>
        <w:pStyle w:val="2"/>
        <w:rPr>
          <w:rFonts w:hint="eastAsia"/>
          <w:lang w:val="en-US" w:eastAsia="zh-CN"/>
        </w:rPr>
      </w:pPr>
    </w:p>
    <w:p w14:paraId="2D2E644C">
      <w:pPr>
        <w:numPr>
          <w:ilvl w:val="0"/>
          <w:numId w:val="4"/>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44" w:name="_Toc15377211"/>
      <w:r>
        <w:rPr>
          <w:rFonts w:hint="eastAsia" w:ascii="Times New Roman" w:hAnsi="Times New Roman" w:eastAsia="楷体_GB2312" w:cs="楷体_GB2312"/>
          <w:b/>
          <w:color w:val="auto"/>
          <w:sz w:val="32"/>
          <w:szCs w:val="32"/>
          <w:highlight w:val="none"/>
          <w:lang w:val="en-US" w:eastAsia="zh-CN"/>
        </w:rPr>
        <w:t>一般公共预算财政拨款支出决算结构情况</w:t>
      </w:r>
      <w:bookmarkEnd w:id="44"/>
    </w:p>
    <w:p w14:paraId="192003DF">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2025年度一般公共预算财政拨款支出1258.18万元，主要用于以下方面：一般公共服务支出674.73万元，占53.63%；国防支出1.52万元，占0.12%；公共安全支出支出1.6万元，占0.13%；文化旅游体育与传媒支出1.44万元，占0.11%；社会保障和就业支出104.49万元，占8.3%；卫生健康支出29.74万元，占2.36%；住房保障支出56.95万元，占4.53%；农林水支出387.5万元，占30.8%；灾害防治及应急管理支出0.22万元，占0.02%。</w:t>
      </w:r>
    </w:p>
    <w:p w14:paraId="779106FF">
      <w:pPr>
        <w:pStyle w:val="2"/>
        <w:jc w:val="center"/>
        <w:rPr>
          <w:rFonts w:hint="default"/>
          <w:lang w:val="en-US" w:eastAsia="zh-CN"/>
        </w:rPr>
      </w:pPr>
      <w:r>
        <w:rPr>
          <w:rFonts w:hint="default"/>
          <w:lang w:val="en-US" w:eastAsia="zh-CN"/>
        </w:rPr>
        <w:drawing>
          <wp:inline distT="0" distB="0" distL="114300" distR="114300">
            <wp:extent cx="3283585" cy="2185035"/>
            <wp:effectExtent l="0" t="0" r="12065" b="5715"/>
            <wp:docPr id="9" name="图片 9" descr="一般公共预算财政拨款支出决结构图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一般公共预算财政拨款支出决结构图111"/>
                    <pic:cNvPicPr>
                      <a:picLocks noChangeAspect="1"/>
                    </pic:cNvPicPr>
                  </pic:nvPicPr>
                  <pic:blipFill>
                    <a:blip r:embed="rId11"/>
                    <a:stretch>
                      <a:fillRect/>
                    </a:stretch>
                  </pic:blipFill>
                  <pic:spPr>
                    <a:xfrm>
                      <a:off x="0" y="0"/>
                      <a:ext cx="3283585" cy="2185035"/>
                    </a:xfrm>
                    <a:prstGeom prst="rect">
                      <a:avLst/>
                    </a:prstGeom>
                  </pic:spPr>
                </pic:pic>
              </a:graphicData>
            </a:graphic>
          </wp:inline>
        </w:drawing>
      </w:r>
    </w:p>
    <w:p w14:paraId="38C5452C">
      <w:pPr>
        <w:spacing w:line="240" w:lineRule="auto"/>
        <w:ind w:firstLine="640" w:firstLineChars="20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14:paraId="3DCFAFEF">
      <w:pPr>
        <w:numPr>
          <w:ilvl w:val="0"/>
          <w:numId w:val="4"/>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45" w:name="_Toc15377212"/>
      <w:r>
        <w:rPr>
          <w:rFonts w:hint="eastAsia" w:ascii="Times New Roman" w:hAnsi="Times New Roman" w:eastAsia="楷体_GB2312" w:cs="楷体_GB2312"/>
          <w:b/>
          <w:color w:val="auto"/>
          <w:sz w:val="32"/>
          <w:szCs w:val="32"/>
          <w:highlight w:val="none"/>
          <w:lang w:val="en-US" w:eastAsia="zh-CN"/>
        </w:rPr>
        <w:t>一般公共预算财政拨款支出决算具体情况</w:t>
      </w:r>
      <w:bookmarkEnd w:id="45"/>
    </w:p>
    <w:p w14:paraId="5F36D764">
      <w:pPr>
        <w:pStyle w:val="6"/>
        <w:bidi w:val="0"/>
        <w:spacing w:beforeLines="-2147483648" w:line="600" w:lineRule="exact"/>
        <w:ind w:firstLine="640" w:firstLineChars="200"/>
        <w:rPr>
          <w:rFonts w:hint="eastAsia" w:hAnsi="仿宋_GB2312"/>
          <w:sz w:val="32"/>
          <w:lang w:val="en-US" w:eastAsia="zh-CN"/>
        </w:rPr>
      </w:pPr>
      <w:bookmarkStart w:id="46" w:name="_Toc15378460"/>
      <w:bookmarkStart w:id="47" w:name="_Toc15377444"/>
      <w:bookmarkStart w:id="48" w:name="_Toc15377213"/>
      <w:r>
        <w:rPr>
          <w:rFonts w:hint="eastAsia" w:hAnsi="仿宋_GB2312"/>
          <w:sz w:val="32"/>
          <w:lang w:val="en-US" w:eastAsia="zh-CN"/>
        </w:rPr>
        <w:t>2025年度一般公共预算支出决算数为1258.18万元，完成预算100%。其中：</w:t>
      </w:r>
      <w:bookmarkEnd w:id="46"/>
      <w:bookmarkEnd w:id="47"/>
      <w:bookmarkEnd w:id="48"/>
    </w:p>
    <w:p w14:paraId="0E53E5B7">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en-US" w:eastAsia="zh-CN"/>
        </w:rPr>
        <w:t xml:space="preserve">1.一般公共服务（类）人大事务（款）人大会议（项）: 支出决算为 </w:t>
      </w:r>
      <w:r>
        <w:rPr>
          <w:rFonts w:hint="default" w:hAnsi="仿宋_GB2312"/>
          <w:sz w:val="32"/>
          <w:lang w:val="en-US" w:eastAsia="zh-CN"/>
        </w:rPr>
        <w:t>0.9</w:t>
      </w:r>
      <w:r>
        <w:rPr>
          <w:rFonts w:hint="eastAsia" w:hAnsi="仿宋_GB2312"/>
          <w:sz w:val="32"/>
          <w:lang w:val="en-US" w:eastAsia="zh-CN"/>
        </w:rPr>
        <w:t>7</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3F2FED09">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en-US" w:eastAsia="zh-CN"/>
        </w:rPr>
        <w:t xml:space="preserve">2.一般公共服务（类）人大事务（款）代表工作（项）: </w:t>
      </w:r>
    </w:p>
    <w:p w14:paraId="78A7A1DD">
      <w:pPr>
        <w:pStyle w:val="6"/>
        <w:bidi w:val="0"/>
        <w:spacing w:beforeLines="-2147483648" w:line="600" w:lineRule="exact"/>
        <w:rPr>
          <w:rFonts w:hint="eastAsia" w:hAnsi="仿宋_GB2312"/>
          <w:sz w:val="32"/>
          <w:lang w:val="zh-CN"/>
        </w:rPr>
      </w:pPr>
      <w:r>
        <w:rPr>
          <w:rFonts w:hint="eastAsia" w:hAnsi="仿宋_GB2312"/>
          <w:sz w:val="32"/>
          <w:lang w:val="en-US" w:eastAsia="zh-CN"/>
        </w:rPr>
        <w:t xml:space="preserve">支出决算为 8.35万元，完成预算 </w:t>
      </w:r>
      <w:r>
        <w:rPr>
          <w:rFonts w:hint="default" w:hAnsi="仿宋_GB2312"/>
          <w:sz w:val="32"/>
          <w:lang w:val="en-US" w:eastAsia="zh-CN"/>
        </w:rPr>
        <w:t>100%</w:t>
      </w:r>
      <w:r>
        <w:rPr>
          <w:rFonts w:hint="eastAsia" w:hAnsi="仿宋_GB2312"/>
          <w:sz w:val="32"/>
          <w:lang w:val="en-US" w:eastAsia="zh-CN"/>
        </w:rPr>
        <w:t>，决算数等于预算数。</w:t>
      </w:r>
    </w:p>
    <w:p w14:paraId="24E913B9">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3.一般公共服务（类）政协事务（款）一般行政管理事务支出（项）: 支出决算为0.5</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 xml:space="preserve">，决算数等于预算数。 </w:t>
      </w:r>
    </w:p>
    <w:p w14:paraId="1B0B8FF9">
      <w:pPr>
        <w:pStyle w:val="6"/>
        <w:bidi w:val="0"/>
        <w:spacing w:beforeLines="-2147483648" w:line="600" w:lineRule="exact"/>
        <w:ind w:firstLine="640" w:firstLineChars="200"/>
        <w:rPr>
          <w:rFonts w:hint="eastAsia" w:hAnsi="仿宋_GB2312"/>
          <w:sz w:val="32"/>
          <w:lang w:val="zh-CN"/>
        </w:rPr>
      </w:pPr>
      <w:r>
        <w:rPr>
          <w:rFonts w:hint="eastAsia" w:hAnsi="仿宋_GB2312"/>
          <w:sz w:val="32"/>
          <w:lang w:val="en-US" w:eastAsia="zh-CN"/>
        </w:rPr>
        <w:t xml:space="preserve">4.一般公共服务（类）政协事务（款）其他政协事务支出（项）: 支出决算为 0.8万元，完成预算 </w:t>
      </w:r>
      <w:r>
        <w:rPr>
          <w:rFonts w:hint="default" w:hAnsi="仿宋_GB2312"/>
          <w:sz w:val="32"/>
          <w:lang w:val="en-US" w:eastAsia="zh-CN"/>
        </w:rPr>
        <w:t>100%</w:t>
      </w:r>
      <w:r>
        <w:rPr>
          <w:rFonts w:hint="eastAsia" w:hAnsi="仿宋_GB2312"/>
          <w:sz w:val="32"/>
          <w:lang w:val="en-US" w:eastAsia="zh-CN"/>
        </w:rPr>
        <w:t>，决算数等于预算数。</w:t>
      </w:r>
    </w:p>
    <w:p w14:paraId="34607C19">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5.一般公共服务（类）政府办公厅（室）及相关机构事务（款）行政运行（项）: 支出决算为429.54</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4F84798F">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6.一般公共服务（类）政府办公厅（室）及相关机构事务（款）事业运行（项）: 支出决算为220.62</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4439AA86">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7.一般公共服务（类）政府办公厅（室）及相关机构事务（款）一般行政管理事务（项）: 支出决算为 13.95万元，完成预算 </w:t>
      </w:r>
      <w:r>
        <w:rPr>
          <w:rFonts w:hint="default" w:hAnsi="仿宋_GB2312"/>
          <w:sz w:val="32"/>
          <w:lang w:val="en-US" w:eastAsia="zh-CN"/>
        </w:rPr>
        <w:t>100%</w:t>
      </w:r>
      <w:r>
        <w:rPr>
          <w:rFonts w:hint="eastAsia" w:hAnsi="仿宋_GB2312"/>
          <w:sz w:val="32"/>
          <w:lang w:val="en-US" w:eastAsia="zh-CN"/>
        </w:rPr>
        <w:t>，决算数等于预算数。</w:t>
      </w:r>
    </w:p>
    <w:p w14:paraId="7DBE6BB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8.国防支出（类）国防动员（款）国防动员（项）:支 </w:t>
      </w:r>
    </w:p>
    <w:p w14:paraId="6133481D">
      <w:pPr>
        <w:pStyle w:val="6"/>
        <w:bidi w:val="0"/>
        <w:spacing w:beforeLines="-2147483648" w:line="600" w:lineRule="exact"/>
        <w:rPr>
          <w:rFonts w:hint="eastAsia" w:hAnsi="仿宋_GB2312"/>
          <w:sz w:val="32"/>
          <w:lang w:val="en-US" w:eastAsia="zh-CN"/>
        </w:rPr>
      </w:pPr>
      <w:r>
        <w:rPr>
          <w:rFonts w:hint="eastAsia" w:hAnsi="仿宋_GB2312"/>
          <w:sz w:val="32"/>
          <w:lang w:val="en-US" w:eastAsia="zh-CN"/>
        </w:rPr>
        <w:t xml:space="preserve">出决算为 </w:t>
      </w:r>
      <w:r>
        <w:rPr>
          <w:rFonts w:hint="default" w:hAnsi="仿宋_GB2312"/>
          <w:sz w:val="32"/>
          <w:lang w:val="en-US" w:eastAsia="zh-CN"/>
        </w:rPr>
        <w:t>1.</w:t>
      </w:r>
      <w:r>
        <w:rPr>
          <w:rFonts w:hint="eastAsia" w:hAnsi="仿宋_GB2312"/>
          <w:sz w:val="32"/>
          <w:lang w:val="en-US" w:eastAsia="zh-CN"/>
        </w:rPr>
        <w:t>52</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4036E8EA">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9.公共安全支出（类）司法（款）普法宣传（项）:支出决算为 </w:t>
      </w:r>
      <w:r>
        <w:rPr>
          <w:rFonts w:hint="default" w:hAnsi="仿宋_GB2312"/>
          <w:sz w:val="32"/>
          <w:lang w:val="en-US" w:eastAsia="zh-CN"/>
        </w:rPr>
        <w:t>1.</w:t>
      </w:r>
      <w:r>
        <w:rPr>
          <w:rFonts w:hint="eastAsia" w:hAnsi="仿宋_GB2312"/>
          <w:sz w:val="32"/>
          <w:lang w:val="en-US" w:eastAsia="zh-CN"/>
        </w:rPr>
        <w:t>6</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45D2341F">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10.文化旅游体育与传媒支出（类）文化和旅游（款）群众文化（项）:支出决算为 </w:t>
      </w:r>
      <w:r>
        <w:rPr>
          <w:rFonts w:hint="default" w:hAnsi="仿宋_GB2312"/>
          <w:sz w:val="32"/>
          <w:lang w:val="en-US" w:eastAsia="zh-CN"/>
        </w:rPr>
        <w:t>1.</w:t>
      </w:r>
      <w:r>
        <w:rPr>
          <w:rFonts w:hint="eastAsia" w:hAnsi="仿宋_GB2312"/>
          <w:sz w:val="32"/>
          <w:lang w:val="en-US" w:eastAsia="zh-CN"/>
        </w:rPr>
        <w:t>44</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62BC2C6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11.社会保障和就业支出（类）民政管理事务（款）老龄事务（项）:支出决算为0.69</w:t>
      </w:r>
      <w:r>
        <w:rPr>
          <w:rFonts w:hint="default" w:hAnsi="仿宋_GB2312"/>
          <w:sz w:val="32"/>
          <w:lang w:val="en-US" w:eastAsia="zh-CN"/>
        </w:rPr>
        <w:t xml:space="preserve"> </w:t>
      </w:r>
      <w:r>
        <w:rPr>
          <w:rFonts w:hint="eastAsia" w:hAnsi="仿宋_GB2312"/>
          <w:sz w:val="32"/>
          <w:lang w:val="en-US" w:eastAsia="zh-CN"/>
        </w:rPr>
        <w:t xml:space="preserve">万元，完成预算 </w:t>
      </w:r>
      <w:r>
        <w:rPr>
          <w:rFonts w:hint="default" w:hAnsi="仿宋_GB2312"/>
          <w:sz w:val="32"/>
          <w:lang w:val="en-US" w:eastAsia="zh-CN"/>
        </w:rPr>
        <w:t>100%</w:t>
      </w:r>
      <w:r>
        <w:rPr>
          <w:rFonts w:hint="eastAsia" w:hAnsi="仿宋_GB2312"/>
          <w:sz w:val="32"/>
          <w:lang w:val="en-US" w:eastAsia="zh-CN"/>
        </w:rPr>
        <w:t>，决算数等于预算数。</w:t>
      </w:r>
    </w:p>
    <w:p w14:paraId="7365AD85">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12.社会保障和就业支出（类）行政事业单位养老支出（款）机关事业单位基本养老保险缴费支出（项）:支出决算为 67.11万元，完成预算 </w:t>
      </w:r>
      <w:r>
        <w:rPr>
          <w:rFonts w:hint="default" w:hAnsi="仿宋_GB2312"/>
          <w:sz w:val="32"/>
          <w:lang w:val="en-US" w:eastAsia="zh-CN"/>
        </w:rPr>
        <w:t>100%</w:t>
      </w:r>
      <w:r>
        <w:rPr>
          <w:rFonts w:hint="eastAsia" w:hAnsi="仿宋_GB2312"/>
          <w:sz w:val="32"/>
          <w:lang w:val="en-US" w:eastAsia="zh-CN"/>
        </w:rPr>
        <w:t xml:space="preserve">，决算数等于预算数。 </w:t>
      </w:r>
    </w:p>
    <w:p w14:paraId="59AFE0F9">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13.社会保障和就业支出（类）行政事业单位养老支出（款）机关事业单位职业年金缴费支出（项）:支出决算为30.85万元，完成预算 </w:t>
      </w:r>
      <w:r>
        <w:rPr>
          <w:rFonts w:hint="default" w:hAnsi="仿宋_GB2312"/>
          <w:sz w:val="32"/>
          <w:lang w:val="en-US" w:eastAsia="zh-CN"/>
        </w:rPr>
        <w:t>100%</w:t>
      </w:r>
      <w:r>
        <w:rPr>
          <w:rFonts w:hint="eastAsia" w:hAnsi="仿宋_GB2312"/>
          <w:sz w:val="32"/>
          <w:lang w:val="en-US" w:eastAsia="zh-CN"/>
        </w:rPr>
        <w:t>，决算数等于预算数。</w:t>
      </w:r>
    </w:p>
    <w:p w14:paraId="5204C9A2">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14.社会保障和就业支出（类）行政事业单位养老支出（款）其他行政事业单位养老支出（项）:支出决算为1.83万元，完成预算 </w:t>
      </w:r>
      <w:r>
        <w:rPr>
          <w:rFonts w:hint="default" w:hAnsi="仿宋_GB2312"/>
          <w:sz w:val="32"/>
          <w:lang w:val="en-US" w:eastAsia="zh-CN"/>
        </w:rPr>
        <w:t>100%</w:t>
      </w:r>
      <w:r>
        <w:rPr>
          <w:rFonts w:hint="eastAsia" w:hAnsi="仿宋_GB2312"/>
          <w:sz w:val="32"/>
          <w:lang w:val="en-US" w:eastAsia="zh-CN"/>
        </w:rPr>
        <w:t>，决算数等于预算数。</w:t>
      </w:r>
    </w:p>
    <w:p w14:paraId="14823898">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15.社会保障和就业支出（类）临时救助（款）临时救助支出（项）：决算数为2.16万元，完成预算 </w:t>
      </w:r>
      <w:r>
        <w:rPr>
          <w:rFonts w:hint="default" w:hAnsi="仿宋_GB2312"/>
          <w:sz w:val="32"/>
          <w:lang w:val="en-US" w:eastAsia="zh-CN"/>
        </w:rPr>
        <w:t>100%</w:t>
      </w:r>
      <w:r>
        <w:rPr>
          <w:rFonts w:hint="eastAsia" w:hAnsi="仿宋_GB2312"/>
          <w:sz w:val="32"/>
          <w:lang w:val="en-US" w:eastAsia="zh-CN"/>
        </w:rPr>
        <w:t xml:space="preserve">。 </w:t>
      </w:r>
    </w:p>
    <w:p w14:paraId="713C8257">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16.社会保障和就业支出（类）其他社会保障和就业支出（款）其他社会保障和就业支出（项）：决算数为 1.83 万元，完成预算 </w:t>
      </w:r>
      <w:r>
        <w:rPr>
          <w:rFonts w:hint="default" w:hAnsi="仿宋_GB2312"/>
          <w:sz w:val="32"/>
          <w:lang w:val="en-US" w:eastAsia="zh-CN"/>
        </w:rPr>
        <w:t>100%</w:t>
      </w:r>
      <w:r>
        <w:rPr>
          <w:rFonts w:hint="eastAsia" w:hAnsi="仿宋_GB2312"/>
          <w:sz w:val="32"/>
          <w:lang w:val="en-US" w:eastAsia="zh-CN"/>
        </w:rPr>
        <w:t>。</w:t>
      </w:r>
    </w:p>
    <w:p w14:paraId="1CCEBDAF">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17.卫生健康支出（类）行政事业单位医疗（款）行政单位医疗（项）：决算数为 15.36万元，完成预算 </w:t>
      </w:r>
      <w:r>
        <w:rPr>
          <w:rFonts w:hint="default" w:hAnsi="仿宋_GB2312"/>
          <w:sz w:val="32"/>
          <w:lang w:val="en-US" w:eastAsia="zh-CN"/>
        </w:rPr>
        <w:t>100%</w:t>
      </w:r>
      <w:r>
        <w:rPr>
          <w:rFonts w:hint="eastAsia" w:hAnsi="仿宋_GB2312"/>
          <w:sz w:val="32"/>
          <w:lang w:val="en-US" w:eastAsia="zh-CN"/>
        </w:rPr>
        <w:t>。</w:t>
      </w:r>
    </w:p>
    <w:p w14:paraId="558FF62E">
      <w:pPr>
        <w:pStyle w:val="6"/>
        <w:bidi w:val="0"/>
        <w:spacing w:beforeLines="-2147483648" w:line="600" w:lineRule="exact"/>
        <w:ind w:firstLine="640" w:firstLineChars="200"/>
        <w:rPr>
          <w:rFonts w:hint="default" w:hAnsi="仿宋_GB2312"/>
          <w:sz w:val="32"/>
          <w:lang w:val="en-US" w:eastAsia="zh-CN"/>
        </w:rPr>
      </w:pPr>
      <w:r>
        <w:rPr>
          <w:rFonts w:hint="eastAsia" w:hAnsi="仿宋_GB2312"/>
          <w:sz w:val="32"/>
          <w:lang w:val="en-US" w:eastAsia="zh-CN"/>
        </w:rPr>
        <w:t xml:space="preserve">18.卫生健康支出（类）行政事业单位医疗（款）事业单位医疗（项）：决算数为 10.25 万元，完成预算 </w:t>
      </w:r>
      <w:r>
        <w:rPr>
          <w:rFonts w:hint="default" w:hAnsi="仿宋_GB2312"/>
          <w:sz w:val="32"/>
          <w:lang w:val="en-US" w:eastAsia="zh-CN"/>
        </w:rPr>
        <w:t>100%</w:t>
      </w:r>
    </w:p>
    <w:p w14:paraId="48C8C359">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19.卫生健康支出（类）行政事业单位医疗（款）公务员医疗补助（项）：决算数为 4.13万元，完成预算 </w:t>
      </w:r>
      <w:r>
        <w:rPr>
          <w:rFonts w:hint="default" w:hAnsi="仿宋_GB2312"/>
          <w:sz w:val="32"/>
          <w:lang w:val="en-US" w:eastAsia="zh-CN"/>
        </w:rPr>
        <w:t>100%</w:t>
      </w:r>
      <w:r>
        <w:rPr>
          <w:rFonts w:hint="eastAsia" w:hAnsi="仿宋_GB2312"/>
          <w:sz w:val="32"/>
          <w:lang w:val="en-US" w:eastAsia="zh-CN"/>
        </w:rPr>
        <w:t>。</w:t>
      </w:r>
    </w:p>
    <w:p w14:paraId="70C005BD">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20.农林水支出（类）农业农村（款）其他农业农村支出（项）：决算数为 11.98 万元，完成预算 </w:t>
      </w:r>
      <w:r>
        <w:rPr>
          <w:rFonts w:hint="default" w:hAnsi="仿宋_GB2312"/>
          <w:sz w:val="32"/>
          <w:lang w:val="en-US" w:eastAsia="zh-CN"/>
        </w:rPr>
        <w:t>100%</w:t>
      </w:r>
      <w:r>
        <w:rPr>
          <w:rFonts w:hint="eastAsia" w:hAnsi="仿宋_GB2312"/>
          <w:sz w:val="32"/>
          <w:lang w:val="en-US" w:eastAsia="zh-CN"/>
        </w:rPr>
        <w:t>。</w:t>
      </w:r>
    </w:p>
    <w:p w14:paraId="347630BC">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21.农林水支出（类）巩固脱贫攻坚成果衔接乡村振兴（款）生产发展（项）：决算数为1.52 万元，完成预算 </w:t>
      </w:r>
      <w:r>
        <w:rPr>
          <w:rFonts w:hint="default" w:hAnsi="仿宋_GB2312"/>
          <w:sz w:val="32"/>
          <w:lang w:val="en-US" w:eastAsia="zh-CN"/>
        </w:rPr>
        <w:t>100%</w:t>
      </w:r>
      <w:r>
        <w:rPr>
          <w:rFonts w:hint="eastAsia" w:hAnsi="仿宋_GB2312"/>
          <w:sz w:val="32"/>
          <w:lang w:val="en-US" w:eastAsia="zh-CN"/>
        </w:rPr>
        <w:t>。</w:t>
      </w:r>
    </w:p>
    <w:p w14:paraId="4587DC5B">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22.农林水支出（类）农村综合改革（款）对村民委员会和村党支部的补助（项）：决算数为374万元，完成预算 </w:t>
      </w:r>
      <w:r>
        <w:rPr>
          <w:rFonts w:hint="default" w:hAnsi="仿宋_GB2312"/>
          <w:sz w:val="32"/>
          <w:lang w:val="en-US" w:eastAsia="zh-CN"/>
        </w:rPr>
        <w:t>100%</w:t>
      </w:r>
      <w:r>
        <w:rPr>
          <w:rFonts w:hint="eastAsia" w:hAnsi="仿宋_GB2312"/>
          <w:sz w:val="32"/>
          <w:lang w:val="en-US" w:eastAsia="zh-CN"/>
        </w:rPr>
        <w:t xml:space="preserve">。 </w:t>
      </w:r>
    </w:p>
    <w:p w14:paraId="7CB58D53">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 xml:space="preserve">23.住房保障支出（类）住房改革支出（款）住房公积金（项）决算数为 56.95 万元，完成预算 </w:t>
      </w:r>
      <w:r>
        <w:rPr>
          <w:rFonts w:hint="default" w:hAnsi="仿宋_GB2312"/>
          <w:sz w:val="32"/>
          <w:lang w:val="en-US" w:eastAsia="zh-CN"/>
        </w:rPr>
        <w:t>100%</w:t>
      </w:r>
      <w:r>
        <w:rPr>
          <w:rFonts w:hint="eastAsia" w:hAnsi="仿宋_GB2312"/>
          <w:sz w:val="32"/>
          <w:lang w:val="en-US" w:eastAsia="zh-CN"/>
        </w:rPr>
        <w:t>。</w:t>
      </w:r>
    </w:p>
    <w:p w14:paraId="28E89CE3">
      <w:pPr>
        <w:pStyle w:val="6"/>
        <w:bidi w:val="0"/>
        <w:spacing w:beforeLines="-2147483648" w:line="600" w:lineRule="exact"/>
        <w:ind w:firstLine="640" w:firstLineChars="200"/>
        <w:rPr>
          <w:rFonts w:hint="eastAsia"/>
          <w:lang w:val="en-US" w:eastAsia="zh-CN"/>
        </w:rPr>
      </w:pPr>
      <w:r>
        <w:rPr>
          <w:rFonts w:hint="eastAsia" w:hAnsi="仿宋_GB2312"/>
          <w:sz w:val="32"/>
          <w:lang w:val="en-US" w:eastAsia="zh-CN"/>
        </w:rPr>
        <w:t xml:space="preserve">24.灾害防治及应急管理支出（类）自然灾害救灾及恢复重建支出（款）其他自然灾害救灾及恢复重建支出（项）：决算数为 0.22 万元，完成预算 </w:t>
      </w:r>
      <w:r>
        <w:rPr>
          <w:rFonts w:hint="default" w:hAnsi="仿宋_GB2312"/>
          <w:sz w:val="32"/>
          <w:lang w:val="en-US" w:eastAsia="zh-CN"/>
        </w:rPr>
        <w:t>100%</w:t>
      </w:r>
      <w:r>
        <w:rPr>
          <w:rFonts w:hint="eastAsia" w:hAnsi="仿宋_GB2312"/>
          <w:sz w:val="32"/>
          <w:lang w:val="en-US" w:eastAsia="zh-CN"/>
        </w:rPr>
        <w:t>。</w:t>
      </w:r>
    </w:p>
    <w:p w14:paraId="70846111">
      <w:pPr>
        <w:pStyle w:val="4"/>
        <w:bidi w:val="0"/>
        <w:spacing w:line="600" w:lineRule="exact"/>
        <w:ind w:left="0" w:right="0" w:firstLine="640" w:firstLineChars="200"/>
        <w:rPr>
          <w:rFonts w:hint="eastAsia" w:eastAsia="黑体" w:asciiTheme="majorAscii" w:hAnsiTheme="majorAscii"/>
          <w:b w:val="0"/>
          <w:lang w:eastAsia="zh-CN"/>
        </w:rPr>
      </w:pPr>
      <w:bookmarkStart w:id="49" w:name="_Toc15377214"/>
      <w:bookmarkStart w:id="50" w:name="_Toc13751_WPSOffice_Level2"/>
      <w:bookmarkStart w:id="51" w:name="_Toc15396608"/>
      <w:r>
        <w:rPr>
          <w:rFonts w:hint="eastAsia" w:eastAsia="黑体" w:asciiTheme="majorAscii" w:hAnsiTheme="majorAscii"/>
          <w:b w:val="0"/>
          <w:lang w:val="en-US" w:eastAsia="zh-CN"/>
        </w:rPr>
        <w:t>六、一般公共预算财政拨款基本支出决算情况说明</w:t>
      </w:r>
      <w:bookmarkEnd w:id="49"/>
      <w:bookmarkEnd w:id="50"/>
      <w:bookmarkEnd w:id="51"/>
      <w:r>
        <w:rPr>
          <w:rFonts w:hint="eastAsia" w:eastAsia="黑体" w:asciiTheme="majorAscii" w:hAnsiTheme="majorAscii"/>
          <w:b w:val="0"/>
          <w:lang w:eastAsia="zh-CN"/>
        </w:rPr>
        <w:tab/>
      </w:r>
    </w:p>
    <w:p w14:paraId="7F56192D">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2025年度一般公共预算财政拨款基本支出 684万元， 其中：</w:t>
      </w:r>
    </w:p>
    <w:p w14:paraId="78F7431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人员经费580.99</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 </w:t>
      </w:r>
    </w:p>
    <w:p w14:paraId="234E50A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公用经费 103.02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AE94239">
      <w:pPr>
        <w:rPr>
          <w:rFonts w:hint="eastAsia"/>
          <w:lang w:val="en-US" w:eastAsia="zh-CN"/>
        </w:rPr>
      </w:pPr>
    </w:p>
    <w:p w14:paraId="02CDA8D5">
      <w:pPr>
        <w:pStyle w:val="4"/>
        <w:numPr>
          <w:ilvl w:val="0"/>
          <w:numId w:val="0"/>
        </w:numPr>
        <w:bidi w:val="0"/>
        <w:spacing w:line="600" w:lineRule="exact"/>
        <w:ind w:left="420" w:leftChars="0" w:right="0" w:rightChars="0"/>
        <w:rPr>
          <w:rFonts w:hint="eastAsia" w:eastAsia="黑体" w:asciiTheme="majorAscii" w:hAnsiTheme="majorAscii"/>
          <w:b w:val="0"/>
          <w:bCs w:val="0"/>
          <w:lang w:eastAsia="zh-CN"/>
        </w:rPr>
      </w:pPr>
      <w:bookmarkStart w:id="52" w:name="_Toc15377215"/>
      <w:bookmarkStart w:id="53" w:name="_Toc4135_WPSOffice_Level2"/>
      <w:bookmarkStart w:id="54" w:name="_Toc15396609"/>
      <w:r>
        <w:rPr>
          <w:rFonts w:hint="eastAsia" w:eastAsia="黑体" w:asciiTheme="majorAscii" w:hAnsiTheme="majorAscii"/>
          <w:b w:val="0"/>
          <w:bCs w:val="0"/>
          <w:lang w:eastAsia="zh-CN"/>
        </w:rPr>
        <w:t>七、财政拨款“三公”经费支出决算情况说明</w:t>
      </w:r>
      <w:bookmarkEnd w:id="52"/>
      <w:bookmarkEnd w:id="53"/>
      <w:bookmarkEnd w:id="54"/>
    </w:p>
    <w:p w14:paraId="7F69F225">
      <w:pPr>
        <w:numPr>
          <w:ilvl w:val="0"/>
          <w:numId w:val="5"/>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55" w:name="_Toc15377216"/>
      <w:r>
        <w:rPr>
          <w:rFonts w:hint="eastAsia" w:ascii="Times New Roman" w:hAnsi="Times New Roman" w:eastAsia="楷体_GB2312" w:cs="楷体_GB2312"/>
          <w:b/>
          <w:color w:val="auto"/>
          <w:sz w:val="32"/>
          <w:szCs w:val="32"/>
          <w:highlight w:val="none"/>
          <w:lang w:val="en-US" w:eastAsia="zh-CN"/>
        </w:rPr>
        <w:t>财政拨款“三公”经费支出决算总体情况说明</w:t>
      </w:r>
      <w:bookmarkEnd w:id="55"/>
    </w:p>
    <w:p w14:paraId="26EA1E0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2025 年度“三公”经费财政拨款支出决算为 </w:t>
      </w:r>
      <w:r>
        <w:rPr>
          <w:rFonts w:hint="default" w:ascii="仿宋_GB2312" w:hAnsi="仿宋_GB2312" w:eastAsia="仿宋_GB2312" w:cs="Times New Roman"/>
          <w:kern w:val="0"/>
          <w:sz w:val="32"/>
          <w:szCs w:val="24"/>
          <w:lang w:val="en-US" w:eastAsia="zh-CN" w:bidi="ar-SA"/>
        </w:rPr>
        <w:t>3.</w:t>
      </w:r>
      <w:r>
        <w:rPr>
          <w:rFonts w:hint="eastAsia" w:ascii="仿宋_GB2312" w:hAnsi="仿宋_GB2312" w:eastAsia="仿宋_GB2312" w:cs="Times New Roman"/>
          <w:kern w:val="0"/>
          <w:sz w:val="32"/>
          <w:szCs w:val="24"/>
          <w:lang w:val="en-US" w:eastAsia="zh-CN" w:bidi="ar-SA"/>
        </w:rPr>
        <w:t xml:space="preserve">56万元， 完成预算 </w:t>
      </w:r>
      <w:r>
        <w:rPr>
          <w:rFonts w:hint="default" w:ascii="仿宋_GB2312" w:hAnsi="仿宋_GB2312" w:eastAsia="仿宋_GB2312" w:cs="Times New Roman"/>
          <w:kern w:val="0"/>
          <w:sz w:val="32"/>
          <w:szCs w:val="24"/>
          <w:lang w:val="en-US" w:eastAsia="zh-CN" w:bidi="ar-SA"/>
        </w:rPr>
        <w:t>100%</w:t>
      </w:r>
      <w:r>
        <w:rPr>
          <w:rFonts w:hint="eastAsia" w:ascii="仿宋_GB2312" w:hAnsi="仿宋_GB2312" w:eastAsia="仿宋_GB2312" w:cs="Times New Roman"/>
          <w:kern w:val="0"/>
          <w:sz w:val="32"/>
          <w:szCs w:val="24"/>
          <w:lang w:val="en-US" w:eastAsia="zh-CN" w:bidi="ar-SA"/>
        </w:rPr>
        <w:t xml:space="preserve">，较上年度减少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1</w:t>
      </w:r>
      <w:r>
        <w:rPr>
          <w:rFonts w:hint="default" w:ascii="仿宋_GB2312" w:hAnsi="仿宋_GB2312" w:eastAsia="仿宋_GB2312" w:cs="Times New Roman"/>
          <w:kern w:val="0"/>
          <w:sz w:val="32"/>
          <w:szCs w:val="24"/>
          <w:lang w:val="en-US" w:eastAsia="zh-CN" w:bidi="ar-SA"/>
        </w:rPr>
        <w:t xml:space="preserve">9 </w:t>
      </w:r>
      <w:r>
        <w:rPr>
          <w:rFonts w:hint="eastAsia" w:ascii="仿宋_GB2312" w:hAnsi="仿宋_GB2312" w:eastAsia="仿宋_GB2312" w:cs="Times New Roman"/>
          <w:kern w:val="0"/>
          <w:sz w:val="32"/>
          <w:szCs w:val="24"/>
          <w:lang w:val="en-US" w:eastAsia="zh-CN" w:bidi="ar-SA"/>
        </w:rPr>
        <w:t>万元，下降 5.07</w:t>
      </w:r>
      <w:r>
        <w:rPr>
          <w:rFonts w:hint="default" w:ascii="仿宋_GB2312" w:hAnsi="仿宋_GB2312" w:eastAsia="仿宋_GB2312" w:cs="Times New Roman"/>
          <w:kern w:val="0"/>
          <w:sz w:val="32"/>
          <w:szCs w:val="24"/>
          <w:lang w:val="en-US" w:eastAsia="zh-CN" w:bidi="ar-SA"/>
        </w:rPr>
        <w:t>%</w:t>
      </w:r>
      <w:r>
        <w:rPr>
          <w:rFonts w:hint="eastAsia" w:ascii="仿宋_GB2312" w:hAnsi="仿宋_GB2312" w:eastAsia="仿宋_GB2312" w:cs="Times New Roman"/>
          <w:kern w:val="0"/>
          <w:sz w:val="32"/>
          <w:szCs w:val="24"/>
          <w:lang w:val="en-US" w:eastAsia="zh-CN" w:bidi="ar-SA"/>
        </w:rPr>
        <w:t>，决算数与预算数持平。</w:t>
      </w:r>
    </w:p>
    <w:p w14:paraId="08FBAD8F">
      <w:pPr>
        <w:numPr>
          <w:ilvl w:val="0"/>
          <w:numId w:val="5"/>
        </w:numPr>
        <w:spacing w:line="600" w:lineRule="exact"/>
        <w:ind w:left="0" w:leftChars="0" w:firstLine="420" w:firstLineChars="0"/>
        <w:outlineLvl w:val="2"/>
        <w:rPr>
          <w:rFonts w:hint="eastAsia" w:ascii="Times New Roman" w:hAnsi="Times New Roman" w:eastAsia="楷体_GB2312" w:cs="楷体_GB2312"/>
          <w:b/>
          <w:color w:val="auto"/>
          <w:sz w:val="32"/>
          <w:szCs w:val="32"/>
          <w:highlight w:val="none"/>
          <w:lang w:val="en-US" w:eastAsia="zh-CN"/>
        </w:rPr>
      </w:pPr>
      <w:bookmarkStart w:id="56" w:name="_Toc15377217"/>
      <w:r>
        <w:rPr>
          <w:rFonts w:hint="eastAsia" w:ascii="Times New Roman" w:hAnsi="Times New Roman" w:eastAsia="楷体_GB2312" w:cs="楷体_GB2312"/>
          <w:b/>
          <w:color w:val="auto"/>
          <w:sz w:val="32"/>
          <w:szCs w:val="32"/>
          <w:highlight w:val="none"/>
          <w:lang w:val="en-US" w:eastAsia="zh-CN"/>
        </w:rPr>
        <w:t>财政拨款“三公”经费支出决算具体情况说明</w:t>
      </w:r>
      <w:bookmarkEnd w:id="56"/>
    </w:p>
    <w:p w14:paraId="07DE5EC3">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2025年度“三公”经费财政拨款支出决算中，因公出国 （境）费支出决算 0 万元，占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 xml:space="preserve">；公务用车购置及运行维 </w:t>
      </w:r>
    </w:p>
    <w:p w14:paraId="7E07C6AD">
      <w:pPr>
        <w:keepNext w:val="0"/>
        <w:keepLines w:val="0"/>
        <w:widowControl/>
        <w:suppressLineNumbers w:val="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 xml:space="preserve">护费支出决算 </w:t>
      </w:r>
      <w:r>
        <w:rPr>
          <w:rFonts w:hint="default" w:ascii="仿宋_GB2312" w:hAnsi="仿宋_GB2312" w:eastAsia="仿宋_GB2312" w:cs="Times New Roman"/>
          <w:kern w:val="0"/>
          <w:sz w:val="32"/>
          <w:szCs w:val="24"/>
          <w:lang w:val="en-US" w:eastAsia="zh-CN" w:bidi="ar-SA"/>
        </w:rPr>
        <w:t>2.</w:t>
      </w:r>
      <w:r>
        <w:rPr>
          <w:rFonts w:hint="eastAsia" w:ascii="仿宋_GB2312" w:hAnsi="仿宋_GB2312" w:eastAsia="仿宋_GB2312" w:cs="Times New Roman"/>
          <w:kern w:val="0"/>
          <w:sz w:val="32"/>
          <w:szCs w:val="24"/>
          <w:lang w:val="en-US" w:eastAsia="zh-CN" w:bidi="ar-SA"/>
        </w:rPr>
        <w:t>7</w:t>
      </w:r>
      <w:r>
        <w:rPr>
          <w:rFonts w:hint="default" w:ascii="仿宋_GB2312" w:hAnsi="仿宋_GB2312" w:eastAsia="仿宋_GB2312" w:cs="Times New Roman"/>
          <w:kern w:val="0"/>
          <w:sz w:val="32"/>
          <w:szCs w:val="24"/>
          <w:lang w:val="en-US" w:eastAsia="zh-CN" w:bidi="ar-SA"/>
        </w:rPr>
        <w:t xml:space="preserve">8 </w:t>
      </w:r>
      <w:r>
        <w:rPr>
          <w:rFonts w:hint="eastAsia" w:ascii="仿宋_GB2312" w:hAnsi="仿宋_GB2312" w:eastAsia="仿宋_GB2312" w:cs="Times New Roman"/>
          <w:kern w:val="0"/>
          <w:sz w:val="32"/>
          <w:szCs w:val="24"/>
          <w:lang w:val="en-US" w:eastAsia="zh-CN" w:bidi="ar-SA"/>
        </w:rPr>
        <w:t xml:space="preserve">万元，占 </w:t>
      </w:r>
      <w:r>
        <w:rPr>
          <w:rFonts w:hint="default" w:ascii="仿宋_GB2312" w:hAnsi="仿宋_GB2312" w:eastAsia="仿宋_GB2312" w:cs="Times New Roman"/>
          <w:kern w:val="0"/>
          <w:sz w:val="32"/>
          <w:szCs w:val="24"/>
          <w:lang w:val="en-US" w:eastAsia="zh-CN" w:bidi="ar-SA"/>
        </w:rPr>
        <w:t>74.67%</w:t>
      </w:r>
      <w:r>
        <w:rPr>
          <w:rFonts w:hint="eastAsia" w:ascii="仿宋_GB2312" w:hAnsi="仿宋_GB2312" w:eastAsia="仿宋_GB2312" w:cs="Times New Roman"/>
          <w:kern w:val="0"/>
          <w:sz w:val="32"/>
          <w:szCs w:val="24"/>
          <w:lang w:val="en-US" w:eastAsia="zh-CN" w:bidi="ar-SA"/>
        </w:rPr>
        <w:t xml:space="preserve">；公务接待费支出决算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 xml:space="preserve">78万元，占 </w:t>
      </w:r>
      <w:r>
        <w:rPr>
          <w:rFonts w:hint="default" w:ascii="仿宋_GB2312" w:hAnsi="仿宋_GB2312" w:eastAsia="仿宋_GB2312" w:cs="Times New Roman"/>
          <w:kern w:val="0"/>
          <w:sz w:val="32"/>
          <w:szCs w:val="24"/>
          <w:lang w:val="en-US" w:eastAsia="zh-CN" w:bidi="ar-SA"/>
        </w:rPr>
        <w:t>25.33%</w:t>
      </w:r>
      <w:r>
        <w:rPr>
          <w:rFonts w:hint="eastAsia" w:ascii="仿宋_GB2312" w:hAnsi="仿宋_GB2312" w:eastAsia="仿宋_GB2312" w:cs="Times New Roman"/>
          <w:kern w:val="0"/>
          <w:sz w:val="32"/>
          <w:szCs w:val="24"/>
          <w:lang w:val="en-US" w:eastAsia="zh-CN" w:bidi="ar-SA"/>
        </w:rPr>
        <w:t>。具体情况如下：</w:t>
      </w:r>
    </w:p>
    <w:p w14:paraId="3597D1D0">
      <w:pPr>
        <w:pStyle w:val="2"/>
        <w:jc w:val="center"/>
        <w:rPr>
          <w:rFonts w:hint="eastAsia" w:eastAsia="宋体"/>
          <w:lang w:eastAsia="zh-CN"/>
        </w:rPr>
      </w:pPr>
      <w:r>
        <w:rPr>
          <w:rFonts w:hint="eastAsia" w:eastAsia="宋体"/>
          <w:lang w:eastAsia="zh-CN"/>
        </w:rPr>
        <w:drawing>
          <wp:inline distT="0" distB="0" distL="114300" distR="114300">
            <wp:extent cx="4304665" cy="2191385"/>
            <wp:effectExtent l="0" t="0" r="635" b="18415"/>
            <wp:docPr id="10" name="图片 10" descr="“三公”经费财政拨款支出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三公”经费财政拨款支出结构图"/>
                    <pic:cNvPicPr>
                      <a:picLocks noChangeAspect="1"/>
                    </pic:cNvPicPr>
                  </pic:nvPicPr>
                  <pic:blipFill>
                    <a:blip r:embed="rId12"/>
                    <a:stretch>
                      <a:fillRect/>
                    </a:stretch>
                  </pic:blipFill>
                  <pic:spPr>
                    <a:xfrm>
                      <a:off x="0" y="0"/>
                      <a:ext cx="4304665" cy="2191385"/>
                    </a:xfrm>
                    <a:prstGeom prst="rect">
                      <a:avLst/>
                    </a:prstGeom>
                  </pic:spPr>
                </pic:pic>
              </a:graphicData>
            </a:graphic>
          </wp:inline>
        </w:drawing>
      </w:r>
    </w:p>
    <w:p w14:paraId="48FA1181">
      <w:pPr>
        <w:spacing w:line="600" w:lineRule="exact"/>
        <w:ind w:firstLine="640"/>
        <w:jc w:val="center"/>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14:paraId="0B75FC9C">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 xml:space="preserve">1. 因公出国（境）经费支出 0 万元，全年安排因公出国（境）团组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次，出国（境）</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人。 </w:t>
      </w:r>
    </w:p>
    <w:p w14:paraId="7603B16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default" w:ascii="仿宋_GB2312" w:hAnsi="仿宋_GB2312" w:eastAsia="仿宋_GB2312" w:cs="Times New Roman"/>
          <w:kern w:val="0"/>
          <w:sz w:val="32"/>
          <w:szCs w:val="24"/>
          <w:lang w:val="en-US" w:eastAsia="zh-CN" w:bidi="ar-SA"/>
        </w:rPr>
        <w:t xml:space="preserve">2. </w:t>
      </w:r>
      <w:r>
        <w:rPr>
          <w:rFonts w:hint="eastAsia" w:ascii="仿宋_GB2312" w:hAnsi="仿宋_GB2312" w:eastAsia="仿宋_GB2312" w:cs="Times New Roman"/>
          <w:kern w:val="0"/>
          <w:sz w:val="32"/>
          <w:szCs w:val="24"/>
          <w:lang w:val="en-US" w:eastAsia="zh-CN" w:bidi="ar-SA"/>
        </w:rPr>
        <w:t xml:space="preserve">公务用车购置及运行维护费支出 </w:t>
      </w:r>
      <w:r>
        <w:rPr>
          <w:rFonts w:hint="default" w:ascii="仿宋_GB2312" w:hAnsi="仿宋_GB2312" w:eastAsia="仿宋_GB2312" w:cs="Times New Roman"/>
          <w:kern w:val="0"/>
          <w:sz w:val="32"/>
          <w:szCs w:val="24"/>
          <w:lang w:val="en-US" w:eastAsia="zh-CN" w:bidi="ar-SA"/>
        </w:rPr>
        <w:t>2.</w:t>
      </w:r>
      <w:r>
        <w:rPr>
          <w:rFonts w:hint="eastAsia" w:ascii="仿宋_GB2312" w:hAnsi="仿宋_GB2312" w:eastAsia="仿宋_GB2312" w:cs="Times New Roman"/>
          <w:kern w:val="0"/>
          <w:sz w:val="32"/>
          <w:szCs w:val="24"/>
          <w:lang w:val="en-US" w:eastAsia="zh-CN" w:bidi="ar-SA"/>
        </w:rPr>
        <w:t>7</w:t>
      </w:r>
      <w:r>
        <w:rPr>
          <w:rFonts w:hint="default" w:ascii="仿宋_GB2312" w:hAnsi="仿宋_GB2312" w:eastAsia="仿宋_GB2312" w:cs="Times New Roman"/>
          <w:kern w:val="0"/>
          <w:sz w:val="32"/>
          <w:szCs w:val="24"/>
          <w:lang w:val="en-US" w:eastAsia="zh-CN" w:bidi="ar-SA"/>
        </w:rPr>
        <w:t xml:space="preserve">8 </w:t>
      </w:r>
      <w:r>
        <w:rPr>
          <w:rFonts w:hint="eastAsia" w:ascii="仿宋_GB2312" w:hAnsi="仿宋_GB2312" w:eastAsia="仿宋_GB2312" w:cs="Times New Roman"/>
          <w:kern w:val="0"/>
          <w:sz w:val="32"/>
          <w:szCs w:val="24"/>
          <w:lang w:val="en-US" w:eastAsia="zh-CN" w:bidi="ar-SA"/>
        </w:rPr>
        <w:t xml:space="preserve">万元，完成预算 </w:t>
      </w:r>
      <w:r>
        <w:rPr>
          <w:rFonts w:hint="default" w:ascii="仿宋_GB2312" w:hAnsi="仿宋_GB2312" w:eastAsia="仿宋_GB2312" w:cs="Times New Roman"/>
          <w:kern w:val="0"/>
          <w:sz w:val="32"/>
          <w:szCs w:val="24"/>
          <w:lang w:val="en-US" w:eastAsia="zh-CN" w:bidi="ar-SA"/>
        </w:rPr>
        <w:t>100%</w:t>
      </w:r>
      <w:r>
        <w:rPr>
          <w:rFonts w:hint="eastAsia" w:ascii="仿宋_GB2312" w:hAnsi="仿宋_GB2312" w:eastAsia="仿宋_GB2312" w:cs="Times New Roman"/>
          <w:kern w:val="0"/>
          <w:sz w:val="32"/>
          <w:szCs w:val="24"/>
          <w:lang w:val="en-US" w:eastAsia="zh-CN" w:bidi="ar-SA"/>
        </w:rPr>
        <w:t xml:space="preserve">。公务用车购置及运行维护费支出决算比 </w:t>
      </w:r>
      <w:r>
        <w:rPr>
          <w:rFonts w:hint="default" w:ascii="仿宋_GB2312" w:hAnsi="仿宋_GB2312" w:eastAsia="仿宋_GB2312" w:cs="Times New Roman"/>
          <w:kern w:val="0"/>
          <w:sz w:val="32"/>
          <w:szCs w:val="24"/>
          <w:lang w:val="en-US" w:eastAsia="zh-CN" w:bidi="ar-SA"/>
        </w:rPr>
        <w:t>202</w:t>
      </w:r>
      <w:r>
        <w:rPr>
          <w:rFonts w:hint="eastAsia" w:ascii="仿宋_GB2312" w:hAnsi="仿宋_GB2312" w:eastAsia="仿宋_GB2312" w:cs="Times New Roman"/>
          <w:kern w:val="0"/>
          <w:sz w:val="32"/>
          <w:szCs w:val="24"/>
          <w:lang w:val="en-US" w:eastAsia="zh-CN" w:bidi="ar-SA"/>
        </w:rPr>
        <w:t>4</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年度减少0.22万元，下降 0.71</w:t>
      </w:r>
      <w:r>
        <w:rPr>
          <w:rFonts w:hint="default" w:ascii="仿宋_GB2312" w:hAnsi="仿宋_GB2312" w:eastAsia="仿宋_GB2312" w:cs="Times New Roman"/>
          <w:kern w:val="0"/>
          <w:sz w:val="32"/>
          <w:szCs w:val="24"/>
          <w:lang w:val="en-US" w:eastAsia="zh-CN" w:bidi="ar-SA"/>
        </w:rPr>
        <w:t>%</w:t>
      </w:r>
      <w:r>
        <w:rPr>
          <w:rFonts w:hint="eastAsia" w:ascii="仿宋_GB2312" w:hAnsi="仿宋_GB2312" w:eastAsia="仿宋_GB2312" w:cs="Times New Roman"/>
          <w:kern w:val="0"/>
          <w:sz w:val="32"/>
          <w:szCs w:val="24"/>
          <w:lang w:val="en-US" w:eastAsia="zh-CN" w:bidi="ar-SA"/>
        </w:rPr>
        <w:t xml:space="preserve">。原因是厉行节约，严格控制费用。其中：公务用车购置支出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万元。全年按规定更新购置 公务用车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辆，其中：轿车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辆、金额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万元，越野车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辆、金额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万元，载客汽车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辆、金额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万元。截至 </w:t>
      </w:r>
      <w:r>
        <w:rPr>
          <w:rFonts w:hint="default" w:ascii="仿宋_GB2312" w:hAnsi="仿宋_GB2312" w:eastAsia="仿宋_GB2312" w:cs="Times New Roman"/>
          <w:kern w:val="0"/>
          <w:sz w:val="32"/>
          <w:szCs w:val="24"/>
          <w:lang w:val="en-US" w:eastAsia="zh-CN" w:bidi="ar-SA"/>
        </w:rPr>
        <w:t>202</w:t>
      </w:r>
      <w:r>
        <w:rPr>
          <w:rFonts w:hint="eastAsia" w:ascii="仿宋_GB2312" w:hAnsi="仿宋_GB2312" w:eastAsia="仿宋_GB2312" w:cs="Times New Roman"/>
          <w:kern w:val="0"/>
          <w:sz w:val="32"/>
          <w:szCs w:val="24"/>
          <w:lang w:val="en-US" w:eastAsia="zh-CN" w:bidi="ar-SA"/>
        </w:rPr>
        <w:t xml:space="preserve">5年 </w:t>
      </w:r>
      <w:r>
        <w:rPr>
          <w:rFonts w:hint="default" w:ascii="仿宋_GB2312" w:hAnsi="仿宋_GB2312" w:eastAsia="仿宋_GB2312" w:cs="Times New Roman"/>
          <w:kern w:val="0"/>
          <w:sz w:val="32"/>
          <w:szCs w:val="24"/>
          <w:lang w:val="en-US" w:eastAsia="zh-CN" w:bidi="ar-SA"/>
        </w:rPr>
        <w:t xml:space="preserve">12 </w:t>
      </w:r>
      <w:r>
        <w:rPr>
          <w:rFonts w:hint="eastAsia" w:ascii="仿宋_GB2312" w:hAnsi="仿宋_GB2312" w:eastAsia="仿宋_GB2312" w:cs="Times New Roman"/>
          <w:kern w:val="0"/>
          <w:sz w:val="32"/>
          <w:szCs w:val="24"/>
          <w:lang w:val="en-US" w:eastAsia="zh-CN" w:bidi="ar-SA"/>
        </w:rPr>
        <w:t xml:space="preserve">月 </w:t>
      </w:r>
      <w:r>
        <w:rPr>
          <w:rFonts w:hint="default" w:ascii="仿宋_GB2312" w:hAnsi="仿宋_GB2312" w:eastAsia="仿宋_GB2312" w:cs="Times New Roman"/>
          <w:kern w:val="0"/>
          <w:sz w:val="32"/>
          <w:szCs w:val="24"/>
          <w:lang w:val="en-US" w:eastAsia="zh-CN" w:bidi="ar-SA"/>
        </w:rPr>
        <w:t xml:space="preserve">31 </w:t>
      </w:r>
      <w:r>
        <w:rPr>
          <w:rFonts w:hint="eastAsia" w:ascii="仿宋_GB2312" w:hAnsi="仿宋_GB2312" w:eastAsia="仿宋_GB2312" w:cs="Times New Roman"/>
          <w:kern w:val="0"/>
          <w:sz w:val="32"/>
          <w:szCs w:val="24"/>
          <w:lang w:val="en-US" w:eastAsia="zh-CN" w:bidi="ar-SA"/>
        </w:rPr>
        <w:t xml:space="preserve">日，单位共有公务用车 </w:t>
      </w:r>
      <w:r>
        <w:rPr>
          <w:rFonts w:hint="default" w:ascii="仿宋_GB2312" w:hAnsi="仿宋_GB2312" w:eastAsia="仿宋_GB2312" w:cs="Times New Roman"/>
          <w:kern w:val="0"/>
          <w:sz w:val="32"/>
          <w:szCs w:val="24"/>
          <w:lang w:val="en-US" w:eastAsia="zh-CN" w:bidi="ar-SA"/>
        </w:rPr>
        <w:t xml:space="preserve">1 </w:t>
      </w:r>
      <w:r>
        <w:rPr>
          <w:rFonts w:hint="eastAsia" w:ascii="仿宋_GB2312" w:hAnsi="仿宋_GB2312" w:eastAsia="仿宋_GB2312" w:cs="Times New Roman"/>
          <w:kern w:val="0"/>
          <w:sz w:val="32"/>
          <w:szCs w:val="24"/>
          <w:lang w:val="en-US" w:eastAsia="zh-CN" w:bidi="ar-SA"/>
        </w:rPr>
        <w:t xml:space="preserve">辆，其中：轿车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辆、越野车 </w:t>
      </w:r>
      <w:r>
        <w:rPr>
          <w:rFonts w:hint="default" w:ascii="仿宋_GB2312" w:hAnsi="仿宋_GB2312" w:eastAsia="仿宋_GB2312" w:cs="Times New Roman"/>
          <w:kern w:val="0"/>
          <w:sz w:val="32"/>
          <w:szCs w:val="24"/>
          <w:lang w:val="en-US" w:eastAsia="zh-CN" w:bidi="ar-SA"/>
        </w:rPr>
        <w:t xml:space="preserve">1 </w:t>
      </w:r>
      <w:r>
        <w:rPr>
          <w:rFonts w:hint="eastAsia" w:ascii="仿宋_GB2312" w:hAnsi="仿宋_GB2312" w:eastAsia="仿宋_GB2312" w:cs="Times New Roman"/>
          <w:kern w:val="0"/>
          <w:sz w:val="32"/>
          <w:szCs w:val="24"/>
          <w:lang w:val="en-US" w:eastAsia="zh-CN" w:bidi="ar-SA"/>
        </w:rPr>
        <w:t xml:space="preserve">辆、载客汽车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辆。 公务用车运行维护费支出 </w:t>
      </w:r>
      <w:r>
        <w:rPr>
          <w:rFonts w:hint="default" w:ascii="仿宋_GB2312" w:hAnsi="仿宋_GB2312" w:eastAsia="仿宋_GB2312" w:cs="Times New Roman"/>
          <w:kern w:val="0"/>
          <w:sz w:val="32"/>
          <w:szCs w:val="24"/>
          <w:lang w:val="en-US" w:eastAsia="zh-CN" w:bidi="ar-SA"/>
        </w:rPr>
        <w:t>2.</w:t>
      </w:r>
      <w:r>
        <w:rPr>
          <w:rFonts w:hint="eastAsia" w:ascii="仿宋_GB2312" w:hAnsi="仿宋_GB2312" w:eastAsia="仿宋_GB2312" w:cs="Times New Roman"/>
          <w:kern w:val="0"/>
          <w:sz w:val="32"/>
          <w:szCs w:val="24"/>
          <w:lang w:val="en-US" w:eastAsia="zh-CN" w:bidi="ar-SA"/>
        </w:rPr>
        <w:t>7</w:t>
      </w:r>
      <w:r>
        <w:rPr>
          <w:rFonts w:hint="default" w:ascii="仿宋_GB2312" w:hAnsi="仿宋_GB2312" w:eastAsia="仿宋_GB2312" w:cs="Times New Roman"/>
          <w:kern w:val="0"/>
          <w:sz w:val="32"/>
          <w:szCs w:val="24"/>
          <w:lang w:val="en-US" w:eastAsia="zh-CN" w:bidi="ar-SA"/>
        </w:rPr>
        <w:t xml:space="preserve">8 </w:t>
      </w:r>
      <w:r>
        <w:rPr>
          <w:rFonts w:hint="eastAsia" w:ascii="仿宋_GB2312" w:hAnsi="仿宋_GB2312" w:eastAsia="仿宋_GB2312" w:cs="Times New Roman"/>
          <w:kern w:val="0"/>
          <w:sz w:val="32"/>
          <w:szCs w:val="24"/>
          <w:lang w:val="en-US" w:eastAsia="zh-CN" w:bidi="ar-SA"/>
        </w:rPr>
        <w:t xml:space="preserve">万元。主要用于开展乡村振兴工作等所需的公务用车燃料费、维修费、过路过桥费、 保险费等支出。 </w:t>
      </w:r>
    </w:p>
    <w:p w14:paraId="1AEFA171">
      <w:pPr>
        <w:pStyle w:val="6"/>
        <w:bidi w:val="0"/>
        <w:ind w:firstLine="640" w:firstLineChars="200"/>
        <w:rPr>
          <w:rFonts w:hint="eastAsia" w:ascii="仿宋_GB2312" w:hAnsi="仿宋_GB2312" w:eastAsia="仿宋_GB2312" w:cs="Times New Roman"/>
          <w:kern w:val="0"/>
          <w:sz w:val="32"/>
          <w:szCs w:val="24"/>
          <w:lang w:val="zh-CN" w:eastAsia="zh-CN" w:bidi="ar-SA"/>
        </w:rPr>
      </w:pPr>
      <w:r>
        <w:rPr>
          <w:rFonts w:hint="default" w:ascii="仿宋_GB2312" w:hAnsi="仿宋_GB2312" w:eastAsia="仿宋_GB2312" w:cs="Times New Roman"/>
          <w:kern w:val="0"/>
          <w:sz w:val="32"/>
          <w:szCs w:val="24"/>
          <w:lang w:val="en-US" w:eastAsia="zh-CN" w:bidi="ar-SA"/>
        </w:rPr>
        <w:t>3.</w:t>
      </w:r>
      <w:r>
        <w:rPr>
          <w:rFonts w:hint="eastAsia" w:ascii="仿宋_GB2312" w:hAnsi="仿宋_GB2312" w:eastAsia="仿宋_GB2312" w:cs="Times New Roman"/>
          <w:kern w:val="0"/>
          <w:sz w:val="32"/>
          <w:szCs w:val="24"/>
          <w:lang w:val="en-US" w:eastAsia="zh-CN" w:bidi="ar-SA"/>
        </w:rPr>
        <w:t xml:space="preserve">公务接待费支出 0.78 万元，完成预算 </w:t>
      </w:r>
      <w:r>
        <w:rPr>
          <w:rFonts w:hint="default" w:ascii="仿宋_GB2312" w:hAnsi="仿宋_GB2312" w:eastAsia="仿宋_GB2312" w:cs="Times New Roman"/>
          <w:kern w:val="0"/>
          <w:sz w:val="32"/>
          <w:szCs w:val="24"/>
          <w:lang w:val="en-US" w:eastAsia="zh-CN" w:bidi="ar-SA"/>
        </w:rPr>
        <w:t>100%</w:t>
      </w:r>
      <w:r>
        <w:rPr>
          <w:rFonts w:hint="eastAsia" w:ascii="仿宋_GB2312" w:hAnsi="仿宋_GB2312" w:eastAsia="仿宋_GB2312" w:cs="Times New Roman"/>
          <w:kern w:val="0"/>
          <w:sz w:val="32"/>
          <w:szCs w:val="24"/>
          <w:lang w:val="en-US" w:eastAsia="zh-CN" w:bidi="ar-SA"/>
        </w:rPr>
        <w:t xml:space="preserve">。公务接待费支出决算比 </w:t>
      </w:r>
      <w:r>
        <w:rPr>
          <w:rFonts w:hint="default" w:ascii="仿宋_GB2312" w:hAnsi="仿宋_GB2312" w:eastAsia="仿宋_GB2312" w:cs="Times New Roman"/>
          <w:kern w:val="0"/>
          <w:sz w:val="32"/>
          <w:szCs w:val="24"/>
          <w:lang w:val="en-US" w:eastAsia="zh-CN" w:bidi="ar-SA"/>
        </w:rPr>
        <w:t>202</w:t>
      </w:r>
      <w:r>
        <w:rPr>
          <w:rFonts w:hint="eastAsia" w:ascii="仿宋_GB2312" w:hAnsi="仿宋_GB2312" w:eastAsia="仿宋_GB2312" w:cs="Times New Roman"/>
          <w:kern w:val="0"/>
          <w:sz w:val="32"/>
          <w:szCs w:val="24"/>
          <w:lang w:val="en-US" w:eastAsia="zh-CN" w:bidi="ar-SA"/>
        </w:rPr>
        <w:t>4</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年度减少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17</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万元，下降 17.89</w:t>
      </w:r>
      <w:r>
        <w:rPr>
          <w:rFonts w:hint="default" w:ascii="仿宋_GB2312" w:hAnsi="仿宋_GB2312" w:eastAsia="仿宋_GB2312" w:cs="Times New Roman"/>
          <w:kern w:val="0"/>
          <w:sz w:val="32"/>
          <w:szCs w:val="24"/>
          <w:lang w:val="en-US" w:eastAsia="zh-CN" w:bidi="ar-SA"/>
        </w:rPr>
        <w:t>%</w:t>
      </w:r>
      <w:r>
        <w:rPr>
          <w:rFonts w:hint="eastAsia" w:ascii="仿宋_GB2312" w:hAnsi="仿宋_GB2312" w:eastAsia="仿宋_GB2312" w:cs="Times New Roman"/>
          <w:kern w:val="0"/>
          <w:sz w:val="32"/>
          <w:szCs w:val="24"/>
          <w:lang w:val="en-US" w:eastAsia="zh-CN" w:bidi="ar-SA"/>
        </w:rPr>
        <w:t xml:space="preserve">。主要原因是厉行节约，严格控制缩减公务接待费。其中，国内公务接待支出 0.95 万元，主要用于主要用于执行公务、开展业务活动开支的用餐费等。国内公务接待 </w:t>
      </w:r>
      <w:r>
        <w:rPr>
          <w:rFonts w:hint="default" w:ascii="仿宋_GB2312" w:hAnsi="仿宋_GB2312" w:eastAsia="仿宋_GB2312" w:cs="Times New Roman"/>
          <w:kern w:val="0"/>
          <w:sz w:val="32"/>
          <w:szCs w:val="24"/>
          <w:lang w:val="en-US" w:eastAsia="zh-CN" w:bidi="ar-SA"/>
        </w:rPr>
        <w:t xml:space="preserve">7 </w:t>
      </w:r>
      <w:r>
        <w:rPr>
          <w:rFonts w:hint="eastAsia" w:ascii="仿宋_GB2312" w:hAnsi="仿宋_GB2312" w:eastAsia="仿宋_GB2312" w:cs="Times New Roman"/>
          <w:kern w:val="0"/>
          <w:sz w:val="32"/>
          <w:szCs w:val="24"/>
          <w:lang w:val="en-US" w:eastAsia="zh-CN" w:bidi="ar-SA"/>
        </w:rPr>
        <w:t>批次，155</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人次（不包括陪同人员），共计支出 </w:t>
      </w:r>
      <w:r>
        <w:rPr>
          <w:rFonts w:hint="default" w:ascii="仿宋_GB2312" w:hAnsi="仿宋_GB2312" w:eastAsia="仿宋_GB2312" w:cs="Times New Roman"/>
          <w:kern w:val="0"/>
          <w:sz w:val="32"/>
          <w:szCs w:val="24"/>
          <w:lang w:val="en-US" w:eastAsia="zh-CN" w:bidi="ar-SA"/>
        </w:rPr>
        <w:t>0.</w:t>
      </w:r>
      <w:r>
        <w:rPr>
          <w:rFonts w:hint="eastAsia" w:ascii="仿宋_GB2312" w:hAnsi="仿宋_GB2312" w:eastAsia="仿宋_GB2312" w:cs="Times New Roman"/>
          <w:kern w:val="0"/>
          <w:sz w:val="32"/>
          <w:szCs w:val="24"/>
          <w:lang w:val="en-US" w:eastAsia="zh-CN" w:bidi="ar-SA"/>
        </w:rPr>
        <w:t>78</w:t>
      </w:r>
      <w:r>
        <w:rPr>
          <w:rFonts w:hint="default" w:ascii="仿宋_GB2312" w:hAnsi="仿宋_GB2312" w:eastAsia="仿宋_GB2312" w:cs="Times New Roman"/>
          <w:kern w:val="0"/>
          <w:sz w:val="32"/>
          <w:szCs w:val="24"/>
          <w:lang w:val="en-US" w:eastAsia="zh-CN" w:bidi="ar-SA"/>
        </w:rPr>
        <w:t xml:space="preserve"> </w:t>
      </w:r>
      <w:r>
        <w:rPr>
          <w:rFonts w:hint="eastAsia" w:ascii="仿宋_GB2312" w:hAnsi="仿宋_GB2312" w:eastAsia="仿宋_GB2312" w:cs="Times New Roman"/>
          <w:kern w:val="0"/>
          <w:sz w:val="32"/>
          <w:szCs w:val="24"/>
          <w:lang w:val="en-US" w:eastAsia="zh-CN" w:bidi="ar-SA"/>
        </w:rPr>
        <w:t xml:space="preserve">万元。外事接待支出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万元，外事接待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批次，</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人次（不包括陪同人员），共计支出 </w:t>
      </w:r>
      <w:r>
        <w:rPr>
          <w:rFonts w:hint="default" w:ascii="仿宋_GB2312" w:hAnsi="仿宋_GB2312" w:eastAsia="仿宋_GB2312" w:cs="Times New Roman"/>
          <w:kern w:val="0"/>
          <w:sz w:val="32"/>
          <w:szCs w:val="24"/>
          <w:lang w:val="en-US" w:eastAsia="zh-CN" w:bidi="ar-SA"/>
        </w:rPr>
        <w:t xml:space="preserve">0 </w:t>
      </w:r>
      <w:r>
        <w:rPr>
          <w:rFonts w:hint="eastAsia" w:ascii="仿宋_GB2312" w:hAnsi="仿宋_GB2312" w:eastAsia="仿宋_GB2312" w:cs="Times New Roman"/>
          <w:kern w:val="0"/>
          <w:sz w:val="32"/>
          <w:szCs w:val="24"/>
          <w:lang w:val="en-US" w:eastAsia="zh-CN" w:bidi="ar-SA"/>
        </w:rPr>
        <w:t xml:space="preserve">万元。 </w:t>
      </w:r>
    </w:p>
    <w:p w14:paraId="1F1A7C87">
      <w:pPr>
        <w:pStyle w:val="4"/>
        <w:bidi w:val="0"/>
        <w:spacing w:line="600" w:lineRule="exact"/>
        <w:ind w:left="0" w:right="0" w:firstLine="640" w:firstLineChars="200"/>
        <w:rPr>
          <w:rFonts w:hint="eastAsia" w:ascii="Times New Roman" w:hAnsi="Times New Roman" w:eastAsia="黑体"/>
          <w:b w:val="0"/>
          <w:color w:val="auto"/>
          <w:sz w:val="32"/>
          <w:szCs w:val="32"/>
          <w:highlight w:val="none"/>
          <w:lang w:eastAsia="zh-CN"/>
        </w:rPr>
      </w:pPr>
      <w:bookmarkStart w:id="57" w:name="_Toc15396610"/>
      <w:bookmarkStart w:id="58" w:name="_Toc15377218"/>
      <w:bookmarkStart w:id="59" w:name="_Toc18000_WPSOffice_Level2"/>
      <w:r>
        <w:rPr>
          <w:rFonts w:hint="eastAsia" w:ascii="Times New Roman" w:hAnsi="Times New Roman" w:eastAsia="黑体"/>
          <w:b w:val="0"/>
          <w:color w:val="auto"/>
          <w:sz w:val="32"/>
          <w:szCs w:val="32"/>
          <w:highlight w:val="none"/>
          <w:lang w:eastAsia="zh-CN"/>
        </w:rPr>
        <w:t>八、政府性基金预算支出决算情况说明</w:t>
      </w:r>
      <w:bookmarkEnd w:id="57"/>
      <w:bookmarkEnd w:id="58"/>
      <w:bookmarkEnd w:id="59"/>
    </w:p>
    <w:p w14:paraId="7F17AD16">
      <w:pPr>
        <w:spacing w:line="600" w:lineRule="exact"/>
        <w:ind w:firstLine="640"/>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2025年度政府性基金预算财政拨款支出0万元，占本年支出合计的0%。与上年度相比，政府性基金预算财政拨款支出减少2万元，下降100%。主要变动原因是2025年度无相关需求。</w:t>
      </w:r>
    </w:p>
    <w:p w14:paraId="66D98853">
      <w:pPr>
        <w:pStyle w:val="2"/>
        <w:rPr>
          <w:rFonts w:hint="default"/>
          <w:lang w:val="en-US" w:eastAsia="zh-CN"/>
        </w:rPr>
      </w:pPr>
    </w:p>
    <w:p w14:paraId="287B3403">
      <w:pPr>
        <w:pStyle w:val="4"/>
        <w:bidi w:val="0"/>
        <w:spacing w:line="600" w:lineRule="exact"/>
        <w:ind w:left="0" w:right="0" w:firstLine="640" w:firstLineChars="200"/>
        <w:rPr>
          <w:rFonts w:hint="eastAsia" w:ascii="Times New Roman" w:hAnsi="Times New Roman" w:eastAsia="黑体"/>
          <w:b w:val="0"/>
          <w:color w:val="auto"/>
          <w:sz w:val="32"/>
          <w:szCs w:val="32"/>
          <w:highlight w:val="none"/>
          <w:lang w:eastAsia="zh-CN"/>
        </w:rPr>
      </w:pPr>
      <w:bookmarkStart w:id="60" w:name="_Toc15396611"/>
      <w:bookmarkStart w:id="61" w:name="_Toc15377219"/>
      <w:bookmarkStart w:id="62" w:name="_Toc3861_WPSOffice_Level2"/>
      <w:r>
        <w:rPr>
          <w:rFonts w:hint="eastAsia" w:ascii="Times New Roman" w:hAnsi="Times New Roman" w:eastAsia="黑体"/>
          <w:b w:val="0"/>
          <w:color w:val="auto"/>
          <w:sz w:val="32"/>
          <w:szCs w:val="32"/>
          <w:highlight w:val="none"/>
          <w:lang w:eastAsia="zh-CN"/>
        </w:rPr>
        <w:t>九、国有资本经营预算支出决算情况说明</w:t>
      </w:r>
      <w:bookmarkEnd w:id="60"/>
      <w:bookmarkEnd w:id="61"/>
      <w:bookmarkEnd w:id="62"/>
    </w:p>
    <w:p w14:paraId="3A154B5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2025年度国有资本经营预算财政拨款支出 0 万元，占本年支出合计的 0%。与 2024 年度相比，无变化。</w:t>
      </w:r>
    </w:p>
    <w:p w14:paraId="70878958">
      <w:pPr>
        <w:pStyle w:val="4"/>
        <w:bidi w:val="0"/>
        <w:spacing w:line="600" w:lineRule="exact"/>
        <w:ind w:left="0" w:right="0" w:firstLine="640" w:firstLineChars="200"/>
        <w:rPr>
          <w:rFonts w:hint="eastAsia" w:ascii="Times New Roman" w:hAnsi="Times New Roman" w:eastAsia="黑体"/>
          <w:b w:val="0"/>
          <w:color w:val="auto"/>
          <w:sz w:val="32"/>
          <w:szCs w:val="32"/>
          <w:highlight w:val="none"/>
          <w:lang w:eastAsia="zh-CN"/>
        </w:rPr>
      </w:pPr>
      <w:bookmarkStart w:id="63" w:name="_Toc15377221"/>
      <w:bookmarkStart w:id="64" w:name="_Toc32762_WPSOffice_Level2"/>
      <w:bookmarkStart w:id="65" w:name="_Toc15396612"/>
      <w:r>
        <w:rPr>
          <w:rFonts w:hint="eastAsia" w:ascii="Times New Roman" w:hAnsi="Times New Roman" w:eastAsia="黑体"/>
          <w:b w:val="0"/>
          <w:color w:val="auto"/>
          <w:sz w:val="32"/>
          <w:szCs w:val="32"/>
          <w:highlight w:val="none"/>
          <w:lang w:eastAsia="zh-CN"/>
        </w:rPr>
        <w:t>十、其他重要事项的情况说明</w:t>
      </w:r>
      <w:bookmarkEnd w:id="63"/>
      <w:bookmarkEnd w:id="64"/>
      <w:bookmarkEnd w:id="65"/>
    </w:p>
    <w:p w14:paraId="68C78D94">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bookmarkStart w:id="66" w:name="_Toc15377222"/>
      <w:r>
        <w:rPr>
          <w:rFonts w:hint="eastAsia" w:ascii="Times New Roman" w:hAnsi="Times New Roman" w:eastAsia="楷体_GB2312" w:cs="楷体_GB2312"/>
          <w:b/>
          <w:color w:val="auto"/>
          <w:sz w:val="32"/>
          <w:szCs w:val="32"/>
          <w:highlight w:val="none"/>
          <w:lang w:val="en-US" w:eastAsia="zh-CN"/>
        </w:rPr>
        <w:t>（一）机关运行经费支出情况</w:t>
      </w:r>
      <w:bookmarkEnd w:id="66"/>
    </w:p>
    <w:p w14:paraId="30CD3601">
      <w:pPr>
        <w:spacing w:line="600" w:lineRule="exact"/>
        <w:ind w:firstLine="640"/>
        <w:rPr>
          <w:rFonts w:hint="default"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2025年度，底堡乡人民政府机关运行经费支出104.07万元，比上年度增加14.55万元，增长16.24%。主要原因是新增事业人员2名、公务员2名，相关费用增加。</w:t>
      </w:r>
    </w:p>
    <w:p w14:paraId="7614ACCD">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bookmarkStart w:id="67" w:name="_Toc15377223"/>
      <w:r>
        <w:rPr>
          <w:rFonts w:hint="eastAsia" w:ascii="Times New Roman" w:hAnsi="Times New Roman" w:eastAsia="楷体_GB2312" w:cs="楷体_GB2312"/>
          <w:b/>
          <w:color w:val="auto"/>
          <w:sz w:val="32"/>
          <w:szCs w:val="32"/>
          <w:highlight w:val="none"/>
          <w:lang w:val="en-US" w:eastAsia="zh-CN"/>
        </w:rPr>
        <w:t>（二）政府采购支出情况</w:t>
      </w:r>
      <w:bookmarkEnd w:id="67"/>
    </w:p>
    <w:p w14:paraId="11EF9D5D">
      <w:pPr>
        <w:spacing w:line="600" w:lineRule="exact"/>
        <w:ind w:firstLine="640"/>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2025年度，底堡乡人民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7A7F6704">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bookmarkStart w:id="68" w:name="_Toc15377224"/>
      <w:r>
        <w:rPr>
          <w:rFonts w:hint="eastAsia" w:ascii="Times New Roman" w:hAnsi="Times New Roman" w:eastAsia="楷体_GB2312" w:cs="楷体_GB2312"/>
          <w:b/>
          <w:color w:val="auto"/>
          <w:sz w:val="32"/>
          <w:szCs w:val="32"/>
          <w:highlight w:val="none"/>
          <w:lang w:val="en-US" w:eastAsia="zh-CN"/>
        </w:rPr>
        <w:t>（三）国有资产占有使用情况</w:t>
      </w:r>
      <w:bookmarkEnd w:id="68"/>
    </w:p>
    <w:p w14:paraId="1D05BE51">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截至2025年12月31日，沐川县底堡乡人民政府共有车辆 2 辆，其中：主要负责人用车 0 辆、机要通信用车 0 辆、应急保障用车 1 辆、其他用车 1 辆，其他用车主要是用于农业技术服务推广、下村开展乡村振兴等工作。单价 100 万元（含）以上设备（不含车辆）0 台（套）。</w:t>
      </w:r>
    </w:p>
    <w:p w14:paraId="7100B2FE">
      <w:pPr>
        <w:numPr>
          <w:ilvl w:val="0"/>
          <w:numId w:val="0"/>
        </w:numPr>
        <w:spacing w:line="600" w:lineRule="exact"/>
        <w:ind w:left="420" w:leftChars="0"/>
        <w:outlineLvl w:val="2"/>
        <w:rPr>
          <w:rFonts w:hint="eastAsia" w:ascii="Times New Roman" w:hAnsi="Times New Roman" w:eastAsia="楷体_GB2312" w:cs="楷体_GB2312"/>
          <w:b/>
          <w:color w:val="auto"/>
          <w:sz w:val="32"/>
          <w:szCs w:val="32"/>
          <w:highlight w:val="none"/>
          <w:lang w:val="en-US" w:eastAsia="zh-CN"/>
        </w:rPr>
      </w:pPr>
      <w:r>
        <w:rPr>
          <w:rFonts w:hint="eastAsia" w:ascii="Times New Roman" w:hAnsi="Times New Roman" w:eastAsia="楷体_GB2312" w:cs="楷体_GB2312"/>
          <w:b/>
          <w:color w:val="auto"/>
          <w:sz w:val="32"/>
          <w:szCs w:val="32"/>
          <w:highlight w:val="none"/>
          <w:lang w:val="en-US" w:eastAsia="zh-CN"/>
        </w:rPr>
        <w:t>（四）预算绩效管理情况</w:t>
      </w:r>
    </w:p>
    <w:p w14:paraId="6FADB2E1">
      <w:pPr>
        <w:spacing w:line="600" w:lineRule="exact"/>
        <w:ind w:firstLine="640"/>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根据预算绩效管理要求，底堡乡人民政府在2025年度，组织对乡镇便民服务中心（站）日常运维费、村(社区)代办点日常运维费、乡镇民兵业务经费、乡镇普法依法治理经费、乡镇老协活动经费、农村生活垃圾治理资金、乡镇环境综合治理长效管理经费、第一书记和工作队工作经费、2025年免开中央、省级、县级资金、乡镇安全监管工作经费、困难群众临时救助资金等36个项目涉及金额1,141.07万元开展了事前绩效评估，对36个项目编制了绩效目标，预算执行过程中，选取36个项目开展绩效监控。</w:t>
      </w:r>
    </w:p>
    <w:p w14:paraId="1DC5A075">
      <w:pPr>
        <w:keepNext w:val="0"/>
        <w:keepLines w:val="0"/>
        <w:widowControl/>
        <w:suppressLineNumbers w:val="0"/>
        <w:ind w:firstLine="640" w:firstLineChars="200"/>
        <w:jc w:val="left"/>
      </w:pPr>
      <w:r>
        <w:rPr>
          <w:rFonts w:hint="eastAsia" w:ascii="仿宋_GB2312" w:hAnsi="仿宋_GB2312" w:eastAsia="仿宋_GB2312" w:cs="Times New Roman"/>
          <w:kern w:val="0"/>
          <w:sz w:val="32"/>
          <w:szCs w:val="24"/>
          <w:lang w:val="en-US" w:eastAsia="zh-CN" w:bidi="ar-SA"/>
        </w:rPr>
        <w:t xml:space="preserve">组织对2025年度一般公共预算、政府性基金预算、国有资本经营预算、社会保险基金预算以及资本资产、债券资金等全面开展绩效自评，形成沐川县底堡乡人民政府2024年部门整体（含部门预算项目）绩效自评报告。其中部门整体（含部门预算项目）绩效自评得分为 100分，绩效自评综述：贯彻落实党的路线方针政策和国家法律法规以及上级党委、政府的决议、决定和命令，执行乡党委和乡人民代表大会的决议，加强农村基层政权建设，巩固党在农村的执政基础。以党建引领我乡各项工作，在经济社会发展规划和乡国土空间规划，推进农业经济结构调整，促进经济增长、农业增效、农民增收，农村公共服务体系建设，自然资源、生态环境保护、森林防火、防汛抗旱、粮食安全，推进基层民主法治建设，社会安全稳定，国防教育等等方面均取得了良好的成绩，部门整体绩效情况良好。2025年专项预算项目绩效自评得分为100分，绩效自评综述：预算项目未偏离绩效目标，执行情况良好。 </w:t>
      </w:r>
    </w:p>
    <w:p w14:paraId="6F1967CB">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绩效自评报告详见附件。</w:t>
      </w:r>
    </w:p>
    <w:p w14:paraId="697AF67B">
      <w:pPr>
        <w:pStyle w:val="2"/>
        <w:rPr>
          <w:rFonts w:hint="eastAsia"/>
          <w:lang w:val="en-US" w:eastAsia="zh-CN"/>
        </w:rPr>
      </w:pPr>
    </w:p>
    <w:p w14:paraId="05E54C38">
      <w:pPr>
        <w:rPr>
          <w:rFonts w:hint="eastAsia"/>
          <w:lang w:val="en-US" w:eastAsia="zh-CN"/>
        </w:rPr>
      </w:pPr>
      <w:r>
        <w:rPr>
          <w:rFonts w:hint="eastAsia"/>
          <w:lang w:val="en-US" w:eastAsia="zh-CN"/>
        </w:rPr>
        <w:br w:type="page"/>
      </w:r>
    </w:p>
    <w:p w14:paraId="044AC5B1">
      <w:pPr>
        <w:pStyle w:val="3"/>
        <w:keepNext/>
        <w:keepLines/>
        <w:pageBreakBefore/>
        <w:widowControl w:val="0"/>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color w:val="auto"/>
          <w:highlight w:val="none"/>
        </w:rPr>
      </w:pPr>
      <w:bookmarkStart w:id="69" w:name="_Toc14030_WPSOffice_Level1"/>
      <w:bookmarkStart w:id="70" w:name="_Toc15377225"/>
      <w:bookmarkStart w:id="71" w:name="_Toc15396613"/>
      <w:bookmarkStart w:id="72" w:name="_Toc32237_WPSOffice_Level1"/>
      <w:r>
        <w:rPr>
          <w:rFonts w:hint="eastAsia" w:ascii="Times New Roman" w:hAnsi="Times New Roman" w:eastAsia="方正小标宋简体" w:cs="方正小标宋简体"/>
          <w:b w:val="0"/>
          <w:color w:val="auto"/>
          <w:highlight w:val="none"/>
        </w:rPr>
        <w:t>第</w:t>
      </w:r>
      <w:r>
        <w:rPr>
          <w:rFonts w:hint="eastAsia" w:ascii="Times New Roman" w:hAnsi="Times New Roman" w:eastAsia="方正小标宋简体" w:cs="方正小标宋简体"/>
          <w:b w:val="0"/>
          <w:color w:val="auto"/>
          <w:highlight w:val="none"/>
          <w:lang w:eastAsia="zh-CN"/>
        </w:rPr>
        <w:t>三</w:t>
      </w:r>
      <w:r>
        <w:rPr>
          <w:rFonts w:hint="eastAsia" w:ascii="Times New Roman" w:hAnsi="Times New Roman" w:eastAsia="方正小标宋简体" w:cs="方正小标宋简体"/>
          <w:b w:val="0"/>
          <w:color w:val="auto"/>
          <w:highlight w:val="none"/>
        </w:rPr>
        <w:t>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名词解释</w:t>
      </w:r>
      <w:bookmarkEnd w:id="69"/>
      <w:bookmarkEnd w:id="70"/>
      <w:bookmarkEnd w:id="71"/>
      <w:bookmarkEnd w:id="72"/>
    </w:p>
    <w:p w14:paraId="5EB3E5BA">
      <w:pPr>
        <w:spacing w:line="600" w:lineRule="exact"/>
        <w:jc w:val="left"/>
        <w:rPr>
          <w:rFonts w:ascii="Times New Roman" w:hAnsi="Times New Roman"/>
          <w:b/>
          <w:color w:val="auto"/>
          <w:sz w:val="44"/>
          <w:szCs w:val="44"/>
          <w:highlight w:val="none"/>
        </w:rPr>
      </w:pPr>
    </w:p>
    <w:p w14:paraId="4C447F42">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bookmarkStart w:id="73" w:name="_Toc15377226"/>
      <w:r>
        <w:rPr>
          <w:rFonts w:hint="eastAsia" w:ascii="仿宋_GB2312" w:hAnsi="仿宋_GB2312" w:eastAsia="仿宋_GB2312" w:cs="Times New Roman"/>
          <w:kern w:val="0"/>
          <w:sz w:val="32"/>
          <w:szCs w:val="24"/>
          <w:lang w:val="en-US" w:eastAsia="zh-CN" w:bidi="ar-SA"/>
        </w:rPr>
        <w:t>1. 财政拨款收入：指单位从同级财政部门取得的财政预算资金。</w:t>
      </w:r>
    </w:p>
    <w:p w14:paraId="43C7A0E1">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 事业收入：指事业单位开展专业业务活动及辅助活动取得的收入。 </w:t>
      </w:r>
    </w:p>
    <w:p w14:paraId="10406B3B">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 经营收入：指事业单位在专业业务活动及其辅助活动之外开展非独立核算经营活动取得的收入。 </w:t>
      </w:r>
    </w:p>
    <w:p w14:paraId="09083472">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4. 其他收入：指单位取得的除上述收入以外的各项收入。 </w:t>
      </w:r>
    </w:p>
    <w:p w14:paraId="50B5F67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5. 使用非财政拨款结余（含专用结余）：指事业单位使用以前年度积累的非财政拨款结余弥补当年收支差额的金额。 </w:t>
      </w:r>
    </w:p>
    <w:p w14:paraId="31E54522">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6. 年初结转和结余：指以前年度尚未完成、结转到本年按有关规定继续使用的资金。 </w:t>
      </w:r>
    </w:p>
    <w:p w14:paraId="30010B3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7. 结余分配：指事业单位按照会计制度规定缴纳的所得税、提取的专用结余以及转入非财政拨款结余的金额等。 </w:t>
      </w:r>
    </w:p>
    <w:p w14:paraId="6C8488E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8. 年末结转和结余：指单位按有关规定结转到下年或以后年度继续使用的资金。 </w:t>
      </w:r>
    </w:p>
    <w:p w14:paraId="008F5D62">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9. 一般公共服务（类）人大事务（款）人大会议（项）：反映各级人大召开人民代表大会等专门会议的支出。 </w:t>
      </w:r>
    </w:p>
    <w:p w14:paraId="55139455">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10. 一般公共服务（类）人大事务（款）代表工作（项）：反映人大代表开展各类视察等方面的支出。 </w:t>
      </w:r>
    </w:p>
    <w:p w14:paraId="1A8448B1">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11. 一般公共服务（类）政协事务（款）一般行政管理事务（项）：反映行政单位（包括实行公务员管理的事业单位）未单独设置项级科目的其他项目支出。 </w:t>
      </w:r>
    </w:p>
    <w:p w14:paraId="08E90D61">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12. 一般公共服务（类）政协事务（款）其他政协事务支出（项）：反映除上述项目以外的其他政协事务支出。 </w:t>
      </w:r>
    </w:p>
    <w:p w14:paraId="4AF8B7B9">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13. 一般公共服务（类）政府办公厅（室）及相关机构事务（款）行政运行（项）：反映行政单位（包括实行公务员管理的事业单位）的基本支出。 </w:t>
      </w:r>
    </w:p>
    <w:p w14:paraId="183C33F9">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14. 一般公共服务（类）政府办公厅（室）及相关机构事务（款）一般行政管理事务（项）：反映行政单位（包括实行公务员管理的事业单位）未单独设置项级科目的其他项目支出。 </w:t>
      </w:r>
    </w:p>
    <w:p w14:paraId="15CE929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15. 一般公共服务（类）政府办公厅（室）及相关机构事务（款）事业运行（项）：反映事业单位的基本支出，不包括行政单位（包括实行公务员管理的事业单位）后勤服务中心、医务室等附属事业单位。 </w:t>
      </w:r>
    </w:p>
    <w:p w14:paraId="25C1A6F1">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16. 国防支出（类）国防动员（款）民兵（项）：反映用于民兵建设与管理等方面的支出。 </w:t>
      </w:r>
    </w:p>
    <w:p w14:paraId="5CFFBA6A">
      <w:pPr>
        <w:keepNext w:val="0"/>
        <w:keepLines w:val="0"/>
        <w:widowControl/>
        <w:numPr>
          <w:ilvl w:val="0"/>
          <w:numId w:val="6"/>
        </w:numPr>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公共安全支出（类）司法（款）普法宣传（项）：反映各级司法行政部门用于组织各种媒体的宣传、普法装备与设施、宣传资料、对外宣传、法制作品的审读评审等方面的支出。</w:t>
      </w:r>
    </w:p>
    <w:p w14:paraId="416B00FB">
      <w:pPr>
        <w:keepNext w:val="0"/>
        <w:keepLines w:val="0"/>
        <w:widowControl/>
        <w:numPr>
          <w:ilvl w:val="0"/>
          <w:numId w:val="0"/>
        </w:numPr>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18. 文化旅游体育与传媒支出（类）文化和旅游（款）群众文化（项）：反映群众文化方面的支出，包括基层文化馆（站）、群众艺术馆支出等。 </w:t>
      </w:r>
    </w:p>
    <w:p w14:paraId="52F877DC">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19. 社会保障和就业支出（类）行政事业单位养老支出（款）机关事业单位基本养老保险缴费支出（项）：反映机关事业单位实施养老保险制度由单位缴纳的基本养老保险费支出。 </w:t>
      </w:r>
    </w:p>
    <w:p w14:paraId="33AAB6D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20. 社会保障和就业支出（类）行政事业单位养老支出（款）机关事业单位职业年金缴费支出（项）：反映机关事业单位实施养老保险制度由单位实际缴纳的职业年金支出（含职业年金补记支出）。</w:t>
      </w:r>
    </w:p>
    <w:p w14:paraId="7FC7FBDA">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21. 社会保障和就业支出（类）临时救助（款）临时救助支出（项）：反映用于城乡生活困难居民的临时救助支出。 </w:t>
      </w:r>
    </w:p>
    <w:p w14:paraId="6B5F984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22. 社会保障和就业支出（类）其他社会保障和就业支出 （款）其他社会保障和就业支出（项）：反映除上述项目以外其他用于社会保障和就业方面的支出。 </w:t>
      </w:r>
    </w:p>
    <w:p w14:paraId="6E2C771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23. 卫生健康支出（类）行政事业单位医疗（款）行政单位医疗（项）：反映财政部门安排的行政单位（包括实行公务员管理的事业单位，下同）基本医疗保险缴费经费，未参加医疗保险的行政单位的公费医疗经费，按国家规定享受离休人员、红军老战士待遇人员的医疗经费。 </w:t>
      </w:r>
    </w:p>
    <w:p w14:paraId="07669D8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24. 卫生健康支出（类）行政事业单位医疗（款）事业单位医疗（项）：反映财政部门安排的事业单位基本医疗保险缴费经费，未参加医疗保险的事业单位的公费医疗经费，按国家规定享受离休人员待遇的医疗经费。 </w:t>
      </w:r>
    </w:p>
    <w:p w14:paraId="721D91A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25. 卫生健康支出（类）行政事业单位医疗（款）公务员医疗补助（项）：反映财政部门安排的公务员医疗补助经费。 </w:t>
      </w:r>
    </w:p>
    <w:p w14:paraId="278B8BEF">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26. 卫生健康支出（类）老龄卫生健康事务（款）老龄卫生健康事务（项）：反映老龄卫生健康事务方面的支出。 </w:t>
      </w:r>
    </w:p>
    <w:p w14:paraId="136BE5E6">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27. 农林水支出（类）巩固拓展脱贫攻坚成果衔接乡村振兴（款）农村基础设施建设（项）：反映用于农村欠发达地区乡村道路、住房、基本农田、水利设施、人畜饮水、生态环境保护等生产生活条件改善方面的支出。 </w:t>
      </w:r>
    </w:p>
    <w:p w14:paraId="5772A455">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28. 农林水支出（类）巩固拓展脱贫攻坚成果衔接乡村振兴（款）其他巩固拓展脱贫攻坚成果衔接乡村振兴支出（项）：反映除上述项目以外其他用于巩固拓展脱贫攻坚成果同乡村振兴有效衔接方面的支出。 </w:t>
      </w:r>
    </w:p>
    <w:p w14:paraId="32963068">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29. 农林水支出（类）农村综合改革（款）对村民委员会和村党支部的补助（项）：反映各级财政对村民委员会和村党支部的补助支出，以及支持建立县级基本财力保障机制安排的村级组织运转奖补资金。 </w:t>
      </w:r>
    </w:p>
    <w:p w14:paraId="66B0AC7B">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30. 住房保障支出（类）住房改革支出（款）住房公积金（项）：反映行政事业单位按人力资源和社会保障部、财政部规定的基本工资和津贴补贴以及规定比例为职工缴纳的住房公积金。</w:t>
      </w:r>
    </w:p>
    <w:p w14:paraId="537DBE93">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31. 灾害防治及应急管理支出（类）应急管理事务（款）安全监管（项）：反映安全生产综合监督管理和工贸行业安全生产监督管理等方面的支出。 </w:t>
      </w:r>
    </w:p>
    <w:p w14:paraId="5D5561F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32. 灾害防治及应急管理支出（类）自然灾害救灾及恢复重建支出（款）其他自然灾害救灾及恢复重建支出（项）：反映除上述项目以外其他用于自然灾害救灾、灾后恢复重建等方面的支出。</w:t>
      </w:r>
    </w:p>
    <w:p w14:paraId="3D63F166">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33. 基本支出：指为保障机构正常运转、完成日常工作任务而发生的人员支出和公用支出。 </w:t>
      </w:r>
    </w:p>
    <w:p w14:paraId="142D222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34. 项目支出：指在基本支出之外为完成特定行政任务和事业发展目标所发生的支出。 </w:t>
      </w:r>
    </w:p>
    <w:p w14:paraId="4511C635">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35. 经营支出：指事业单位在专业业务活动及其辅助活动之外开展非独立核算经营活动发生的支出。 </w:t>
      </w:r>
    </w:p>
    <w:p w14:paraId="28B08B4C">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 xml:space="preserve">36. “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 </w:t>
      </w:r>
    </w:p>
    <w:p w14:paraId="450AA4F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37. 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 办公用房物业管理费、公务用车运行维护费以及其他费用。</w:t>
      </w:r>
    </w:p>
    <w:p w14:paraId="390CB391">
      <w:pPr>
        <w:spacing w:line="600" w:lineRule="exact"/>
        <w:jc w:val="both"/>
        <w:rPr>
          <w:rFonts w:hint="eastAsia"/>
          <w:lang w:val="en-US"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74" w:name="_Toc15396614"/>
    </w:p>
    <w:p w14:paraId="71F82898">
      <w:pPr>
        <w:pStyle w:val="3"/>
        <w:pageBreakBefore/>
        <w:numPr>
          <w:ilvl w:val="0"/>
          <w:numId w:val="0"/>
        </w:numPr>
        <w:bidi w:val="0"/>
        <w:spacing w:before="0" w:after="0" w:line="600" w:lineRule="exact"/>
        <w:jc w:val="center"/>
        <w:rPr>
          <w:rFonts w:hint="eastAsia" w:ascii="Times New Roman" w:hAnsi="Times New Roman" w:eastAsia="方正小标宋简体" w:cs="方正小标宋简体"/>
          <w:b w:val="0"/>
          <w:color w:val="auto"/>
          <w:highlight w:val="none"/>
        </w:rPr>
      </w:pPr>
      <w:bookmarkStart w:id="75" w:name="_Toc8537_WPSOffice_Level1"/>
      <w:bookmarkStart w:id="76" w:name="_Toc22308_WPSOffice_Level1"/>
      <w:r>
        <w:rPr>
          <w:rFonts w:hint="eastAsia" w:ascii="Times New Roman" w:hAnsi="Times New Roman" w:eastAsia="方正小标宋简体" w:cs="方正小标宋简体"/>
          <w:b w:val="0"/>
          <w:color w:val="auto"/>
          <w:highlight w:val="none"/>
        </w:rPr>
        <w:t>第四部分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附件</w:t>
      </w:r>
      <w:bookmarkEnd w:id="74"/>
      <w:bookmarkEnd w:id="75"/>
      <w:bookmarkEnd w:id="76"/>
    </w:p>
    <w:p w14:paraId="67C434CB">
      <w:pPr>
        <w:pStyle w:val="3"/>
        <w:keepNext/>
        <w:keepLines/>
        <w:pageBreakBefore w:val="0"/>
        <w:widowControl w:val="0"/>
        <w:kinsoku/>
        <w:wordWrap/>
        <w:overflowPunct/>
        <w:topLinePunct w:val="0"/>
        <w:autoSpaceDE/>
        <w:autoSpaceDN/>
        <w:bidi w:val="0"/>
        <w:adjustRightInd/>
        <w:snapToGrid/>
        <w:spacing w:before="0" w:after="0" w:line="600" w:lineRule="exact"/>
        <w:jc w:val="left"/>
        <w:textAlignment w:val="auto"/>
        <w:rPr>
          <w:rStyle w:val="30"/>
          <w:rFonts w:hint="eastAsia" w:ascii="Times New Roman" w:hAnsi="Times New Roman" w:eastAsia="黑体"/>
          <w:b w:val="0"/>
          <w:bCs/>
          <w:color w:val="auto"/>
          <w:highlight w:val="none"/>
          <w:lang w:val="en-US" w:eastAsia="zh-CN" w:bidi="ar-SA"/>
        </w:rPr>
      </w:pPr>
      <w:r>
        <w:rPr>
          <w:rStyle w:val="30"/>
          <w:rFonts w:hint="eastAsia" w:ascii="Times New Roman" w:hAnsi="Times New Roman" w:eastAsia="黑体"/>
          <w:b w:val="0"/>
          <w:bCs/>
          <w:color w:val="auto"/>
          <w:highlight w:val="none"/>
          <w:lang w:val="en-US" w:eastAsia="zh-CN" w:bidi="ar-SA"/>
        </w:rPr>
        <w:t>附件1</w:t>
      </w:r>
    </w:p>
    <w:p w14:paraId="1810F8F6">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09855B93">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default" w:ascii="Times New Roman" w:hAnsi="Times New Roman" w:eastAsia="方正小标宋简体" w:cs="方正小标宋简体"/>
          <w:b w:val="0"/>
          <w:color w:val="auto"/>
          <w:highlight w:val="none"/>
        </w:rPr>
      </w:pPr>
      <w:bookmarkStart w:id="77" w:name="_Toc25822_WPSOffice_Level2"/>
      <w:r>
        <w:rPr>
          <w:rFonts w:hint="default" w:ascii="Times New Roman" w:hAnsi="Times New Roman" w:eastAsia="方正小标宋简体" w:cs="方正小标宋简体"/>
          <w:b w:val="0"/>
          <w:color w:val="auto"/>
          <w:highlight w:val="none"/>
        </w:rPr>
        <w:t>部门</w:t>
      </w:r>
      <w:r>
        <w:rPr>
          <w:rFonts w:hint="default" w:ascii="Times New Roman" w:hAnsi="Times New Roman" w:eastAsia="方正小标宋简体" w:cs="方正小标宋简体"/>
          <w:b w:val="0"/>
          <w:color w:val="auto"/>
          <w:highlight w:val="none"/>
          <w:lang w:eastAsia="zh-CN"/>
        </w:rPr>
        <w:t>预算</w:t>
      </w:r>
      <w:r>
        <w:rPr>
          <w:rFonts w:hint="default" w:ascii="Times New Roman" w:hAnsi="Times New Roman" w:eastAsia="方正小标宋简体" w:cs="方正小标宋简体"/>
          <w:b w:val="0"/>
          <w:color w:val="auto"/>
          <w:highlight w:val="none"/>
        </w:rPr>
        <w:t>绩效</w:t>
      </w:r>
      <w:r>
        <w:rPr>
          <w:rFonts w:hint="eastAsia" w:ascii="Times New Roman" w:hAnsi="Times New Roman" w:eastAsia="方正小标宋简体" w:cs="方正小标宋简体"/>
          <w:b w:val="0"/>
          <w:color w:val="auto"/>
          <w:highlight w:val="none"/>
          <w:lang w:eastAsia="zh-CN"/>
        </w:rPr>
        <w:t>评价</w:t>
      </w:r>
      <w:r>
        <w:rPr>
          <w:rFonts w:hint="default" w:ascii="Times New Roman" w:hAnsi="Times New Roman" w:eastAsia="方正小标宋简体" w:cs="方正小标宋简体"/>
          <w:b w:val="0"/>
          <w:color w:val="auto"/>
          <w:highlight w:val="none"/>
        </w:rPr>
        <w:t>报告范本</w:t>
      </w:r>
      <w:bookmarkEnd w:id="77"/>
    </w:p>
    <w:p w14:paraId="47AD161D">
      <w:pPr>
        <w:pStyle w:val="6"/>
        <w:bidi w:val="0"/>
        <w:spacing w:beforeLines="-2147483648" w:line="600" w:lineRule="exact"/>
        <w:ind w:left="0" w:leftChars="0" w:firstLine="0" w:firstLineChars="0"/>
        <w:jc w:val="center"/>
        <w:rPr>
          <w:rFonts w:hint="default" w:hAnsi="仿宋_GB2312"/>
          <w:sz w:val="32"/>
        </w:rPr>
      </w:pPr>
      <w:r>
        <w:rPr>
          <w:rFonts w:hint="default" w:hAnsi="仿宋_GB2312"/>
          <w:sz w:val="32"/>
        </w:rPr>
        <w:t>（报告范围包括机关和下属单位）</w:t>
      </w:r>
    </w:p>
    <w:p w14:paraId="4D5EB70F">
      <w:pPr>
        <w:pStyle w:val="4"/>
        <w:bidi w:val="0"/>
        <w:spacing w:line="600" w:lineRule="exact"/>
        <w:ind w:left="0" w:right="0" w:firstLine="640" w:firstLineChars="200"/>
        <w:rPr>
          <w:rFonts w:hint="default" w:ascii="Times New Roman" w:hAnsi="Times New Roman" w:eastAsia="黑体" w:cs="Times New Roman"/>
          <w:b w:val="0"/>
          <w:bCs w:val="0"/>
          <w:color w:val="000000"/>
          <w:kern w:val="0"/>
          <w:sz w:val="32"/>
          <w:szCs w:val="32"/>
          <w:highlight w:val="none"/>
          <w:shd w:val="clear" w:color="auto" w:fill="FFFFFF"/>
          <w:lang w:val="zh-CN" w:eastAsia="zh-CN" w:bidi="ar-SA"/>
        </w:rPr>
      </w:pPr>
      <w:bookmarkStart w:id="78" w:name="_Toc1002_WPSOffice_Level2"/>
      <w:r>
        <w:rPr>
          <w:rFonts w:hint="eastAsia" w:ascii="Times New Roman" w:hAnsi="Times New Roman" w:eastAsia="黑体" w:cs="Times New Roman"/>
          <w:b w:val="0"/>
          <w:bCs w:val="0"/>
          <w:color w:val="000000"/>
          <w:kern w:val="0"/>
          <w:sz w:val="32"/>
          <w:szCs w:val="32"/>
          <w:highlight w:val="none"/>
          <w:shd w:val="clear" w:color="auto" w:fill="FFFFFF"/>
          <w:lang w:val="zh-CN" w:eastAsia="zh-CN" w:bidi="ar-SA"/>
        </w:rPr>
        <w:t>一、</w:t>
      </w:r>
      <w:r>
        <w:rPr>
          <w:rFonts w:hint="default" w:ascii="Times New Roman" w:hAnsi="Times New Roman" w:eastAsia="黑体" w:cs="Times New Roman"/>
          <w:b w:val="0"/>
          <w:bCs w:val="0"/>
          <w:color w:val="000000"/>
          <w:kern w:val="0"/>
          <w:sz w:val="32"/>
          <w:szCs w:val="32"/>
          <w:highlight w:val="none"/>
          <w:shd w:val="clear" w:color="auto" w:fill="FFFFFF"/>
          <w:lang w:val="zh-CN" w:eastAsia="zh-CN" w:bidi="ar-SA"/>
        </w:rPr>
        <w:t>部门（单位）基本情况</w:t>
      </w:r>
      <w:bookmarkEnd w:id="78"/>
    </w:p>
    <w:p w14:paraId="070B08D0">
      <w:pPr>
        <w:pStyle w:val="5"/>
        <w:bidi w:val="0"/>
        <w:spacing w:before="0" w:after="0" w:line="600" w:lineRule="exact"/>
        <w:ind w:firstLine="643" w:firstLineChars="200"/>
        <w:rPr>
          <w:rFonts w:hint="default" w:eastAsia="楷体_GB2312"/>
          <w:lang w:val="zh-CN" w:eastAsia="zh-CN"/>
        </w:rPr>
      </w:pPr>
      <w:r>
        <w:rPr>
          <w:rFonts w:hint="eastAsia" w:eastAsia="楷体_GB2312"/>
          <w:lang w:val="zh-CN" w:eastAsia="zh-CN"/>
        </w:rPr>
        <w:t>（一）</w:t>
      </w:r>
      <w:r>
        <w:rPr>
          <w:rFonts w:hint="default" w:eastAsia="楷体_GB2312"/>
          <w:lang w:val="zh-CN" w:eastAsia="zh-CN"/>
        </w:rPr>
        <w:t>机构组成。</w:t>
      </w:r>
    </w:p>
    <w:p w14:paraId="62E547B3">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底堡乡设下列党政内设机构：1、党政办公室；2、党建工作办公室；3、财政所；4、经济发展办公室；5、社会事务办公室；6、社会治理和综合执法办公室；7、应急管理办公室。</w:t>
      </w:r>
    </w:p>
    <w:p w14:paraId="58544274">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底堡乡设下列直属事业机构：1、便民服务中心（退役军人服务站、新时代文明实践所）；2、农业综合服务中心。</w:t>
      </w:r>
    </w:p>
    <w:p w14:paraId="747AC09D">
      <w:pPr>
        <w:pStyle w:val="5"/>
        <w:bidi w:val="0"/>
        <w:spacing w:before="0" w:after="0" w:line="600" w:lineRule="exact"/>
        <w:ind w:firstLine="663" w:firstLineChars="200"/>
        <w:rPr>
          <w:rFonts w:hint="eastAsia" w:eastAsia="楷体_GB2312"/>
          <w:b/>
          <w:bCs/>
          <w:color w:val="000000"/>
          <w:kern w:val="0"/>
          <w:sz w:val="33"/>
          <w:szCs w:val="33"/>
          <w:shd w:val="clear" w:color="auto" w:fill="FFFFFF"/>
          <w:lang w:val="zh-CN" w:eastAsia="zh-CN"/>
        </w:rPr>
      </w:pPr>
      <w:r>
        <w:rPr>
          <w:rFonts w:hint="eastAsia" w:eastAsia="楷体_GB2312"/>
          <w:b/>
          <w:bCs/>
          <w:color w:val="000000"/>
          <w:kern w:val="0"/>
          <w:sz w:val="33"/>
          <w:szCs w:val="33"/>
          <w:shd w:val="clear" w:color="auto" w:fill="FFFFFF"/>
          <w:lang w:val="zh-CN" w:eastAsia="zh-CN"/>
        </w:rPr>
        <w:t>（</w:t>
      </w:r>
      <w:r>
        <w:rPr>
          <w:rFonts w:hint="eastAsia" w:eastAsia="楷体_GB2312"/>
          <w:b/>
          <w:bCs/>
          <w:color w:val="000000"/>
          <w:kern w:val="0"/>
          <w:sz w:val="33"/>
          <w:szCs w:val="33"/>
          <w:shd w:val="clear" w:color="auto" w:fill="FFFFFF"/>
          <w:lang w:val="en-US" w:eastAsia="zh-CN"/>
        </w:rPr>
        <w:t>二</w:t>
      </w:r>
      <w:r>
        <w:rPr>
          <w:rFonts w:hint="eastAsia" w:eastAsia="楷体_GB2312"/>
          <w:b/>
          <w:bCs/>
          <w:color w:val="000000"/>
          <w:kern w:val="0"/>
          <w:sz w:val="33"/>
          <w:szCs w:val="33"/>
          <w:shd w:val="clear" w:color="auto" w:fill="FFFFFF"/>
          <w:lang w:val="zh-CN" w:eastAsia="zh-CN"/>
        </w:rPr>
        <w:t>）</w:t>
      </w:r>
      <w:r>
        <w:rPr>
          <w:rFonts w:hint="default" w:eastAsia="楷体_GB2312"/>
          <w:b/>
          <w:bCs/>
          <w:color w:val="000000"/>
          <w:kern w:val="0"/>
          <w:sz w:val="33"/>
          <w:szCs w:val="33"/>
          <w:shd w:val="clear" w:color="auto" w:fill="FFFFFF"/>
          <w:lang w:val="zh-CN" w:eastAsia="zh-CN"/>
        </w:rPr>
        <w:t>机构职能</w:t>
      </w:r>
      <w:r>
        <w:rPr>
          <w:rFonts w:hint="eastAsia" w:eastAsia="楷体_GB2312"/>
          <w:b/>
          <w:bCs/>
          <w:color w:val="000000"/>
          <w:kern w:val="0"/>
          <w:sz w:val="33"/>
          <w:szCs w:val="33"/>
          <w:shd w:val="clear" w:color="auto" w:fill="FFFFFF"/>
          <w:lang w:val="zh-CN" w:eastAsia="zh-CN"/>
        </w:rPr>
        <w:t>。</w:t>
      </w:r>
    </w:p>
    <w:p w14:paraId="64C89BCE">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底堡乡人民政府为乡镇工作部门，负责全乡的财政收支、财税政策、国有资产管理等工作：</w:t>
      </w:r>
    </w:p>
    <w:p w14:paraId="4C897FA9">
      <w:pPr>
        <w:keepNext w:val="0"/>
        <w:keepLines w:val="0"/>
        <w:widowControl/>
        <w:numPr>
          <w:ilvl w:val="0"/>
          <w:numId w:val="7"/>
        </w:numPr>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贯彻落实党的路线方针政策和国家法律法规以及上级党委、政府的决议、决定和命令，执行乡党委和乡人民代表大会的决议，加强农村基层政权建设，巩固党在农村的执政基础。</w:t>
      </w:r>
    </w:p>
    <w:p w14:paraId="3C464499">
      <w:pPr>
        <w:keepNext w:val="0"/>
        <w:keepLines w:val="0"/>
        <w:widowControl/>
        <w:numPr>
          <w:ilvl w:val="0"/>
          <w:numId w:val="0"/>
        </w:numPr>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 xml:space="preserve">2、组织编制本行政区域经济社会发展规划和乡国土空间规划。负责农村基层设施和各项公益事业建设，推进脱贫攻坚，实施乡村振兴战略，加强经济社会发展，改善群众生产生活环境。 </w:t>
      </w:r>
    </w:p>
    <w:p w14:paraId="0A0C5B1F">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 xml:space="preserve">3、指导农村经济发展，推进农业经济结构调整，促进经济增长、农业增效、农民增收。 </w:t>
      </w:r>
    </w:p>
    <w:p w14:paraId="4BB2D7C7">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4、加强农村公共服务体系建设，抓好基础教育、科技、文化、体育、卫生健康、食（药）品安全等工作，做好民政事务、残疾、老龄、就业培训、社会保障、劳动关系协调、民族宗教、退役军人事务、统计等工作，促进农村社会事业健康发展。</w:t>
      </w:r>
    </w:p>
    <w:p w14:paraId="7FC09B00">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5、负责辖区内自然资源、生态环境保护、森林防火、防汛抗旱、粮食安全、供销合作社等工作。</w:t>
      </w:r>
    </w:p>
    <w:p w14:paraId="03499194">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6、推进基层民主法治建设，加强普法依法治理，指导村（居）民委员会工作，维护群众合法权益。</w:t>
      </w:r>
    </w:p>
    <w:p w14:paraId="79F60D49">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7、承担辖区平安建设、社会治安综合治理、安全和应急管理等有关工作，处理群众来信来访，反映社情民意，化解矛盾纠纷，维护社会安全稳定。</w:t>
      </w:r>
    </w:p>
    <w:p w14:paraId="2DC9B9AD">
      <w:pPr>
        <w:keepNext w:val="0"/>
        <w:keepLines w:val="0"/>
        <w:widowControl/>
        <w:suppressLineNumbers w:val="0"/>
        <w:ind w:firstLine="640" w:firstLineChars="20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8、负责清理编制权责清单、公共服务清单事项，建立清单动态调整和公示机制，推进政务公开，接受群众监督，增强政府公信力。</w:t>
      </w:r>
    </w:p>
    <w:p w14:paraId="25924DEE">
      <w:pPr>
        <w:keepNext w:val="0"/>
        <w:keepLines w:val="0"/>
        <w:widowControl/>
        <w:suppressLineNumbers w:val="0"/>
        <w:ind w:left="638" w:leftChars="304" w:firstLine="0" w:firstLineChars="0"/>
        <w:jc w:val="left"/>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9、负责国防教育、兵役征集、民兵预备役等有关工作。10、承担法律、法规、规章规定的其他职能和上级党委、</w:t>
      </w:r>
    </w:p>
    <w:p w14:paraId="2914646E">
      <w:pPr>
        <w:keepNext w:val="0"/>
        <w:keepLines w:val="0"/>
        <w:widowControl/>
        <w:suppressLineNumbers w:val="0"/>
        <w:jc w:val="left"/>
        <w:rPr>
          <w:rFonts w:hint="default"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政府交办的其他任务。</w:t>
      </w:r>
    </w:p>
    <w:p w14:paraId="6FCD832B">
      <w:pPr>
        <w:pStyle w:val="5"/>
        <w:bidi w:val="0"/>
        <w:spacing w:before="0" w:after="0" w:line="600" w:lineRule="exact"/>
        <w:ind w:firstLine="663" w:firstLineChars="200"/>
        <w:rPr>
          <w:rFonts w:hint="eastAsia" w:eastAsia="楷体_GB2312"/>
          <w:b/>
          <w:bCs/>
          <w:color w:val="000000"/>
          <w:kern w:val="0"/>
          <w:sz w:val="33"/>
          <w:szCs w:val="33"/>
          <w:shd w:val="clear" w:color="auto" w:fill="FFFFFF"/>
          <w:lang w:val="zh-CN"/>
        </w:rPr>
      </w:pPr>
      <w:r>
        <w:rPr>
          <w:rFonts w:hint="eastAsia" w:eastAsia="楷体_GB2312"/>
          <w:b/>
          <w:bCs/>
          <w:color w:val="000000"/>
          <w:kern w:val="0"/>
          <w:sz w:val="33"/>
          <w:szCs w:val="33"/>
          <w:shd w:val="clear" w:color="auto" w:fill="FFFFFF"/>
          <w:lang w:val="zh-CN"/>
        </w:rPr>
        <w:t>（</w:t>
      </w:r>
      <w:r>
        <w:rPr>
          <w:rFonts w:hint="eastAsia" w:eastAsia="楷体_GB2312"/>
          <w:b/>
          <w:bCs/>
          <w:color w:val="000000"/>
          <w:kern w:val="0"/>
          <w:sz w:val="33"/>
          <w:szCs w:val="33"/>
          <w:shd w:val="clear" w:color="auto" w:fill="FFFFFF"/>
          <w:lang w:val="en-US" w:eastAsia="zh-CN"/>
        </w:rPr>
        <w:t>三</w:t>
      </w:r>
      <w:r>
        <w:rPr>
          <w:rFonts w:hint="eastAsia" w:eastAsia="楷体_GB2312"/>
          <w:b/>
          <w:bCs/>
          <w:color w:val="000000"/>
          <w:kern w:val="0"/>
          <w:sz w:val="33"/>
          <w:szCs w:val="33"/>
          <w:shd w:val="clear" w:color="auto" w:fill="FFFFFF"/>
          <w:lang w:val="zh-CN"/>
        </w:rPr>
        <w:t>）</w:t>
      </w:r>
      <w:r>
        <w:rPr>
          <w:rFonts w:hint="default" w:eastAsia="楷体_GB2312"/>
          <w:b/>
          <w:bCs/>
          <w:color w:val="000000"/>
          <w:kern w:val="0"/>
          <w:sz w:val="33"/>
          <w:szCs w:val="33"/>
          <w:shd w:val="clear" w:color="auto" w:fill="FFFFFF"/>
          <w:lang w:val="zh-CN"/>
        </w:rPr>
        <w:t>人员概况</w:t>
      </w:r>
      <w:r>
        <w:rPr>
          <w:rFonts w:hint="eastAsia" w:eastAsia="楷体_GB2312"/>
          <w:b/>
          <w:bCs/>
          <w:color w:val="000000"/>
          <w:kern w:val="0"/>
          <w:sz w:val="33"/>
          <w:szCs w:val="33"/>
          <w:shd w:val="clear" w:color="auto" w:fill="FFFFFF"/>
          <w:lang w:val="zh-CN"/>
        </w:rPr>
        <w:t>。</w:t>
      </w:r>
    </w:p>
    <w:p w14:paraId="18550A2F">
      <w:pPr>
        <w:keepNext w:val="0"/>
        <w:keepLines w:val="0"/>
        <w:widowControl/>
        <w:numPr>
          <w:ilvl w:val="0"/>
          <w:numId w:val="0"/>
        </w:numPr>
        <w:suppressLineNumbers w:val="0"/>
        <w:ind w:left="525" w:leftChars="0" w:firstLine="640" w:firstLineChars="200"/>
        <w:jc w:val="left"/>
        <w:rPr>
          <w:rFonts w:hint="default"/>
          <w:color w:val="auto"/>
        </w:rPr>
      </w:pPr>
      <w:r>
        <w:rPr>
          <w:rStyle w:val="26"/>
          <w:rFonts w:hint="default" w:hAnsi="仿宋_GB2312" w:cs="Times New Roman"/>
          <w:kern w:val="0"/>
          <w:sz w:val="32"/>
          <w:szCs w:val="22"/>
          <w:lang w:val="en-US" w:eastAsia="zh-CN" w:bidi="ar-SA"/>
        </w:rPr>
        <w:t>截至202</w:t>
      </w:r>
      <w:r>
        <w:rPr>
          <w:rStyle w:val="26"/>
          <w:rFonts w:hint="eastAsia" w:hAnsi="仿宋_GB2312" w:cs="Times New Roman"/>
          <w:kern w:val="0"/>
          <w:sz w:val="32"/>
          <w:szCs w:val="22"/>
          <w:lang w:val="en-US" w:eastAsia="zh-CN" w:bidi="ar-SA"/>
        </w:rPr>
        <w:t>5</w:t>
      </w:r>
      <w:r>
        <w:rPr>
          <w:rStyle w:val="26"/>
          <w:rFonts w:hint="default" w:hAnsi="仿宋_GB2312" w:cs="Times New Roman"/>
          <w:kern w:val="0"/>
          <w:sz w:val="32"/>
          <w:szCs w:val="22"/>
          <w:lang w:val="en-US" w:eastAsia="zh-CN" w:bidi="ar-SA"/>
        </w:rPr>
        <w:t>年末，</w:t>
      </w:r>
      <w:r>
        <w:rPr>
          <w:rStyle w:val="26"/>
          <w:rFonts w:hint="eastAsia" w:hAnsi="仿宋_GB2312" w:cs="Times New Roman"/>
          <w:kern w:val="0"/>
          <w:sz w:val="32"/>
          <w:szCs w:val="22"/>
          <w:lang w:val="en-US" w:eastAsia="zh-CN" w:bidi="ar-SA"/>
        </w:rPr>
        <w:t>底堡乡人民政府及下属单位底堡乡机关行政编制数 24 名，在职人数 24 名；直属事业编制数 16 名，在职人数 16 名。</w:t>
      </w:r>
      <w:r>
        <w:rPr>
          <w:rFonts w:hint="eastAsia" w:ascii="仿宋_GB2312" w:hAnsi="宋体" w:eastAsia="仿宋_GB2312" w:cs="仿宋_GB2312"/>
          <w:color w:val="000000"/>
          <w:kern w:val="0"/>
          <w:sz w:val="31"/>
          <w:szCs w:val="31"/>
          <w:lang w:val="en-US" w:eastAsia="zh-CN" w:bidi="ar"/>
        </w:rPr>
        <w:t xml:space="preserve"> </w:t>
      </w:r>
    </w:p>
    <w:p w14:paraId="21306848">
      <w:pPr>
        <w:pStyle w:val="4"/>
        <w:bidi w:val="0"/>
        <w:spacing w:line="600" w:lineRule="exact"/>
        <w:ind w:left="0" w:right="0" w:firstLine="640" w:firstLineChars="200"/>
        <w:rPr>
          <w:rFonts w:hint="default" w:ascii="Times New Roman" w:hAnsi="Times New Roman" w:eastAsia="黑体"/>
          <w:b w:val="0"/>
          <w:color w:val="auto"/>
          <w:sz w:val="32"/>
          <w:szCs w:val="32"/>
          <w:highlight w:val="none"/>
          <w:lang w:val="zh-CN" w:eastAsia="zh-CN"/>
        </w:rPr>
      </w:pPr>
      <w:bookmarkStart w:id="79" w:name="_Toc8268_WPSOffice_Level2"/>
      <w:r>
        <w:rPr>
          <w:rFonts w:hint="default" w:ascii="Times New Roman" w:hAnsi="Times New Roman" w:eastAsia="黑体"/>
          <w:b w:val="0"/>
          <w:color w:val="auto"/>
          <w:sz w:val="32"/>
          <w:szCs w:val="32"/>
          <w:highlight w:val="none"/>
          <w:lang w:val="zh-CN" w:eastAsia="zh-CN"/>
        </w:rPr>
        <w:t>二、部门资金收支情况</w:t>
      </w:r>
      <w:bookmarkEnd w:id="79"/>
    </w:p>
    <w:p w14:paraId="283A1833">
      <w:pPr>
        <w:keepNext w:val="0"/>
        <w:keepLines w:val="0"/>
        <w:pageBreakBefore w:val="0"/>
        <w:widowControl/>
        <w:kinsoku/>
        <w:wordWrap/>
        <w:overflowPunct/>
        <w:topLinePunct w:val="0"/>
        <w:autoSpaceDE/>
        <w:autoSpaceDN/>
        <w:bidi w:val="0"/>
        <w:adjustRightInd w:val="0"/>
        <w:snapToGrid w:val="0"/>
        <w:spacing w:line="578" w:lineRule="exact"/>
        <w:ind w:firstLine="663" w:firstLineChars="200"/>
        <w:contextualSpacing/>
        <w:jc w:val="left"/>
        <w:textAlignment w:val="auto"/>
        <w:outlineLvl w:val="9"/>
        <w:rPr>
          <w:rFonts w:hint="default" w:ascii="Times New Roman" w:hAnsi="Times New Roman" w:eastAsia="楷体_GB2312" w:cs="Times New Roman"/>
          <w:b/>
          <w:bCs/>
          <w:color w:val="000000"/>
          <w:kern w:val="0"/>
          <w:sz w:val="33"/>
          <w:szCs w:val="33"/>
          <w:shd w:val="clear" w:color="auto" w:fill="FFFFFF"/>
          <w:lang w:val="zh-CN" w:eastAsia="zh-CN" w:bidi="ar-SA"/>
        </w:rPr>
      </w:pPr>
      <w:r>
        <w:rPr>
          <w:rFonts w:hint="default" w:ascii="Times New Roman" w:hAnsi="Times New Roman" w:eastAsia="楷体_GB2312" w:cs="Times New Roman"/>
          <w:b/>
          <w:bCs/>
          <w:color w:val="000000"/>
          <w:kern w:val="0"/>
          <w:sz w:val="33"/>
          <w:szCs w:val="33"/>
          <w:shd w:val="clear" w:color="auto" w:fill="FFFFFF"/>
          <w:lang w:val="zh-CN" w:eastAsia="zh-CN" w:bidi="ar-SA"/>
        </w:rPr>
        <w:t>（一）</w:t>
      </w:r>
      <w:r>
        <w:rPr>
          <w:rFonts w:hint="eastAsia" w:ascii="Times New Roman" w:hAnsi="Times New Roman" w:eastAsia="楷体_GB2312" w:cs="Times New Roman"/>
          <w:b/>
          <w:bCs/>
          <w:color w:val="000000"/>
          <w:kern w:val="0"/>
          <w:sz w:val="33"/>
          <w:szCs w:val="33"/>
          <w:shd w:val="clear" w:color="auto" w:fill="FFFFFF"/>
          <w:lang w:val="zh-CN" w:eastAsia="zh-CN" w:bidi="ar-SA"/>
        </w:rPr>
        <w:t>收入情况</w:t>
      </w:r>
      <w:r>
        <w:rPr>
          <w:rFonts w:hint="default" w:ascii="Times New Roman" w:hAnsi="Times New Roman" w:eastAsia="楷体_GB2312" w:cs="Times New Roman"/>
          <w:b/>
          <w:bCs/>
          <w:color w:val="000000"/>
          <w:kern w:val="0"/>
          <w:sz w:val="33"/>
          <w:szCs w:val="33"/>
          <w:shd w:val="clear" w:color="auto" w:fill="FFFFFF"/>
          <w:lang w:val="zh-CN" w:eastAsia="zh-CN" w:bidi="ar-SA"/>
        </w:rPr>
        <w:t>。</w:t>
      </w:r>
    </w:p>
    <w:p w14:paraId="39AE724B">
      <w:pPr>
        <w:keepNext w:val="0"/>
        <w:keepLines w:val="0"/>
        <w:pageBreakBefore w:val="0"/>
        <w:widowControl/>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hint="default" w:ascii="仿宋_GB2312" w:hAnsi="仿宋_GB2312" w:eastAsia="仿宋_GB2312" w:cs="Times New Roman"/>
          <w:kern w:val="0"/>
          <w:sz w:val="33"/>
          <w:szCs w:val="33"/>
          <w:lang w:val="en-US" w:eastAsia="zh-CN" w:bidi="ar-SA"/>
        </w:rPr>
      </w:pPr>
      <w:r>
        <w:rPr>
          <w:rFonts w:hint="eastAsia" w:ascii="仿宋_GB2312" w:hAnsi="仿宋_GB2312" w:eastAsia="仿宋_GB2312" w:cs="Times New Roman"/>
          <w:kern w:val="0"/>
          <w:sz w:val="33"/>
          <w:szCs w:val="33"/>
          <w:lang w:val="en-US" w:eastAsia="zh-CN" w:bidi="ar-SA"/>
        </w:rPr>
        <w:t>底堡乡人民政府2025年年初预算收入情况1134.55万元、决算报表收入1258.18万元。</w:t>
      </w:r>
    </w:p>
    <w:p w14:paraId="207F04A5">
      <w:pPr>
        <w:keepNext w:val="0"/>
        <w:keepLines w:val="0"/>
        <w:pageBreakBefore w:val="0"/>
        <w:widowControl/>
        <w:kinsoku/>
        <w:wordWrap/>
        <w:overflowPunct/>
        <w:topLinePunct w:val="0"/>
        <w:autoSpaceDE/>
        <w:autoSpaceDN/>
        <w:bidi w:val="0"/>
        <w:adjustRightInd w:val="0"/>
        <w:snapToGrid w:val="0"/>
        <w:spacing w:line="578" w:lineRule="exact"/>
        <w:ind w:firstLine="663" w:firstLineChars="200"/>
        <w:contextualSpacing/>
        <w:jc w:val="left"/>
        <w:textAlignment w:val="auto"/>
        <w:outlineLvl w:val="9"/>
        <w:rPr>
          <w:rFonts w:hint="default" w:ascii="Times New Roman" w:hAnsi="Times New Roman" w:eastAsia="楷体_GB2312" w:cs="Times New Roman"/>
          <w:b/>
          <w:bCs/>
          <w:color w:val="000000"/>
          <w:kern w:val="0"/>
          <w:sz w:val="33"/>
          <w:szCs w:val="33"/>
          <w:shd w:val="clear" w:color="auto" w:fill="FFFFFF"/>
          <w:lang w:val="zh-CN" w:eastAsia="zh-CN" w:bidi="ar-SA"/>
        </w:rPr>
      </w:pPr>
      <w:r>
        <w:rPr>
          <w:rFonts w:hint="eastAsia" w:eastAsia="楷体_GB2312" w:cs="Times New Roman"/>
          <w:b/>
          <w:bCs/>
          <w:color w:val="000000"/>
          <w:kern w:val="0"/>
          <w:sz w:val="33"/>
          <w:szCs w:val="33"/>
          <w:shd w:val="clear" w:color="auto" w:fill="FFFFFF"/>
          <w:lang w:val="zh-CN" w:eastAsia="zh-CN" w:bidi="ar-SA"/>
        </w:rPr>
        <w:t>（</w:t>
      </w:r>
      <w:r>
        <w:rPr>
          <w:rFonts w:hint="eastAsia" w:eastAsia="楷体_GB2312" w:cs="Times New Roman"/>
          <w:b/>
          <w:bCs/>
          <w:color w:val="000000"/>
          <w:kern w:val="0"/>
          <w:sz w:val="33"/>
          <w:szCs w:val="33"/>
          <w:shd w:val="clear" w:color="auto" w:fill="FFFFFF"/>
          <w:lang w:val="en-US" w:eastAsia="zh-CN" w:bidi="ar-SA"/>
        </w:rPr>
        <w:t>二</w:t>
      </w:r>
      <w:r>
        <w:rPr>
          <w:rFonts w:hint="eastAsia" w:eastAsia="楷体_GB2312" w:cs="Times New Roman"/>
          <w:b/>
          <w:bCs/>
          <w:color w:val="000000"/>
          <w:kern w:val="0"/>
          <w:sz w:val="33"/>
          <w:szCs w:val="33"/>
          <w:shd w:val="clear" w:color="auto" w:fill="FFFFFF"/>
          <w:lang w:val="zh-CN" w:eastAsia="zh-CN" w:bidi="ar-SA"/>
        </w:rPr>
        <w:t>）</w:t>
      </w:r>
      <w:r>
        <w:rPr>
          <w:rFonts w:hint="eastAsia" w:ascii="Times New Roman" w:hAnsi="Times New Roman" w:eastAsia="楷体_GB2312" w:cs="Times New Roman"/>
          <w:b/>
          <w:bCs/>
          <w:color w:val="000000"/>
          <w:kern w:val="0"/>
          <w:sz w:val="33"/>
          <w:szCs w:val="33"/>
          <w:shd w:val="clear" w:color="auto" w:fill="FFFFFF"/>
          <w:lang w:val="zh-CN" w:eastAsia="zh-CN" w:bidi="ar-SA"/>
        </w:rPr>
        <w:t>支出情况</w:t>
      </w:r>
      <w:r>
        <w:rPr>
          <w:rFonts w:hint="default" w:ascii="Times New Roman" w:hAnsi="Times New Roman" w:eastAsia="楷体_GB2312" w:cs="Times New Roman"/>
          <w:b/>
          <w:bCs/>
          <w:color w:val="000000"/>
          <w:kern w:val="0"/>
          <w:sz w:val="33"/>
          <w:szCs w:val="33"/>
          <w:shd w:val="clear" w:color="auto" w:fill="FFFFFF"/>
          <w:lang w:val="zh-CN" w:eastAsia="zh-CN" w:bidi="ar-SA"/>
        </w:rPr>
        <w:t>。</w:t>
      </w:r>
    </w:p>
    <w:p w14:paraId="0BD847F0">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hint="default" w:ascii="仿宋_GB2312" w:hAnsi="仿宋_GB2312" w:eastAsia="仿宋_GB2312" w:cs="Times New Roman"/>
          <w:kern w:val="0"/>
          <w:sz w:val="33"/>
          <w:szCs w:val="33"/>
          <w:lang w:val="zh-CN" w:eastAsia="zh-CN" w:bidi="ar-SA"/>
        </w:rPr>
      </w:pPr>
      <w:r>
        <w:rPr>
          <w:rFonts w:hint="eastAsia" w:ascii="仿宋_GB2312" w:hAnsi="仿宋_GB2312" w:eastAsia="仿宋_GB2312" w:cs="Times New Roman"/>
          <w:kern w:val="0"/>
          <w:sz w:val="33"/>
          <w:szCs w:val="33"/>
          <w:lang w:val="en-US" w:eastAsia="zh-CN" w:bidi="ar-SA"/>
        </w:rPr>
        <w:t>底堡乡人民政府2025年年初预算支出情况1134.55万元、决算报表支出1258.18万元。</w:t>
      </w:r>
    </w:p>
    <w:p w14:paraId="5B2CB01A">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63" w:firstLineChars="200"/>
        <w:contextualSpacing/>
        <w:jc w:val="left"/>
        <w:textAlignment w:val="auto"/>
        <w:outlineLvl w:val="9"/>
        <w:rPr>
          <w:rFonts w:hint="eastAsia" w:ascii="Times New Roman" w:hAnsi="Times New Roman" w:eastAsia="楷体_GB2312" w:cs="Times New Roman"/>
          <w:b/>
          <w:bCs/>
          <w:color w:val="000000"/>
          <w:kern w:val="0"/>
          <w:sz w:val="33"/>
          <w:szCs w:val="33"/>
          <w:shd w:val="clear" w:color="auto" w:fill="FFFFFF"/>
          <w:lang w:val="zh-CN" w:eastAsia="zh-CN" w:bidi="ar-SA"/>
        </w:rPr>
      </w:pPr>
      <w:r>
        <w:rPr>
          <w:rFonts w:hint="eastAsia" w:eastAsia="楷体_GB2312" w:cs="Times New Roman"/>
          <w:b/>
          <w:bCs/>
          <w:color w:val="000000"/>
          <w:kern w:val="0"/>
          <w:sz w:val="33"/>
          <w:szCs w:val="33"/>
          <w:shd w:val="clear" w:color="auto" w:fill="FFFFFF"/>
          <w:lang w:val="zh-CN" w:eastAsia="zh-CN" w:bidi="ar-SA"/>
        </w:rPr>
        <w:t>（</w:t>
      </w:r>
      <w:r>
        <w:rPr>
          <w:rFonts w:hint="eastAsia" w:eastAsia="楷体_GB2312" w:cs="Times New Roman"/>
          <w:b/>
          <w:bCs/>
          <w:color w:val="000000"/>
          <w:kern w:val="0"/>
          <w:sz w:val="33"/>
          <w:szCs w:val="33"/>
          <w:shd w:val="clear" w:color="auto" w:fill="FFFFFF"/>
          <w:lang w:val="en-US" w:eastAsia="zh-CN" w:bidi="ar-SA"/>
        </w:rPr>
        <w:t>三</w:t>
      </w:r>
      <w:r>
        <w:rPr>
          <w:rFonts w:hint="eastAsia" w:eastAsia="楷体_GB2312" w:cs="Times New Roman"/>
          <w:b/>
          <w:bCs/>
          <w:color w:val="000000"/>
          <w:kern w:val="0"/>
          <w:sz w:val="33"/>
          <w:szCs w:val="33"/>
          <w:shd w:val="clear" w:color="auto" w:fill="FFFFFF"/>
          <w:lang w:val="zh-CN" w:eastAsia="zh-CN" w:bidi="ar-SA"/>
        </w:rPr>
        <w:t>）</w:t>
      </w:r>
      <w:r>
        <w:rPr>
          <w:rFonts w:hint="default" w:ascii="Times New Roman" w:hAnsi="Times New Roman" w:eastAsia="楷体_GB2312" w:cs="Times New Roman"/>
          <w:b/>
          <w:bCs/>
          <w:color w:val="000000"/>
          <w:kern w:val="0"/>
          <w:sz w:val="33"/>
          <w:szCs w:val="33"/>
          <w:shd w:val="clear" w:color="auto" w:fill="FFFFFF"/>
          <w:lang w:val="zh-CN" w:eastAsia="zh-CN" w:bidi="ar-SA"/>
        </w:rPr>
        <w:t>结余分配和结转结余情况</w:t>
      </w:r>
      <w:r>
        <w:rPr>
          <w:rFonts w:hint="eastAsia" w:ascii="Times New Roman" w:hAnsi="Times New Roman" w:eastAsia="楷体_GB2312" w:cs="Times New Roman"/>
          <w:b/>
          <w:bCs/>
          <w:color w:val="000000"/>
          <w:kern w:val="0"/>
          <w:sz w:val="33"/>
          <w:szCs w:val="33"/>
          <w:shd w:val="clear" w:color="auto" w:fill="FFFFFF"/>
          <w:lang w:val="zh-CN" w:eastAsia="zh-CN" w:bidi="ar-SA"/>
        </w:rPr>
        <w:t>。</w:t>
      </w:r>
    </w:p>
    <w:p w14:paraId="4354C38F">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hint="default" w:ascii="仿宋_GB2312" w:hAnsi="仿宋_GB2312" w:eastAsia="仿宋_GB2312" w:cs="Times New Roman"/>
          <w:kern w:val="0"/>
          <w:sz w:val="33"/>
          <w:szCs w:val="33"/>
          <w:lang w:val="zh-CN" w:eastAsia="zh-CN" w:bidi="ar-SA"/>
        </w:rPr>
      </w:pPr>
      <w:r>
        <w:rPr>
          <w:rFonts w:hint="eastAsia" w:ascii="仿宋_GB2312" w:hAnsi="仿宋_GB2312" w:eastAsia="仿宋_GB2312" w:cs="Times New Roman"/>
          <w:kern w:val="0"/>
          <w:sz w:val="33"/>
          <w:szCs w:val="33"/>
          <w:lang w:val="en-US" w:eastAsia="zh-CN" w:bidi="ar-SA"/>
        </w:rPr>
        <w:t>底堡乡人民政府2025年决算报表</w:t>
      </w:r>
      <w:r>
        <w:rPr>
          <w:rFonts w:hint="default" w:ascii="仿宋_GB2312" w:hAnsi="仿宋_GB2312" w:eastAsia="仿宋_GB2312" w:cs="Times New Roman"/>
          <w:kern w:val="0"/>
          <w:sz w:val="33"/>
          <w:szCs w:val="33"/>
          <w:lang w:val="en-US" w:eastAsia="zh-CN" w:bidi="ar-SA"/>
        </w:rPr>
        <w:t>结转结余</w:t>
      </w:r>
      <w:r>
        <w:rPr>
          <w:rFonts w:hint="eastAsia" w:ascii="仿宋_GB2312" w:hAnsi="仿宋_GB2312" w:eastAsia="仿宋_GB2312" w:cs="Times New Roman"/>
          <w:kern w:val="0"/>
          <w:sz w:val="33"/>
          <w:szCs w:val="33"/>
          <w:lang w:val="en-US" w:eastAsia="zh-CN" w:bidi="ar-SA"/>
        </w:rPr>
        <w:t>0万元</w:t>
      </w:r>
      <w:r>
        <w:rPr>
          <w:rFonts w:hint="default" w:ascii="仿宋_GB2312" w:hAnsi="仿宋_GB2312" w:eastAsia="仿宋_GB2312" w:cs="Times New Roman"/>
          <w:kern w:val="0"/>
          <w:sz w:val="33"/>
          <w:szCs w:val="33"/>
          <w:lang w:val="en-US" w:eastAsia="zh-CN" w:bidi="ar-SA"/>
        </w:rPr>
        <w:t>。</w:t>
      </w:r>
    </w:p>
    <w:p w14:paraId="7128CF5F">
      <w:pPr>
        <w:pStyle w:val="4"/>
        <w:bidi w:val="0"/>
        <w:spacing w:line="600" w:lineRule="exact"/>
        <w:ind w:left="0" w:right="0" w:firstLine="640" w:firstLineChars="200"/>
        <w:rPr>
          <w:rFonts w:hint="default" w:ascii="Times New Roman" w:hAnsi="Times New Roman" w:eastAsia="黑体"/>
          <w:b w:val="0"/>
          <w:color w:val="auto"/>
          <w:sz w:val="32"/>
          <w:szCs w:val="32"/>
          <w:highlight w:val="none"/>
          <w:lang w:val="zh-CN" w:eastAsia="zh-CN"/>
        </w:rPr>
      </w:pPr>
      <w:bookmarkStart w:id="80" w:name="_Toc30342_WPSOffice_Level2"/>
      <w:r>
        <w:rPr>
          <w:rFonts w:hint="default" w:ascii="Times New Roman" w:hAnsi="Times New Roman" w:eastAsia="黑体"/>
          <w:b w:val="0"/>
          <w:color w:val="auto"/>
          <w:sz w:val="32"/>
          <w:szCs w:val="32"/>
          <w:highlight w:val="none"/>
          <w:lang w:val="zh-CN" w:eastAsia="zh-CN"/>
        </w:rPr>
        <w:t>三、部门预算绩效分析</w:t>
      </w:r>
      <w:bookmarkEnd w:id="80"/>
    </w:p>
    <w:p w14:paraId="37D0C835">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3" w:firstLineChars="200"/>
        <w:contextualSpacing/>
        <w:jc w:val="left"/>
        <w:textAlignment w:val="auto"/>
        <w:outlineLvl w:val="9"/>
        <w:rPr>
          <w:rFonts w:hint="default" w:ascii="Times New Roman" w:hAnsi="Times New Roman" w:eastAsia="楷体_GB2312" w:cs="Times New Roman"/>
          <w:b/>
          <w:bCs/>
          <w:color w:val="000000"/>
          <w:kern w:val="0"/>
          <w:sz w:val="33"/>
          <w:szCs w:val="33"/>
          <w:shd w:val="clear" w:color="auto" w:fill="FFFFFF"/>
          <w:lang w:val="zh-CN" w:eastAsia="zh-CN" w:bidi="ar-SA"/>
        </w:rPr>
      </w:pPr>
      <w:r>
        <w:rPr>
          <w:rFonts w:hint="default" w:ascii="Times New Roman" w:hAnsi="Times New Roman" w:eastAsia="楷体_GB2312" w:cs="Times New Roman"/>
          <w:b/>
          <w:bCs/>
          <w:color w:val="000000"/>
          <w:kern w:val="0"/>
          <w:sz w:val="33"/>
          <w:szCs w:val="33"/>
          <w:shd w:val="clear" w:color="auto" w:fill="FFFFFF"/>
          <w:lang w:val="zh-CN" w:eastAsia="zh-CN" w:bidi="ar-SA"/>
        </w:rPr>
        <w:t>（一）</w:t>
      </w:r>
      <w:r>
        <w:rPr>
          <w:rFonts w:hint="eastAsia" w:ascii="Times New Roman" w:hAnsi="Times New Roman" w:eastAsia="楷体_GB2312" w:cs="Times New Roman"/>
          <w:b/>
          <w:bCs/>
          <w:color w:val="000000"/>
          <w:kern w:val="0"/>
          <w:sz w:val="33"/>
          <w:szCs w:val="33"/>
          <w:shd w:val="clear" w:color="auto" w:fill="FFFFFF"/>
          <w:lang w:val="zh-CN" w:eastAsia="zh-CN" w:bidi="ar-SA"/>
        </w:rPr>
        <w:t>部门预算</w:t>
      </w:r>
      <w:r>
        <w:rPr>
          <w:rFonts w:hint="default" w:ascii="Times New Roman" w:hAnsi="Times New Roman" w:eastAsia="楷体_GB2312" w:cs="Times New Roman"/>
          <w:b/>
          <w:bCs/>
          <w:color w:val="000000"/>
          <w:kern w:val="0"/>
          <w:sz w:val="33"/>
          <w:szCs w:val="33"/>
          <w:shd w:val="clear" w:color="auto" w:fill="FFFFFF"/>
          <w:lang w:val="zh-CN" w:eastAsia="zh-CN" w:bidi="ar-SA"/>
        </w:rPr>
        <w:t>总体绩效分析。</w:t>
      </w:r>
    </w:p>
    <w:p w14:paraId="62AE90EB">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hint="eastAsia" w:ascii="Times New Roman" w:hAnsi="Times New Roman" w:eastAsia="仿宋_GB2312" w:cs="Times New Roman"/>
          <w:kern w:val="0"/>
          <w:sz w:val="33"/>
          <w:szCs w:val="33"/>
          <w:highlight w:val="none"/>
          <w:lang w:val="zh-CN" w:eastAsia="zh-CN" w:bidi="ar-SA"/>
        </w:rPr>
      </w:pPr>
      <w:r>
        <w:rPr>
          <w:rFonts w:hint="eastAsia" w:ascii="Times New Roman" w:hAnsi="Times New Roman" w:eastAsia="仿宋_GB2312" w:cs="Times New Roman"/>
          <w:kern w:val="0"/>
          <w:sz w:val="33"/>
          <w:szCs w:val="33"/>
          <w:highlight w:val="none"/>
          <w:lang w:val="en-US" w:eastAsia="zh-CN" w:bidi="ar-SA"/>
        </w:rPr>
        <w:t>1.</w:t>
      </w:r>
      <w:r>
        <w:rPr>
          <w:rFonts w:hint="eastAsia" w:ascii="Times New Roman" w:hAnsi="Times New Roman" w:eastAsia="仿宋_GB2312" w:cs="Times New Roman"/>
          <w:kern w:val="0"/>
          <w:sz w:val="33"/>
          <w:szCs w:val="33"/>
          <w:highlight w:val="none"/>
          <w:lang w:val="zh-CN" w:eastAsia="zh-CN" w:bidi="ar-SA"/>
        </w:rPr>
        <w:t>履职效能。</w:t>
      </w:r>
    </w:p>
    <w:p w14:paraId="18E0277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0" w:firstLineChars="200"/>
        <w:contextualSpacing/>
        <w:jc w:val="left"/>
        <w:textAlignment w:val="auto"/>
        <w:outlineLvl w:val="9"/>
        <w:rPr>
          <w:rFonts w:hint="eastAsia" w:ascii="Times New Roman" w:hAnsi="Times New Roman" w:eastAsia="仿宋_GB2312" w:cs="Times New Roman"/>
          <w:kern w:val="0"/>
          <w:sz w:val="33"/>
          <w:szCs w:val="33"/>
          <w:highlight w:val="none"/>
          <w:lang w:val="zh-CN" w:eastAsia="zh-CN" w:bidi="ar-SA"/>
        </w:rPr>
      </w:pPr>
      <w:r>
        <w:rPr>
          <w:rFonts w:hint="eastAsia" w:ascii="Times New Roman" w:hAnsi="Times New Roman" w:eastAsia="仿宋_GB2312" w:cs="Times New Roman"/>
          <w:kern w:val="0"/>
          <w:sz w:val="33"/>
          <w:szCs w:val="33"/>
          <w:highlight w:val="none"/>
          <w:lang w:val="zh-CN" w:eastAsia="zh-CN" w:bidi="ar-SA"/>
        </w:rPr>
        <w:t>部门整体绩效目标中选定</w:t>
      </w:r>
      <w:r>
        <w:rPr>
          <w:rFonts w:hint="eastAsia" w:ascii="Times New Roman" w:hAnsi="Times New Roman" w:eastAsia="仿宋_GB2312" w:cs="Times New Roman"/>
          <w:kern w:val="0"/>
          <w:sz w:val="33"/>
          <w:szCs w:val="33"/>
          <w:highlight w:val="none"/>
          <w:lang w:val="en-US" w:eastAsia="zh-CN" w:bidi="ar-SA"/>
        </w:rPr>
        <w:t>4</w:t>
      </w:r>
      <w:r>
        <w:rPr>
          <w:rFonts w:hint="eastAsia" w:ascii="Times New Roman" w:hAnsi="Times New Roman" w:eastAsia="仿宋_GB2312" w:cs="Times New Roman"/>
          <w:kern w:val="0"/>
          <w:sz w:val="33"/>
          <w:szCs w:val="33"/>
          <w:highlight w:val="none"/>
          <w:lang w:val="zh-CN" w:eastAsia="zh-CN" w:bidi="ar-SA"/>
        </w:rPr>
        <w:t>个核心职能目标，对职能目标完成效果情况绩效分析。</w:t>
      </w:r>
    </w:p>
    <w:p w14:paraId="27E18D6A">
      <w:pPr>
        <w:pStyle w:val="6"/>
        <w:bidi w:val="0"/>
        <w:spacing w:beforeLines="-2147483648" w:line="600" w:lineRule="exact"/>
        <w:ind w:firstLine="660" w:firstLineChars="200"/>
        <w:rPr>
          <w:rFonts w:hint="default" w:ascii="Times New Roman" w:hAnsi="Times New Roman" w:cs="Times New Roman"/>
          <w:sz w:val="33"/>
          <w:szCs w:val="33"/>
          <w:highlight w:val="none"/>
          <w:lang w:val="en-US" w:eastAsia="zh-CN"/>
        </w:rPr>
      </w:pPr>
      <w:r>
        <w:rPr>
          <w:rFonts w:hint="eastAsia" w:ascii="Times New Roman" w:hAnsi="Times New Roman" w:cs="Times New Roman"/>
          <w:sz w:val="33"/>
          <w:szCs w:val="33"/>
          <w:highlight w:val="none"/>
          <w:lang w:val="zh-CN" w:eastAsia="zh-CN"/>
        </w:rPr>
        <w:t>（</w:t>
      </w:r>
      <w:r>
        <w:rPr>
          <w:rFonts w:hint="eastAsia" w:ascii="Times New Roman" w:hAnsi="Times New Roman" w:cs="Times New Roman"/>
          <w:sz w:val="33"/>
          <w:szCs w:val="33"/>
          <w:highlight w:val="none"/>
          <w:lang w:val="en-US" w:eastAsia="zh-CN"/>
        </w:rPr>
        <w:t>1</w:t>
      </w:r>
      <w:r>
        <w:rPr>
          <w:rFonts w:hint="eastAsia" w:ascii="Times New Roman" w:hAnsi="Times New Roman" w:cs="Times New Roman"/>
          <w:sz w:val="33"/>
          <w:szCs w:val="33"/>
          <w:highlight w:val="none"/>
          <w:lang w:val="zh-CN" w:eastAsia="zh-CN"/>
        </w:rPr>
        <w:t>）</w:t>
      </w:r>
      <w:r>
        <w:rPr>
          <w:rFonts w:hint="default" w:ascii="Times New Roman" w:hAnsi="Times New Roman" w:cs="Times New Roman"/>
          <w:sz w:val="33"/>
          <w:szCs w:val="33"/>
          <w:highlight w:val="none"/>
          <w:lang w:val="en-US" w:eastAsia="zh-CN"/>
        </w:rPr>
        <w:t>村、社日常工作完成率</w:t>
      </w:r>
      <w:r>
        <w:rPr>
          <w:rFonts w:hint="eastAsia" w:ascii="Times New Roman" w:hAnsi="Times New Roman" w:cs="Times New Roman"/>
          <w:sz w:val="33"/>
          <w:szCs w:val="33"/>
          <w:highlight w:val="none"/>
          <w:lang w:val="en-US" w:eastAsia="zh-CN"/>
        </w:rPr>
        <w:t>：</w:t>
      </w:r>
      <w:r>
        <w:rPr>
          <w:rFonts w:hint="default" w:ascii="Times New Roman" w:hAnsi="Times New Roman" w:cs="Times New Roman"/>
          <w:sz w:val="33"/>
          <w:szCs w:val="33"/>
          <w:highlight w:val="none"/>
          <w:lang w:val="en-US" w:eastAsia="zh-CN"/>
        </w:rPr>
        <w:t xml:space="preserve">督促指导各村社按计划落实年度重点工作，强化基层自治能力，确保村级事务管理规范有序。  </w:t>
      </w:r>
    </w:p>
    <w:p w14:paraId="43B5164E">
      <w:pPr>
        <w:pStyle w:val="6"/>
        <w:bidi w:val="0"/>
        <w:spacing w:beforeLines="-2147483648" w:line="600" w:lineRule="exact"/>
        <w:ind w:firstLine="660" w:firstLineChars="200"/>
        <w:rPr>
          <w:rFonts w:hint="eastAsia" w:ascii="Times New Roman" w:hAnsi="Times New Roman" w:cs="Times New Roman"/>
          <w:sz w:val="33"/>
          <w:szCs w:val="33"/>
          <w:highlight w:val="none"/>
          <w:lang w:val="en-US" w:eastAsia="zh-CN"/>
        </w:rPr>
      </w:pPr>
      <w:r>
        <w:rPr>
          <w:rFonts w:hint="eastAsia" w:ascii="Times New Roman" w:hAnsi="Times New Roman" w:cs="Times New Roman"/>
          <w:sz w:val="33"/>
          <w:szCs w:val="33"/>
          <w:highlight w:val="none"/>
          <w:lang w:val="en-US" w:eastAsia="zh-CN"/>
        </w:rPr>
        <w:t>（2）</w:t>
      </w:r>
      <w:r>
        <w:rPr>
          <w:rFonts w:hint="default" w:ascii="Times New Roman" w:hAnsi="Times New Roman" w:cs="Times New Roman"/>
          <w:sz w:val="33"/>
          <w:szCs w:val="33"/>
          <w:highlight w:val="none"/>
          <w:lang w:val="en-US" w:eastAsia="zh-CN"/>
        </w:rPr>
        <w:t>乡政府开展日常工作完成率</w:t>
      </w:r>
      <w:r>
        <w:rPr>
          <w:rFonts w:hint="eastAsia" w:ascii="Times New Roman" w:hAnsi="Times New Roman" w:cs="Times New Roman"/>
          <w:sz w:val="33"/>
          <w:szCs w:val="33"/>
          <w:highlight w:val="none"/>
          <w:lang w:val="en-US" w:eastAsia="zh-CN"/>
        </w:rPr>
        <w:t>：保障乡政府全年日常运转高效有序，保障完成各项行政事务 及公共服务任务，确保政策落实和基层治理有效衔接。</w:t>
      </w:r>
    </w:p>
    <w:p w14:paraId="32687817">
      <w:pPr>
        <w:keepNext w:val="0"/>
        <w:keepLines w:val="0"/>
        <w:widowControl/>
        <w:suppressLineNumbers w:val="0"/>
        <w:ind w:firstLine="660" w:firstLineChars="200"/>
        <w:jc w:val="left"/>
        <w:rPr>
          <w:rFonts w:hint="eastAsia" w:ascii="Times New Roman" w:hAnsi="Times New Roman" w:eastAsia="仿宋_GB2312" w:cs="Times New Roman"/>
          <w:kern w:val="0"/>
          <w:sz w:val="33"/>
          <w:szCs w:val="33"/>
          <w:highlight w:val="none"/>
          <w:lang w:val="en-US" w:eastAsia="zh-CN" w:bidi="ar-SA"/>
        </w:rPr>
      </w:pPr>
      <w:r>
        <w:rPr>
          <w:rFonts w:hint="eastAsia" w:ascii="Times New Roman" w:hAnsi="Times New Roman" w:eastAsia="仿宋_GB2312" w:cs="Times New Roman"/>
          <w:kern w:val="0"/>
          <w:sz w:val="33"/>
          <w:szCs w:val="33"/>
          <w:highlight w:val="none"/>
          <w:lang w:val="en-US" w:eastAsia="zh-CN" w:bidi="ar-SA"/>
        </w:rPr>
        <w:t>（3）农村人居环境改善：持续推进农村环境整治工程，重点开展垃圾清理、道路修缮维护及绿化工作，提升村容村貌，人居环境显著改善。</w:t>
      </w:r>
    </w:p>
    <w:p w14:paraId="104A329F">
      <w:pPr>
        <w:pStyle w:val="6"/>
        <w:bidi w:val="0"/>
        <w:spacing w:beforeLines="-2147483648" w:line="600" w:lineRule="exact"/>
        <w:ind w:firstLine="660" w:firstLineChars="200"/>
        <w:rPr>
          <w:rFonts w:hint="default" w:ascii="Times New Roman" w:hAnsi="Times New Roman" w:cs="Times New Roman"/>
          <w:sz w:val="33"/>
          <w:szCs w:val="33"/>
          <w:highlight w:val="none"/>
          <w:lang w:val="en-US" w:eastAsia="zh-CN"/>
        </w:rPr>
      </w:pPr>
      <w:r>
        <w:rPr>
          <w:rFonts w:hint="eastAsia" w:ascii="Times New Roman" w:hAnsi="Times New Roman" w:cs="Times New Roman"/>
          <w:sz w:val="33"/>
          <w:szCs w:val="33"/>
          <w:highlight w:val="none"/>
          <w:lang w:val="en-US" w:eastAsia="zh-CN"/>
        </w:rPr>
        <w:t>（4）</w:t>
      </w:r>
      <w:r>
        <w:rPr>
          <w:rFonts w:hint="default" w:ascii="Times New Roman" w:hAnsi="Times New Roman" w:cs="Times New Roman"/>
          <w:sz w:val="33"/>
          <w:szCs w:val="33"/>
          <w:highlight w:val="none"/>
          <w:lang w:val="en-US" w:eastAsia="zh-CN"/>
        </w:rPr>
        <w:t>树立良好形象，提高政府公信力</w:t>
      </w:r>
      <w:r>
        <w:rPr>
          <w:rFonts w:hint="eastAsia" w:ascii="Times New Roman" w:hAnsi="Times New Roman" w:cs="Times New Roman"/>
          <w:sz w:val="33"/>
          <w:szCs w:val="33"/>
          <w:highlight w:val="none"/>
          <w:lang w:val="en-US" w:eastAsia="zh-CN"/>
        </w:rPr>
        <w:t>：</w:t>
      </w:r>
      <w:r>
        <w:rPr>
          <w:rFonts w:hint="default" w:ascii="Times New Roman" w:hAnsi="Times New Roman" w:cs="Times New Roman"/>
          <w:sz w:val="33"/>
          <w:szCs w:val="33"/>
          <w:highlight w:val="none"/>
          <w:lang w:val="en-US" w:eastAsia="zh-CN"/>
        </w:rPr>
        <w:t>通过优化政务公开渠道、强化民生问题响应机制，增强群众对政府工作的信任度，有效提升政府形象与社会满意度</w:t>
      </w:r>
      <w:r>
        <w:rPr>
          <w:rFonts w:hint="eastAsia" w:ascii="Times New Roman" w:cs="Times New Roman"/>
          <w:sz w:val="33"/>
          <w:szCs w:val="33"/>
          <w:highlight w:val="none"/>
          <w:lang w:val="en-US" w:eastAsia="zh-CN"/>
        </w:rPr>
        <w:t>。</w:t>
      </w:r>
    </w:p>
    <w:p w14:paraId="473714D4">
      <w:pPr>
        <w:pStyle w:val="6"/>
        <w:bidi w:val="0"/>
        <w:spacing w:beforeLines="-2147483648" w:line="600" w:lineRule="exact"/>
        <w:ind w:firstLine="640" w:firstLineChars="200"/>
        <w:rPr>
          <w:rFonts w:hint="eastAsia" w:hAnsi="仿宋_GB2312" w:cs="仿宋_GB2312"/>
          <w:sz w:val="32"/>
          <w:szCs w:val="32"/>
          <w:highlight w:val="none"/>
          <w:lang w:val="zh-CN" w:eastAsia="zh-CN"/>
        </w:rPr>
      </w:pPr>
      <w:r>
        <w:rPr>
          <w:rFonts w:hint="eastAsia" w:hAnsi="仿宋_GB2312" w:cs="仿宋_GB2312"/>
          <w:sz w:val="32"/>
          <w:szCs w:val="32"/>
          <w:highlight w:val="none"/>
          <w:lang w:val="en-US" w:eastAsia="zh-CN"/>
        </w:rPr>
        <w:t>2.</w:t>
      </w:r>
      <w:r>
        <w:rPr>
          <w:rFonts w:hint="default" w:hAnsi="仿宋_GB2312" w:cs="仿宋_GB2312"/>
          <w:sz w:val="32"/>
          <w:szCs w:val="32"/>
          <w:highlight w:val="none"/>
          <w:lang w:val="zh-CN" w:eastAsia="zh-CN"/>
        </w:rPr>
        <w:t>预算管理</w:t>
      </w:r>
      <w:r>
        <w:rPr>
          <w:rFonts w:hint="eastAsia" w:hAnsi="仿宋_GB2312" w:cs="仿宋_GB2312"/>
          <w:sz w:val="32"/>
          <w:szCs w:val="32"/>
          <w:highlight w:val="none"/>
          <w:lang w:val="zh-CN" w:eastAsia="zh-CN"/>
        </w:rPr>
        <w:t>。</w:t>
      </w:r>
    </w:p>
    <w:p w14:paraId="6C202518">
      <w:pPr>
        <w:pStyle w:val="6"/>
        <w:bidi w:val="0"/>
        <w:spacing w:beforeLines="-2147483648" w:line="600" w:lineRule="exact"/>
        <w:ind w:firstLine="640" w:firstLineChars="200"/>
      </w:pPr>
      <w:r>
        <w:rPr>
          <w:rFonts w:hint="eastAsia" w:hAnsi="仿宋_GB2312" w:cs="仿宋_GB2312"/>
          <w:sz w:val="32"/>
          <w:szCs w:val="32"/>
          <w:highlight w:val="none"/>
          <w:lang w:val="en-US" w:eastAsia="zh-CN"/>
        </w:rPr>
        <w:t>根据要求科学编制年度预算，合理统筹单位收入，确保收支平衡；严格按计划推进支出，重点项目资金拨付及时，未出现重大滞后；年末结余资金为0，未形成沉淀资金；压缩非必要开支，行政成本有效降低。</w:t>
      </w:r>
      <w:r>
        <w:rPr>
          <w:rFonts w:hint="eastAsia" w:ascii="仿宋_GB2312" w:hAnsi="宋体" w:eastAsia="仿宋_GB2312" w:cs="仿宋_GB2312"/>
          <w:color w:val="000000"/>
          <w:kern w:val="0"/>
          <w:sz w:val="30"/>
          <w:szCs w:val="30"/>
          <w:lang w:val="en-US" w:eastAsia="zh-CN" w:bidi="ar"/>
        </w:rPr>
        <w:t xml:space="preserve"> </w:t>
      </w:r>
    </w:p>
    <w:p w14:paraId="271B5B36">
      <w:pPr>
        <w:pStyle w:val="6"/>
        <w:bidi w:val="0"/>
        <w:spacing w:beforeLines="-2147483648" w:line="600" w:lineRule="exact"/>
        <w:ind w:firstLine="640" w:firstLineChars="200"/>
        <w:rPr>
          <w:rFonts w:hint="default" w:hAnsi="仿宋_GB2312" w:cs="仿宋_GB2312"/>
          <w:sz w:val="32"/>
          <w:szCs w:val="32"/>
          <w:highlight w:val="none"/>
          <w:lang w:val="zh-CN" w:eastAsia="zh-CN"/>
        </w:rPr>
      </w:pPr>
      <w:r>
        <w:rPr>
          <w:rFonts w:hint="eastAsia" w:hAnsi="仿宋_GB2312" w:cs="仿宋_GB2312"/>
          <w:sz w:val="32"/>
          <w:szCs w:val="32"/>
          <w:highlight w:val="none"/>
          <w:lang w:val="en-US" w:eastAsia="zh-CN"/>
        </w:rPr>
        <w:t>3.</w:t>
      </w:r>
      <w:r>
        <w:rPr>
          <w:rFonts w:hint="default" w:hAnsi="仿宋_GB2312" w:cs="仿宋_GB2312"/>
          <w:sz w:val="32"/>
          <w:szCs w:val="32"/>
          <w:highlight w:val="none"/>
          <w:lang w:val="zh-CN" w:eastAsia="zh-CN"/>
        </w:rPr>
        <w:t>财务管理</w:t>
      </w:r>
      <w:r>
        <w:rPr>
          <w:rFonts w:hint="eastAsia" w:hAnsi="仿宋_GB2312" w:cs="仿宋_GB2312"/>
          <w:sz w:val="32"/>
          <w:szCs w:val="32"/>
          <w:highlight w:val="none"/>
          <w:lang w:val="zh-CN" w:eastAsia="zh-CN"/>
        </w:rPr>
        <w:t>。</w:t>
      </w:r>
    </w:p>
    <w:p w14:paraId="337C2D36">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lang w:val="zh-CN" w:eastAsia="zh-CN"/>
        </w:rPr>
      </w:pPr>
      <w:r>
        <w:rPr>
          <w:rFonts w:hint="eastAsia" w:ascii="仿宋_GB2312" w:hAnsi="仿宋_GB2312" w:eastAsia="仿宋_GB2312" w:cs="仿宋_GB2312"/>
          <w:kern w:val="0"/>
          <w:sz w:val="32"/>
          <w:szCs w:val="32"/>
          <w:highlight w:val="none"/>
          <w:lang w:val="en-US" w:eastAsia="zh-CN" w:bidi="ar-SA"/>
        </w:rPr>
        <w:t>根据要求完善内控制度，规范单位报销审批流程，确保财务工作合规；明确岗位职责分工，落实分设岗位；监督专项资金专款专用，未发现截留、挪用等违规现象。</w:t>
      </w:r>
      <w:r>
        <w:rPr>
          <w:rFonts w:hint="eastAsia" w:ascii="仿宋_GB2312" w:hAnsi="宋体" w:eastAsia="仿宋_GB2312" w:cs="仿宋_GB2312"/>
          <w:color w:val="000000"/>
          <w:kern w:val="0"/>
          <w:sz w:val="30"/>
          <w:szCs w:val="30"/>
          <w:lang w:val="en-US" w:eastAsia="zh-CN" w:bidi="ar"/>
        </w:rPr>
        <w:t xml:space="preserve"> </w:t>
      </w:r>
    </w:p>
    <w:p w14:paraId="00E229EA">
      <w:pPr>
        <w:pStyle w:val="6"/>
        <w:bidi w:val="0"/>
        <w:spacing w:beforeLines="-2147483648" w:line="600" w:lineRule="exact"/>
        <w:ind w:firstLine="640" w:firstLineChars="200"/>
        <w:rPr>
          <w:rFonts w:hint="eastAsia" w:hAnsi="仿宋_GB2312" w:cs="仿宋_GB2312"/>
          <w:sz w:val="32"/>
          <w:szCs w:val="32"/>
          <w:highlight w:val="none"/>
          <w:lang w:val="zh-CN" w:eastAsia="zh-CN"/>
        </w:rPr>
      </w:pPr>
      <w:r>
        <w:rPr>
          <w:rFonts w:hint="eastAsia" w:hAnsi="仿宋_GB2312" w:cs="仿宋_GB2312"/>
          <w:sz w:val="32"/>
          <w:szCs w:val="32"/>
          <w:highlight w:val="none"/>
          <w:lang w:val="en-US" w:eastAsia="zh-CN"/>
        </w:rPr>
        <w:t>4.</w:t>
      </w:r>
      <w:r>
        <w:rPr>
          <w:rFonts w:hint="default" w:hAnsi="仿宋_GB2312" w:cs="仿宋_GB2312"/>
          <w:sz w:val="32"/>
          <w:szCs w:val="32"/>
          <w:highlight w:val="none"/>
          <w:lang w:val="zh-CN" w:eastAsia="zh-CN"/>
        </w:rPr>
        <w:t>资产管理</w:t>
      </w:r>
      <w:r>
        <w:rPr>
          <w:rFonts w:hint="eastAsia" w:hAnsi="仿宋_GB2312" w:cs="仿宋_GB2312"/>
          <w:sz w:val="32"/>
          <w:szCs w:val="32"/>
          <w:highlight w:val="none"/>
          <w:lang w:val="zh-CN" w:eastAsia="zh-CN"/>
        </w:rPr>
        <w:t>。</w:t>
      </w:r>
    </w:p>
    <w:p w14:paraId="184E4A7F">
      <w:pPr>
        <w:pStyle w:val="6"/>
        <w:bidi w:val="0"/>
        <w:spacing w:beforeLines="-2147483648" w:line="600" w:lineRule="exact"/>
        <w:ind w:firstLine="640" w:firstLineChars="200"/>
        <w:rPr>
          <w:rFonts w:hint="eastAsia" w:hAnsi="仿宋_GB2312" w:cs="仿宋_GB2312"/>
          <w:sz w:val="32"/>
          <w:szCs w:val="32"/>
          <w:highlight w:val="none"/>
          <w:lang w:val="en-US" w:eastAsia="zh-CN"/>
        </w:rPr>
      </w:pPr>
      <w:r>
        <w:rPr>
          <w:rFonts w:hint="eastAsia" w:hAnsi="仿宋_GB2312" w:cs="仿宋_GB2312"/>
          <w:sz w:val="32"/>
          <w:szCs w:val="32"/>
          <w:highlight w:val="none"/>
          <w:lang w:val="en-US" w:eastAsia="zh-CN"/>
        </w:rPr>
        <w:t xml:space="preserve">固定资产总量稳定增加，按照工作需求更新办公设备；闲置资产盘活率提升，设备使用效果显著提高。 </w:t>
      </w:r>
    </w:p>
    <w:p w14:paraId="3016E4D1">
      <w:pPr>
        <w:pStyle w:val="6"/>
        <w:bidi w:val="0"/>
        <w:spacing w:beforeLines="-2147483648" w:line="600" w:lineRule="exact"/>
        <w:ind w:firstLine="640" w:firstLineChars="200"/>
        <w:rPr>
          <w:rFonts w:hint="eastAsia" w:hAnsi="仿宋_GB2312" w:cs="仿宋_GB2312"/>
          <w:sz w:val="32"/>
          <w:szCs w:val="32"/>
          <w:highlight w:val="none"/>
          <w:lang w:val="zh-CN" w:eastAsia="zh-CN"/>
        </w:rPr>
      </w:pPr>
      <w:r>
        <w:rPr>
          <w:rFonts w:hint="eastAsia" w:hAnsi="仿宋_GB2312" w:cs="仿宋_GB2312"/>
          <w:sz w:val="32"/>
          <w:szCs w:val="32"/>
          <w:highlight w:val="none"/>
          <w:lang w:val="en-US" w:eastAsia="zh-CN"/>
        </w:rPr>
        <w:t>5.</w:t>
      </w:r>
      <w:r>
        <w:rPr>
          <w:rFonts w:hint="default" w:hAnsi="仿宋_GB2312" w:cs="仿宋_GB2312"/>
          <w:sz w:val="32"/>
          <w:szCs w:val="32"/>
          <w:highlight w:val="none"/>
          <w:lang w:val="zh-CN" w:eastAsia="zh-CN"/>
        </w:rPr>
        <w:t>采购管理</w:t>
      </w:r>
      <w:r>
        <w:rPr>
          <w:rFonts w:hint="eastAsia" w:hAnsi="仿宋_GB2312" w:cs="仿宋_GB2312"/>
          <w:sz w:val="32"/>
          <w:szCs w:val="32"/>
          <w:highlight w:val="none"/>
          <w:lang w:val="zh-CN" w:eastAsia="zh-CN"/>
        </w:rPr>
        <w:t>。</w:t>
      </w:r>
    </w:p>
    <w:p w14:paraId="7BB9471E">
      <w:pPr>
        <w:pStyle w:val="6"/>
        <w:bidi w:val="0"/>
        <w:spacing w:beforeLines="-2147483648" w:line="600" w:lineRule="exact"/>
        <w:ind w:firstLine="640" w:firstLineChars="200"/>
        <w:rPr>
          <w:rFonts w:hint="eastAsia" w:hAnsi="仿宋_GB2312" w:cs="仿宋_GB2312"/>
          <w:sz w:val="32"/>
          <w:szCs w:val="32"/>
          <w:highlight w:val="none"/>
          <w:lang w:val="zh-CN" w:eastAsia="zh-CN"/>
        </w:rPr>
      </w:pPr>
      <w:r>
        <w:rPr>
          <w:rFonts w:hint="eastAsia" w:hAnsi="仿宋_GB2312" w:cs="仿宋_GB2312"/>
          <w:sz w:val="32"/>
          <w:szCs w:val="32"/>
          <w:highlight w:val="none"/>
          <w:lang w:val="en-US" w:eastAsia="zh-CN"/>
        </w:rPr>
        <w:t>为支持中小企业发展，采购中多选择中小企业。</w:t>
      </w:r>
    </w:p>
    <w:p w14:paraId="04707513">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63" w:firstLineChars="200"/>
        <w:contextualSpacing/>
        <w:jc w:val="both"/>
        <w:textAlignment w:val="auto"/>
        <w:outlineLvl w:val="9"/>
        <w:rPr>
          <w:rFonts w:hint="default" w:ascii="Times New Roman" w:hAnsi="Times New Roman" w:eastAsia="仿宋_GB2312" w:cs="仿宋_GB2312"/>
          <w:color w:val="auto"/>
          <w:kern w:val="2"/>
          <w:sz w:val="32"/>
          <w:szCs w:val="32"/>
          <w:highlight w:val="none"/>
          <w:lang w:val="en-US" w:eastAsia="zh-CN" w:bidi="ar-SA"/>
        </w:rPr>
      </w:pPr>
      <w:r>
        <w:rPr>
          <w:rFonts w:hint="default" w:ascii="Times New Roman" w:hAnsi="Times New Roman" w:eastAsia="楷体_GB2312" w:cs="Times New Roman"/>
          <w:b/>
          <w:bCs/>
          <w:color w:val="000000"/>
          <w:kern w:val="0"/>
          <w:sz w:val="33"/>
          <w:szCs w:val="33"/>
          <w:shd w:val="clear" w:color="auto" w:fill="FFFFFF"/>
          <w:lang w:val="zh-CN" w:eastAsia="zh-CN" w:bidi="ar-SA"/>
        </w:rPr>
        <w:t>（二）部门预算项目绩效分析。</w:t>
      </w:r>
    </w:p>
    <w:p w14:paraId="6A3F2D93">
      <w:pPr>
        <w:keepNext w:val="0"/>
        <w:keepLines w:val="0"/>
        <w:widowControl/>
        <w:suppressLineNumbers w:val="0"/>
        <w:ind w:firstLine="640" w:firstLineChars="200"/>
        <w:jc w:val="left"/>
        <w:rPr>
          <w:rFonts w:hint="default" w:ascii="Times New Roman" w:hAnsi="Times New Roman" w:eastAsia="仿宋_GB2312" w:cs="仿宋_GB2312"/>
          <w:color w:val="auto"/>
          <w:kern w:val="2"/>
          <w:sz w:val="32"/>
          <w:szCs w:val="32"/>
          <w:highlight w:val="none"/>
          <w:lang w:val="zh-CN" w:eastAsia="zh-CN" w:bidi="ar-SA"/>
        </w:rPr>
      </w:pPr>
      <w:r>
        <w:rPr>
          <w:rFonts w:hint="default" w:ascii="仿宋_GB2312" w:hAnsi="仿宋_GB2312" w:eastAsia="仿宋_GB2312" w:cs="Times New Roman"/>
          <w:kern w:val="0"/>
          <w:sz w:val="32"/>
          <w:szCs w:val="24"/>
          <w:lang w:val="en-US" w:eastAsia="zh-CN" w:bidi="ar-SA"/>
        </w:rPr>
        <w:t>常年项目绩效分析。</w:t>
      </w:r>
      <w:r>
        <w:rPr>
          <w:rFonts w:hint="eastAsia" w:ascii="仿宋_GB2312" w:hAnsi="仿宋_GB2312" w:eastAsia="仿宋_GB2312" w:cs="Times New Roman"/>
          <w:kern w:val="0"/>
          <w:sz w:val="32"/>
          <w:szCs w:val="24"/>
          <w:lang w:val="en-US" w:eastAsia="zh-CN" w:bidi="ar-SA"/>
        </w:rPr>
        <w:t>该类项目总数 36 个，涉及预算总 金额1,141.07万元，</w:t>
      </w:r>
      <w:r>
        <w:rPr>
          <w:rFonts w:hint="default" w:ascii="仿宋_GB2312" w:hAnsi="仿宋_GB2312" w:eastAsia="仿宋_GB2312" w:cs="Times New Roman"/>
          <w:kern w:val="0"/>
          <w:sz w:val="32"/>
          <w:szCs w:val="24"/>
          <w:lang w:val="en-US" w:eastAsia="zh-CN" w:bidi="ar-SA"/>
        </w:rPr>
        <w:t>1</w:t>
      </w:r>
      <w:r>
        <w:rPr>
          <w:rFonts w:hint="eastAsia" w:ascii="仿宋_GB2312" w:hAnsi="仿宋_GB2312" w:eastAsia="仿宋_GB2312" w:cs="Times New Roman"/>
          <w:kern w:val="0"/>
          <w:sz w:val="32"/>
          <w:szCs w:val="24"/>
          <w:lang w:val="en-US" w:eastAsia="zh-CN" w:bidi="ar-SA"/>
        </w:rPr>
        <w:t>—</w:t>
      </w:r>
      <w:r>
        <w:rPr>
          <w:rFonts w:hint="default" w:ascii="仿宋_GB2312" w:hAnsi="仿宋_GB2312" w:eastAsia="仿宋_GB2312" w:cs="Times New Roman"/>
          <w:kern w:val="0"/>
          <w:sz w:val="32"/>
          <w:szCs w:val="24"/>
          <w:lang w:val="en-US" w:eastAsia="zh-CN" w:bidi="ar-SA"/>
        </w:rPr>
        <w:t xml:space="preserve">12 </w:t>
      </w:r>
      <w:r>
        <w:rPr>
          <w:rFonts w:hint="eastAsia" w:ascii="仿宋_GB2312" w:hAnsi="仿宋_GB2312" w:eastAsia="仿宋_GB2312" w:cs="Times New Roman"/>
          <w:kern w:val="0"/>
          <w:sz w:val="32"/>
          <w:szCs w:val="24"/>
          <w:lang w:val="en-US" w:eastAsia="zh-CN" w:bidi="ar-SA"/>
        </w:rPr>
        <w:t xml:space="preserve">月预算执行总体进度为 </w:t>
      </w:r>
      <w:r>
        <w:rPr>
          <w:rFonts w:hint="default" w:ascii="仿宋_GB2312" w:hAnsi="仿宋_GB2312" w:eastAsia="仿宋_GB2312" w:cs="Times New Roman"/>
          <w:kern w:val="0"/>
          <w:sz w:val="32"/>
          <w:szCs w:val="24"/>
          <w:lang w:val="en-US" w:eastAsia="zh-CN" w:bidi="ar-SA"/>
        </w:rPr>
        <w:t>100%</w:t>
      </w:r>
      <w:r>
        <w:rPr>
          <w:rFonts w:hint="eastAsia" w:ascii="仿宋_GB2312" w:hAnsi="仿宋_GB2312" w:eastAsia="仿宋_GB2312" w:cs="Times New Roman"/>
          <w:kern w:val="0"/>
          <w:sz w:val="32"/>
          <w:szCs w:val="24"/>
          <w:lang w:val="en-US" w:eastAsia="zh-CN" w:bidi="ar-SA"/>
        </w:rPr>
        <w:t>，资金使用效率整体符合预期。</w:t>
      </w:r>
      <w:r>
        <w:rPr>
          <w:rFonts w:hint="eastAsia" w:ascii="仿宋_GB2312" w:hAnsi="宋体" w:eastAsia="仿宋_GB2312" w:cs="仿宋_GB2312"/>
          <w:color w:val="000000"/>
          <w:kern w:val="0"/>
          <w:sz w:val="31"/>
          <w:szCs w:val="31"/>
          <w:lang w:val="en-US" w:eastAsia="zh-CN" w:bidi="ar"/>
        </w:rPr>
        <w:t xml:space="preserve"> </w:t>
      </w:r>
    </w:p>
    <w:p w14:paraId="532547A1">
      <w:pPr>
        <w:pStyle w:val="6"/>
        <w:bidi w:val="0"/>
        <w:spacing w:beforeLines="-2147483648" w:line="600" w:lineRule="exact"/>
        <w:ind w:firstLine="640" w:firstLineChars="200"/>
        <w:rPr>
          <w:rFonts w:hint="eastAsia" w:hAnsi="仿宋_GB2312"/>
          <w:sz w:val="32"/>
          <w:lang w:val="en-US" w:eastAsia="zh-CN"/>
        </w:rPr>
      </w:pPr>
      <w:r>
        <w:rPr>
          <w:rFonts w:hint="eastAsia" w:hAnsi="仿宋_GB2312"/>
          <w:sz w:val="32"/>
          <w:lang w:val="en-US" w:eastAsia="zh-CN"/>
        </w:rPr>
        <w:t>1.项目决策。项目目标与民生需求与政策导向紧紧相扣，如基础设施提升、优化公共服务等，目标设置清晰可操作；入库项目均过严格审核与可行性评估，优先保障重点领域和紧急民生需求。</w:t>
      </w:r>
    </w:p>
    <w:p w14:paraId="5A1A23DF">
      <w:pPr>
        <w:pStyle w:val="6"/>
        <w:bidi w:val="0"/>
        <w:spacing w:beforeLines="-2147483648" w:line="600" w:lineRule="exact"/>
        <w:ind w:firstLine="640" w:firstLineChars="200"/>
        <w:rPr>
          <w:rFonts w:hint="eastAsia" w:ascii="仿宋_GB2312" w:hAnsi="仿宋_GB2312" w:eastAsia="仿宋_GB2312" w:cs="仿宋_GB2312"/>
        </w:rPr>
      </w:pPr>
      <w:r>
        <w:rPr>
          <w:rFonts w:hint="eastAsia" w:hAnsi="仿宋_GB2312"/>
          <w:sz w:val="32"/>
          <w:lang w:val="en-US" w:eastAsia="zh-CN"/>
        </w:rPr>
        <w:t>2.项目执行。资金拨付与预算计划一致，未出现超范围或超标准支出；部分项目因政策变化或其他客观条件进行适当性调整，均按程序报批后进行实施；项目按期完成任务，未发生重大质量或安全风险。</w:t>
      </w:r>
      <w:r>
        <w:rPr>
          <w:rFonts w:hint="eastAsia" w:ascii="仿宋_GB2312" w:hAnsi="仿宋_GB2312" w:eastAsia="仿宋_GB2312" w:cs="仿宋_GB2312"/>
          <w:color w:val="000000"/>
          <w:kern w:val="0"/>
          <w:sz w:val="31"/>
          <w:szCs w:val="31"/>
          <w:lang w:val="en-US" w:eastAsia="zh-CN" w:bidi="ar"/>
        </w:rPr>
        <w:t xml:space="preserve"> </w:t>
      </w:r>
    </w:p>
    <w:p w14:paraId="5AE2317A">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en-US" w:eastAsia="zh-CN"/>
        </w:rPr>
        <w:t>3.目标实现。项目均按计划达成核心绩效目标，项目成果有效改善群众生活条件。</w:t>
      </w:r>
    </w:p>
    <w:p w14:paraId="5AE0755E">
      <w:pPr>
        <w:keepNext w:val="0"/>
        <w:keepLines w:val="0"/>
        <w:widowControl/>
        <w:suppressLineNumbers w:val="0"/>
        <w:ind w:firstLine="643" w:firstLineChars="200"/>
        <w:jc w:val="left"/>
        <w:rPr>
          <w:rFonts w:hint="eastAsia" w:ascii="Times New Roman" w:hAnsi="Times New Roman" w:eastAsia="楷体_GB2312" w:cs="Times New Roman"/>
          <w:b/>
          <w:bCs/>
          <w:kern w:val="2"/>
          <w:sz w:val="32"/>
          <w:szCs w:val="32"/>
          <w:lang w:val="zh-CN" w:eastAsia="zh-CN" w:bidi="ar-SA"/>
        </w:rPr>
      </w:pPr>
      <w:r>
        <w:rPr>
          <w:rFonts w:hint="default" w:ascii="Times New Roman" w:hAnsi="Times New Roman" w:eastAsia="楷体_GB2312" w:cs="Times New Roman"/>
          <w:b/>
          <w:bCs/>
          <w:kern w:val="2"/>
          <w:sz w:val="32"/>
          <w:szCs w:val="32"/>
          <w:lang w:val="zh-CN" w:eastAsia="zh-CN" w:bidi="ar-SA"/>
        </w:rPr>
        <w:t>（</w:t>
      </w:r>
      <w:r>
        <w:rPr>
          <w:rFonts w:hint="eastAsia" w:ascii="Times New Roman" w:hAnsi="Times New Roman" w:eastAsia="楷体_GB2312" w:cs="Times New Roman"/>
          <w:b/>
          <w:bCs/>
          <w:kern w:val="2"/>
          <w:sz w:val="32"/>
          <w:szCs w:val="32"/>
          <w:lang w:val="en-US" w:eastAsia="zh-CN" w:bidi="ar-SA"/>
        </w:rPr>
        <w:t>三</w:t>
      </w:r>
      <w:r>
        <w:rPr>
          <w:rFonts w:hint="default" w:ascii="Times New Roman" w:hAnsi="Times New Roman" w:eastAsia="楷体_GB2312" w:cs="Times New Roman"/>
          <w:b/>
          <w:bCs/>
          <w:kern w:val="2"/>
          <w:sz w:val="32"/>
          <w:szCs w:val="32"/>
          <w:lang w:val="zh-CN" w:eastAsia="zh-CN" w:bidi="ar-SA"/>
        </w:rPr>
        <w:t>）绩效结果应用情况</w:t>
      </w:r>
      <w:r>
        <w:rPr>
          <w:rFonts w:hint="eastAsia" w:ascii="Times New Roman" w:hAnsi="Times New Roman" w:eastAsia="楷体_GB2312" w:cs="Times New Roman"/>
          <w:b/>
          <w:bCs/>
          <w:kern w:val="2"/>
          <w:sz w:val="32"/>
          <w:szCs w:val="32"/>
          <w:lang w:val="zh-CN" w:eastAsia="zh-CN" w:bidi="ar-SA"/>
        </w:rPr>
        <w:t>。</w:t>
      </w:r>
    </w:p>
    <w:p w14:paraId="235B80D5">
      <w:pPr>
        <w:keepNext w:val="0"/>
        <w:keepLines w:val="0"/>
        <w:widowControl/>
        <w:suppressLineNumbers w:val="0"/>
        <w:ind w:firstLine="640" w:firstLineChars="200"/>
        <w:jc w:val="left"/>
        <w:rPr>
          <w:rFonts w:hint="default"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完善资产登记与动态监管机制，提升闲置资产盘活率，资产使用效率显著优化；严格执行政府采购政策，程序规范透明；购买服务范围覆盖环卫等领域，服务质量和履约验收合格率均达标。</w:t>
      </w:r>
    </w:p>
    <w:p w14:paraId="6A171B6C">
      <w:pPr>
        <w:pStyle w:val="4"/>
        <w:bidi w:val="0"/>
        <w:spacing w:line="600" w:lineRule="exact"/>
        <w:ind w:left="0" w:right="0" w:firstLine="640" w:firstLineChars="200"/>
        <w:rPr>
          <w:rFonts w:hint="default" w:eastAsia="黑体" w:asciiTheme="majorAscii" w:hAnsiTheme="majorAscii"/>
          <w:b w:val="0"/>
          <w:lang w:val="zh-CN" w:eastAsia="zh-CN"/>
        </w:rPr>
      </w:pPr>
      <w:bookmarkStart w:id="81" w:name="_Toc27110_WPSOffice_Level2"/>
      <w:r>
        <w:rPr>
          <w:rFonts w:hint="default" w:eastAsia="黑体" w:asciiTheme="majorAscii" w:hAnsiTheme="majorAscii"/>
          <w:b w:val="0"/>
          <w:lang w:val="zh-CN" w:eastAsia="zh-CN"/>
        </w:rPr>
        <w:t>四、评价结论及建议</w:t>
      </w:r>
      <w:bookmarkEnd w:id="81"/>
    </w:p>
    <w:p w14:paraId="2DA1109B">
      <w:pPr>
        <w:pStyle w:val="5"/>
        <w:numPr>
          <w:ilvl w:val="0"/>
          <w:numId w:val="8"/>
        </w:numPr>
        <w:bidi w:val="0"/>
        <w:spacing w:before="0" w:after="0" w:line="600" w:lineRule="exact"/>
        <w:ind w:left="420" w:leftChars="0" w:firstLine="0" w:firstLineChars="0"/>
        <w:rPr>
          <w:rFonts w:hint="default" w:eastAsia="楷体_GB2312"/>
          <w:lang w:val="zh-CN"/>
        </w:rPr>
      </w:pPr>
      <w:r>
        <w:rPr>
          <w:rFonts w:hint="default" w:eastAsia="楷体_GB2312"/>
          <w:lang w:val="zh-CN"/>
        </w:rPr>
        <w:t>评价结论。</w:t>
      </w:r>
    </w:p>
    <w:p w14:paraId="438BE79A">
      <w:pPr>
        <w:keepNext w:val="0"/>
        <w:keepLines w:val="0"/>
        <w:widowControl/>
        <w:suppressLineNumbers w:val="0"/>
        <w:ind w:firstLine="660" w:firstLineChars="200"/>
        <w:jc w:val="left"/>
        <w:rPr>
          <w:rFonts w:hint="eastAsia" w:ascii="Times New Roman" w:hAnsi="Times New Roman" w:eastAsia="仿宋_GB2312" w:cs="Times New Roman"/>
          <w:kern w:val="0"/>
          <w:sz w:val="33"/>
          <w:szCs w:val="33"/>
          <w:lang w:val="en-US" w:eastAsia="zh-CN" w:bidi="ar-SA"/>
        </w:rPr>
      </w:pPr>
      <w:r>
        <w:rPr>
          <w:rFonts w:hint="eastAsia" w:ascii="Times New Roman" w:hAnsi="Times New Roman" w:eastAsia="仿宋_GB2312" w:cs="Times New Roman"/>
          <w:kern w:val="0"/>
          <w:sz w:val="33"/>
          <w:szCs w:val="33"/>
          <w:lang w:val="en-US" w:eastAsia="zh-CN" w:bidi="ar-SA"/>
        </w:rPr>
        <w:t>底堡乡政府全年严格按照预算绩效目标任务及资金使用要求兑付项目资金，部门预算执行情况良好，整体评分</w:t>
      </w:r>
    </w:p>
    <w:p w14:paraId="17E0FE36">
      <w:pPr>
        <w:keepNext w:val="0"/>
        <w:keepLines w:val="0"/>
        <w:widowControl/>
        <w:suppressLineNumbers w:val="0"/>
        <w:jc w:val="left"/>
        <w:rPr>
          <w:rFonts w:hint="eastAsia" w:ascii="Times New Roman" w:hAnsi="Times New Roman" w:eastAsia="仿宋_GB2312" w:cs="Times New Roman"/>
          <w:kern w:val="0"/>
          <w:sz w:val="33"/>
          <w:szCs w:val="33"/>
          <w:lang w:val="en-US" w:eastAsia="zh-CN" w:bidi="ar-SA"/>
        </w:rPr>
      </w:pPr>
      <w:r>
        <w:rPr>
          <w:rFonts w:hint="eastAsia" w:ascii="Times New Roman" w:hAnsi="Times New Roman" w:eastAsia="仿宋_GB2312" w:cs="Times New Roman"/>
          <w:kern w:val="0"/>
          <w:sz w:val="33"/>
          <w:szCs w:val="33"/>
          <w:lang w:val="en-US" w:eastAsia="zh-CN" w:bidi="ar-SA"/>
        </w:rPr>
        <w:t xml:space="preserve">100分，无不良记录及违规违纪行为，预算支出和决算支出情况相符。 </w:t>
      </w:r>
    </w:p>
    <w:p w14:paraId="3741CC36">
      <w:pPr>
        <w:keepNext w:val="0"/>
        <w:keepLines w:val="0"/>
        <w:widowControl/>
        <w:suppressLineNumbers w:val="0"/>
        <w:ind w:firstLine="420" w:firstLineChars="200"/>
        <w:jc w:val="left"/>
      </w:pPr>
    </w:p>
    <w:p w14:paraId="1EA20861">
      <w:pPr>
        <w:pStyle w:val="5"/>
        <w:numPr>
          <w:ilvl w:val="0"/>
          <w:numId w:val="8"/>
        </w:numPr>
        <w:bidi w:val="0"/>
        <w:spacing w:before="0" w:after="0" w:line="600" w:lineRule="exact"/>
        <w:ind w:left="420" w:leftChars="0" w:firstLine="0" w:firstLineChars="0"/>
        <w:rPr>
          <w:rFonts w:hint="default" w:eastAsia="楷体_GB2312"/>
          <w:lang w:val="zh-CN"/>
        </w:rPr>
      </w:pPr>
      <w:r>
        <w:rPr>
          <w:rFonts w:hint="default" w:eastAsia="楷体_GB2312"/>
          <w:lang w:val="zh-CN"/>
        </w:rPr>
        <w:t>存在问题。</w:t>
      </w:r>
    </w:p>
    <w:p w14:paraId="461398D5">
      <w:pPr>
        <w:keepNext w:val="0"/>
        <w:keepLines w:val="0"/>
        <w:widowControl/>
        <w:suppressLineNumbers w:val="0"/>
        <w:ind w:firstLine="660" w:firstLineChars="200"/>
        <w:jc w:val="left"/>
        <w:rPr>
          <w:rFonts w:hint="eastAsia" w:ascii="Times New Roman" w:hAnsi="Times New Roman" w:eastAsia="仿宋_GB2312" w:cs="Times New Roman"/>
          <w:kern w:val="0"/>
          <w:sz w:val="33"/>
          <w:szCs w:val="33"/>
          <w:lang w:val="en-US" w:eastAsia="zh-CN" w:bidi="ar-SA"/>
        </w:rPr>
      </w:pPr>
      <w:r>
        <w:rPr>
          <w:rFonts w:hint="eastAsia" w:ascii="Times New Roman" w:hAnsi="Times New Roman" w:eastAsia="仿宋_GB2312" w:cs="Times New Roman"/>
          <w:kern w:val="0"/>
          <w:sz w:val="33"/>
          <w:szCs w:val="33"/>
          <w:lang w:val="en-US" w:eastAsia="zh-CN" w:bidi="ar-SA"/>
        </w:rPr>
        <w:t xml:space="preserve">完成部门预算进度效率还待提升，部分项目进度较为缓慢。 </w:t>
      </w:r>
    </w:p>
    <w:p w14:paraId="59CB8B3C">
      <w:pPr>
        <w:pStyle w:val="5"/>
        <w:numPr>
          <w:ilvl w:val="0"/>
          <w:numId w:val="8"/>
        </w:numPr>
        <w:bidi w:val="0"/>
        <w:spacing w:before="0" w:after="0" w:line="600" w:lineRule="exact"/>
        <w:ind w:left="420" w:leftChars="0" w:firstLine="0" w:firstLineChars="0"/>
        <w:rPr>
          <w:rFonts w:hint="default" w:eastAsia="楷体_GB2312"/>
          <w:lang w:val="zh-CN" w:eastAsia="zh-CN"/>
        </w:rPr>
      </w:pPr>
      <w:r>
        <w:rPr>
          <w:rFonts w:hint="default" w:eastAsia="楷体_GB2312"/>
          <w:lang w:val="zh-CN" w:eastAsia="zh-CN"/>
        </w:rPr>
        <w:t>改进建议。</w:t>
      </w:r>
      <w:bookmarkStart w:id="82" w:name="_Hlk110546638"/>
    </w:p>
    <w:p w14:paraId="7D54E523">
      <w:pPr>
        <w:keepNext w:val="0"/>
        <w:keepLines w:val="0"/>
        <w:widowControl/>
        <w:suppressLineNumbers w:val="0"/>
        <w:ind w:firstLine="660" w:firstLineChars="200"/>
        <w:jc w:val="left"/>
        <w:rPr>
          <w:rFonts w:hint="eastAsia" w:ascii="Times New Roman" w:hAnsi="Times New Roman" w:eastAsia="仿宋_GB2312" w:cs="Times New Roman"/>
          <w:kern w:val="0"/>
          <w:sz w:val="33"/>
          <w:szCs w:val="33"/>
          <w:lang w:val="en-US" w:eastAsia="zh-CN" w:bidi="ar-SA"/>
        </w:rPr>
      </w:pPr>
      <w:r>
        <w:rPr>
          <w:rFonts w:hint="eastAsia" w:ascii="Times New Roman" w:hAnsi="Times New Roman" w:eastAsia="仿宋_GB2312" w:cs="Times New Roman"/>
          <w:kern w:val="0"/>
          <w:sz w:val="33"/>
          <w:szCs w:val="33"/>
          <w:lang w:val="en-US" w:eastAsia="zh-CN" w:bidi="ar-SA"/>
        </w:rPr>
        <w:t>加强业务人员相关培训，提高工作效率和能力，加快项目实施和资金兑付，提升工作效率。</w:t>
      </w:r>
    </w:p>
    <w:p w14:paraId="43AC6A5B">
      <w:pPr>
        <w:pStyle w:val="2"/>
        <w:rPr>
          <w:rFonts w:hint="eastAsia" w:ascii="Times New Roman" w:hAnsi="Times New Roman" w:eastAsia="仿宋_GB2312" w:cs="Times New Roman"/>
          <w:kern w:val="0"/>
          <w:sz w:val="33"/>
          <w:szCs w:val="33"/>
          <w:lang w:val="en-US" w:eastAsia="zh-CN" w:bidi="ar-SA"/>
        </w:rPr>
      </w:pPr>
    </w:p>
    <w:p w14:paraId="7FB0B905">
      <w:pPr>
        <w:pStyle w:val="2"/>
        <w:rPr>
          <w:rFonts w:hint="eastAsia" w:ascii="Times New Roman" w:hAnsi="Times New Roman" w:eastAsia="仿宋_GB2312" w:cs="Times New Roman"/>
          <w:kern w:val="0"/>
          <w:sz w:val="33"/>
          <w:szCs w:val="33"/>
          <w:lang w:val="en-US" w:eastAsia="zh-CN" w:bidi="ar-SA"/>
        </w:rPr>
      </w:pPr>
    </w:p>
    <w:p w14:paraId="389F2AC0">
      <w:pPr>
        <w:pStyle w:val="2"/>
        <w:rPr>
          <w:rFonts w:hint="eastAsia" w:ascii="Times New Roman" w:hAnsi="Times New Roman" w:eastAsia="仿宋_GB2312" w:cs="Times New Roman"/>
          <w:kern w:val="0"/>
          <w:sz w:val="33"/>
          <w:szCs w:val="33"/>
          <w:lang w:val="en-US" w:eastAsia="zh-CN" w:bidi="ar-SA"/>
        </w:rPr>
      </w:pPr>
    </w:p>
    <w:p w14:paraId="62FB2DFD">
      <w:pPr>
        <w:pStyle w:val="2"/>
        <w:rPr>
          <w:rFonts w:hint="eastAsia" w:ascii="Times New Roman" w:hAnsi="Times New Roman" w:eastAsia="仿宋_GB2312" w:cs="Times New Roman"/>
          <w:kern w:val="0"/>
          <w:sz w:val="33"/>
          <w:szCs w:val="33"/>
          <w:lang w:val="en-US" w:eastAsia="zh-CN" w:bidi="ar-SA"/>
        </w:rPr>
      </w:pPr>
    </w:p>
    <w:p w14:paraId="17309AC8">
      <w:pPr>
        <w:pStyle w:val="2"/>
        <w:rPr>
          <w:rFonts w:hint="eastAsia" w:ascii="Times New Roman" w:hAnsi="Times New Roman" w:eastAsia="仿宋_GB2312" w:cs="Times New Roman"/>
          <w:kern w:val="0"/>
          <w:sz w:val="33"/>
          <w:szCs w:val="33"/>
          <w:lang w:val="en-US" w:eastAsia="zh-CN" w:bidi="ar-SA"/>
        </w:rPr>
      </w:pPr>
    </w:p>
    <w:p w14:paraId="33ACC42C">
      <w:pPr>
        <w:pStyle w:val="2"/>
        <w:rPr>
          <w:rFonts w:hint="eastAsia" w:ascii="Times New Roman" w:hAnsi="Times New Roman" w:eastAsia="仿宋_GB2312" w:cs="Times New Roman"/>
          <w:kern w:val="0"/>
          <w:sz w:val="33"/>
          <w:szCs w:val="33"/>
          <w:lang w:val="en-US" w:eastAsia="zh-CN" w:bidi="ar-SA"/>
        </w:rPr>
      </w:pPr>
    </w:p>
    <w:p w14:paraId="59BF4A75">
      <w:pPr>
        <w:pStyle w:val="2"/>
        <w:rPr>
          <w:rFonts w:hint="eastAsia" w:ascii="Times New Roman" w:hAnsi="Times New Roman" w:eastAsia="仿宋_GB2312" w:cs="Times New Roman"/>
          <w:kern w:val="0"/>
          <w:sz w:val="33"/>
          <w:szCs w:val="33"/>
          <w:lang w:val="en-US" w:eastAsia="zh-CN" w:bidi="ar-SA"/>
        </w:rPr>
      </w:pPr>
    </w:p>
    <w:bookmarkEnd w:id="82"/>
    <w:p w14:paraId="4976D310">
      <w:pPr>
        <w:pStyle w:val="6"/>
        <w:bidi w:val="0"/>
        <w:spacing w:beforeLines="-2147483648" w:line="600" w:lineRule="exact"/>
        <w:rPr>
          <w:rFonts w:hint="eastAsia" w:ascii="Times New Roman" w:hAnsi="Times New Roman" w:eastAsia="仿宋_GB2312" w:cs="Times New Roman"/>
          <w:kern w:val="2"/>
          <w:sz w:val="32"/>
          <w:szCs w:val="32"/>
          <w:u w:val="none"/>
          <w:lang w:val="en-US"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部门预算项目支出绩效自评表（2025年度）</w:t>
      </w:r>
    </w:p>
    <w:p w14:paraId="4BCD61E0">
      <w:pPr>
        <w:rPr>
          <w:rFonts w:hint="eastAsia"/>
          <w:lang w:val="zh-CN" w:eastAsia="zh-CN"/>
        </w:rPr>
      </w:pPr>
      <w:r>
        <w:rPr>
          <w:rFonts w:hint="eastAsia" w:ascii="Times New Roman" w:hAnsi="Times New Roman" w:eastAsia="仿宋_GB2312" w:cs="Times New Roman"/>
          <w:kern w:val="2"/>
          <w:sz w:val="32"/>
          <w:szCs w:val="32"/>
          <w:u w:val="none"/>
          <w:lang w:val="zh-CN" w:eastAsia="zh-CN" w:bidi="ar"/>
        </w:rPr>
        <w:br w:type="page"/>
      </w:r>
    </w:p>
    <w:p w14:paraId="1FA55316">
      <w:pPr>
        <w:pStyle w:val="6"/>
        <w:keepNext w:val="0"/>
        <w:keepLines w:val="0"/>
        <w:pageBreakBefore/>
        <w:widowControl w:val="0"/>
        <w:kinsoku/>
        <w:wordWrap/>
        <w:overflowPunct/>
        <w:topLinePunct w:val="0"/>
        <w:autoSpaceDE/>
        <w:autoSpaceDN/>
        <w:bidi w:val="0"/>
        <w:adjustRightInd/>
        <w:snapToGrid/>
        <w:spacing w:beforeLines="-2147483648" w:line="600" w:lineRule="exact"/>
        <w:ind w:left="0" w:leftChars="0" w:firstLine="0" w:firstLineChars="0"/>
        <w:textAlignment w:val="auto"/>
        <w:rPr>
          <w:rFonts w:hint="default" w:hAnsi="仿宋_GB2312" w:eastAsia="黑体" w:cs="黑体"/>
          <w:sz w:val="32"/>
          <w:lang w:val="en-US" w:eastAsia="zh-CN"/>
        </w:rPr>
      </w:pPr>
      <w:r>
        <w:rPr>
          <w:rFonts w:hint="eastAsia" w:hAnsi="仿宋_GB2312" w:eastAsia="黑体" w:cs="黑体"/>
          <w:sz w:val="32"/>
          <w:lang w:val="en-US" w:eastAsia="zh-CN"/>
        </w:rPr>
        <w:t>附表</w:t>
      </w:r>
    </w:p>
    <w:tbl>
      <w:tblPr>
        <w:tblStyle w:val="16"/>
        <w:tblW w:w="8805" w:type="dxa"/>
        <w:jc w:val="center"/>
        <w:shd w:val="clear" w:color="auto" w:fill="auto"/>
        <w:tblLayout w:type="fixed"/>
        <w:tblCellMar>
          <w:top w:w="0" w:type="dxa"/>
          <w:left w:w="0" w:type="dxa"/>
          <w:bottom w:w="0" w:type="dxa"/>
          <w:right w:w="0" w:type="dxa"/>
        </w:tblCellMar>
      </w:tblPr>
      <w:tblGrid>
        <w:gridCol w:w="1303"/>
        <w:gridCol w:w="1343"/>
        <w:gridCol w:w="1338"/>
        <w:gridCol w:w="2918"/>
        <w:gridCol w:w="1134"/>
        <w:gridCol w:w="769"/>
      </w:tblGrid>
      <w:tr w14:paraId="7B3744D1">
        <w:tblPrEx>
          <w:tblCellMar>
            <w:top w:w="0" w:type="dxa"/>
            <w:left w:w="0" w:type="dxa"/>
            <w:bottom w:w="0" w:type="dxa"/>
            <w:right w:w="0" w:type="dxa"/>
          </w:tblCellMar>
        </w:tblPrEx>
        <w:trPr>
          <w:trHeight w:val="904" w:hRule="atLeast"/>
          <w:jc w:val="center"/>
        </w:trPr>
        <w:tc>
          <w:tcPr>
            <w:tcW w:w="8805" w:type="dxa"/>
            <w:gridSpan w:val="6"/>
            <w:tcBorders>
              <w:top w:val="nil"/>
              <w:left w:val="nil"/>
              <w:bottom w:val="nil"/>
              <w:right w:val="nil"/>
            </w:tcBorders>
            <w:shd w:val="clear" w:color="auto" w:fill="auto"/>
            <w:tcMar>
              <w:top w:w="15" w:type="dxa"/>
              <w:left w:w="15" w:type="dxa"/>
              <w:right w:w="15" w:type="dxa"/>
            </w:tcMar>
            <w:vAlign w:val="center"/>
          </w:tcPr>
          <w:p w14:paraId="0B29345F">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eastAsia="方正小标宋简体"/>
                <w:color w:val="000000"/>
                <w:kern w:val="0"/>
                <w:sz w:val="44"/>
                <w:szCs w:val="44"/>
                <w:lang w:val="en-US" w:eastAsia="zh-CN"/>
              </w:rPr>
              <w:t>部门整体支出绩效目标完成情况自评表</w:t>
            </w:r>
          </w:p>
        </w:tc>
      </w:tr>
      <w:tr w14:paraId="79EB4653">
        <w:tblPrEx>
          <w:tblCellMar>
            <w:top w:w="0" w:type="dxa"/>
            <w:left w:w="0" w:type="dxa"/>
            <w:bottom w:w="0" w:type="dxa"/>
            <w:right w:w="0" w:type="dxa"/>
          </w:tblCellMar>
        </w:tblPrEx>
        <w:trPr>
          <w:trHeight w:val="286" w:hRule="atLeast"/>
          <w:jc w:val="center"/>
        </w:trPr>
        <w:tc>
          <w:tcPr>
            <w:tcW w:w="8805" w:type="dxa"/>
            <w:gridSpan w:val="6"/>
            <w:tcBorders>
              <w:top w:val="nil"/>
              <w:left w:val="nil"/>
              <w:bottom w:val="nil"/>
              <w:right w:val="nil"/>
            </w:tcBorders>
            <w:shd w:val="clear" w:color="auto" w:fill="auto"/>
            <w:tcMar>
              <w:top w:w="15" w:type="dxa"/>
              <w:left w:w="15" w:type="dxa"/>
              <w:right w:w="15" w:type="dxa"/>
            </w:tcMar>
            <w:vAlign w:val="center"/>
          </w:tcPr>
          <w:p w14:paraId="791A8DFE">
            <w:pPr>
              <w:keepNext w:val="0"/>
              <w:keepLines w:val="0"/>
              <w:widowControl/>
              <w:suppressLineNumbers w:val="0"/>
              <w:jc w:val="center"/>
              <w:textAlignment w:val="center"/>
              <w:rPr>
                <w:rFonts w:ascii="宋体" w:hAnsi="宋体" w:eastAsia="宋体" w:cs="宋体"/>
                <w:i w:val="0"/>
                <w:color w:val="000000"/>
                <w:sz w:val="18"/>
                <w:szCs w:val="18"/>
                <w:u w:val="none"/>
              </w:rPr>
            </w:pPr>
            <w:r>
              <w:rPr>
                <w:rFonts w:eastAsia="宋体"/>
                <w:color w:val="000000"/>
                <w:kern w:val="0"/>
                <w:sz w:val="28"/>
                <w:szCs w:val="28"/>
                <w:lang w:val="en-US" w:eastAsia="zh-CN"/>
              </w:rPr>
              <w:t>（2025年度）</w:t>
            </w:r>
          </w:p>
        </w:tc>
      </w:tr>
      <w:tr w14:paraId="6FC35431">
        <w:tblPrEx>
          <w:tblCellMar>
            <w:top w:w="0" w:type="dxa"/>
            <w:left w:w="0" w:type="dxa"/>
            <w:bottom w:w="0" w:type="dxa"/>
            <w:right w:w="0" w:type="dxa"/>
          </w:tblCellMar>
        </w:tblPrEx>
        <w:trPr>
          <w:trHeight w:val="286" w:hRule="atLeast"/>
          <w:jc w:val="center"/>
        </w:trPr>
        <w:tc>
          <w:tcPr>
            <w:tcW w:w="8805" w:type="dxa"/>
            <w:gridSpan w:val="6"/>
            <w:tcBorders>
              <w:top w:val="nil"/>
              <w:left w:val="nil"/>
              <w:bottom w:val="single" w:color="000000" w:sz="4" w:space="0"/>
              <w:right w:val="nil"/>
            </w:tcBorders>
            <w:shd w:val="clear" w:color="auto" w:fill="auto"/>
            <w:tcMar>
              <w:top w:w="15" w:type="dxa"/>
              <w:left w:w="15" w:type="dxa"/>
              <w:right w:w="15" w:type="dxa"/>
            </w:tcMar>
            <w:vAlign w:val="center"/>
          </w:tcPr>
          <w:p w14:paraId="5F30C56E">
            <w:pPr>
              <w:keepNext w:val="0"/>
              <w:keepLines w:val="0"/>
              <w:widowControl/>
              <w:suppressLineNumbers w:val="0"/>
              <w:jc w:val="right"/>
              <w:textAlignment w:val="center"/>
              <w:rPr>
                <w:rFonts w:ascii="宋体" w:hAnsi="宋体" w:eastAsia="宋体" w:cs="宋体"/>
                <w:i w:val="0"/>
                <w:color w:val="000000"/>
                <w:sz w:val="18"/>
                <w:szCs w:val="18"/>
                <w:u w:val="none"/>
              </w:rPr>
            </w:pPr>
            <w:r>
              <w:rPr>
                <w:rFonts w:eastAsia="宋体"/>
                <w:color w:val="000000"/>
                <w:kern w:val="0"/>
                <w:sz w:val="21"/>
                <w:szCs w:val="21"/>
                <w:lang w:val="en-US" w:eastAsia="zh-CN"/>
              </w:rPr>
              <w:t>金额单位：万元</w:t>
            </w:r>
          </w:p>
        </w:tc>
      </w:tr>
      <w:tr w14:paraId="02143605">
        <w:tblPrEx>
          <w:tblCellMar>
            <w:top w:w="0" w:type="dxa"/>
            <w:left w:w="0" w:type="dxa"/>
            <w:bottom w:w="0" w:type="dxa"/>
            <w:right w:w="0" w:type="dxa"/>
          </w:tblCellMar>
        </w:tblPrEx>
        <w:trPr>
          <w:trHeight w:val="569" w:hRule="atLeast"/>
          <w:jc w:val="center"/>
        </w:trPr>
        <w:tc>
          <w:tcPr>
            <w:tcW w:w="398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C18C4">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部门名称</w:t>
            </w:r>
          </w:p>
        </w:tc>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80593B">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底堡乡乡镇</w:t>
            </w:r>
          </w:p>
        </w:tc>
      </w:tr>
      <w:tr w14:paraId="14CC15B5">
        <w:tblPrEx>
          <w:tblCellMar>
            <w:top w:w="0" w:type="dxa"/>
            <w:left w:w="0" w:type="dxa"/>
            <w:bottom w:w="0" w:type="dxa"/>
            <w:right w:w="0" w:type="dxa"/>
          </w:tblCellMar>
        </w:tblPrEx>
        <w:trPr>
          <w:trHeight w:val="398" w:hRule="atLeast"/>
          <w:jc w:val="center"/>
        </w:trPr>
        <w:tc>
          <w:tcPr>
            <w:tcW w:w="13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5E12AB">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年度部门整体支出预算</w:t>
            </w: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015C85">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资金总额</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96BB58">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财政拨款</w:t>
            </w:r>
          </w:p>
        </w:tc>
        <w:tc>
          <w:tcPr>
            <w:tcW w:w="19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BD9242">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其他资金</w:t>
            </w:r>
          </w:p>
        </w:tc>
      </w:tr>
      <w:tr w14:paraId="74940DCD">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F6433">
            <w:pPr>
              <w:jc w:val="center"/>
              <w:rPr>
                <w:rFonts w:hint="eastAsia" w:ascii="宋体" w:hAnsi="宋体" w:eastAsia="宋体" w:cs="宋体"/>
                <w:i w:val="0"/>
                <w:color w:val="000000"/>
                <w:sz w:val="21"/>
                <w:szCs w:val="21"/>
                <w:u w:val="none"/>
              </w:rPr>
            </w:pP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D37F44">
            <w:pPr>
              <w:keepNext w:val="0"/>
              <w:keepLines w:val="0"/>
              <w:widowControl/>
              <w:suppressLineNumbers w:val="0"/>
              <w:jc w:val="righ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1,141.07</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B4F70B">
            <w:pPr>
              <w:keepNext w:val="0"/>
              <w:keepLines w:val="0"/>
              <w:widowControl/>
              <w:suppressLineNumbers w:val="0"/>
              <w:jc w:val="righ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1,141.07</w:t>
            </w:r>
          </w:p>
        </w:tc>
        <w:tc>
          <w:tcPr>
            <w:tcW w:w="19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D61066">
            <w:pPr>
              <w:jc w:val="right"/>
              <w:rPr>
                <w:rFonts w:hint="eastAsia" w:ascii="宋体" w:hAnsi="宋体" w:eastAsia="宋体" w:cs="宋体"/>
                <w:i w:val="0"/>
                <w:color w:val="000000"/>
                <w:sz w:val="21"/>
                <w:szCs w:val="21"/>
                <w:u w:val="none"/>
              </w:rPr>
            </w:pPr>
          </w:p>
        </w:tc>
      </w:tr>
      <w:tr w14:paraId="3E539493">
        <w:tblPrEx>
          <w:tblCellMar>
            <w:top w:w="0" w:type="dxa"/>
            <w:left w:w="0" w:type="dxa"/>
            <w:bottom w:w="0" w:type="dxa"/>
            <w:right w:w="0" w:type="dxa"/>
          </w:tblCellMar>
        </w:tblPrEx>
        <w:trPr>
          <w:trHeight w:val="1145" w:hRule="atLeast"/>
          <w:jc w:val="center"/>
        </w:trPr>
        <w:tc>
          <w:tcPr>
            <w:tcW w:w="13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33326">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年度总体目标</w:t>
            </w:r>
          </w:p>
        </w:tc>
        <w:tc>
          <w:tcPr>
            <w:tcW w:w="7502" w:type="dxa"/>
            <w:gridSpan w:val="5"/>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56331C">
            <w:pPr>
              <w:keepNext w:val="0"/>
              <w:keepLines w:val="0"/>
              <w:widowControl/>
              <w:suppressLineNumbers w:val="0"/>
              <w:ind w:firstLine="420" w:firstLineChars="20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全面落实县委十五届历次全会部署，坚持以“324”产业体系为总支撑，以争创国家级农业产业强镇为契机，以创建省级四星级现代农业园区为抓手，高标准建设沐川魔芋现代农业园区核心基地。全力以赴拼经济搞建设，进一步全面深化改革，因地制宜发展新质生产力，更好统筹发展和安全，坚定不移推动底堡经济高质量发展，确保圆满收官“十四五”，奋力谱写中国式现代底堡实践新篇章。</w:t>
            </w:r>
          </w:p>
        </w:tc>
      </w:tr>
      <w:tr w14:paraId="2717F3E6">
        <w:tblPrEx>
          <w:tblCellMar>
            <w:top w:w="0" w:type="dxa"/>
            <w:left w:w="0" w:type="dxa"/>
            <w:bottom w:w="0" w:type="dxa"/>
            <w:right w:w="0" w:type="dxa"/>
          </w:tblCellMar>
        </w:tblPrEx>
        <w:trPr>
          <w:trHeight w:val="569" w:hRule="atLeast"/>
          <w:jc w:val="center"/>
        </w:trPr>
        <w:tc>
          <w:tcPr>
            <w:tcW w:w="13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97FB32">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年度主要任务</w:t>
            </w: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B1C16D">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任务名称</w:t>
            </w:r>
          </w:p>
        </w:tc>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8FC2E0">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主要内容</w:t>
            </w:r>
          </w:p>
        </w:tc>
      </w:tr>
      <w:tr w14:paraId="763FD6CF">
        <w:tblPrEx>
          <w:tblCellMar>
            <w:top w:w="0" w:type="dxa"/>
            <w:left w:w="0" w:type="dxa"/>
            <w:bottom w:w="0" w:type="dxa"/>
            <w:right w:w="0" w:type="dxa"/>
          </w:tblCellMar>
        </w:tblPrEx>
        <w:trPr>
          <w:trHeight w:val="678"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72253">
            <w:pPr>
              <w:jc w:val="center"/>
              <w:rPr>
                <w:rFonts w:hint="eastAsia" w:ascii="宋体" w:hAnsi="宋体" w:eastAsia="宋体" w:cs="宋体"/>
                <w:i w:val="0"/>
                <w:color w:val="000000"/>
                <w:sz w:val="21"/>
                <w:szCs w:val="21"/>
                <w:u w:val="none"/>
              </w:rPr>
            </w:pP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BE55A1">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坚定不移拼作风、提效能</w:t>
            </w:r>
          </w:p>
        </w:tc>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20B1F7">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全力以赴抓好抓实基层党建、巩固拓展脱贫攻坚成果和乡村振兴有效衔接、产业发展、园区创建、信访维稳、安全生产、森林防灭火、招商引资等重点工作，做到问题在一线解决、政策在一线落实、工作在一线推进。</w:t>
            </w:r>
          </w:p>
        </w:tc>
      </w:tr>
      <w:tr w14:paraId="09E26C0E">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5FCED8">
            <w:pPr>
              <w:jc w:val="center"/>
              <w:rPr>
                <w:rFonts w:hint="eastAsia" w:ascii="宋体" w:hAnsi="宋体" w:eastAsia="宋体" w:cs="宋体"/>
                <w:i w:val="0"/>
                <w:color w:val="000000"/>
                <w:sz w:val="21"/>
                <w:szCs w:val="21"/>
                <w:u w:val="none"/>
              </w:rPr>
            </w:pP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3DD3AC">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坚定不移抓产业、促振兴</w:t>
            </w:r>
          </w:p>
        </w:tc>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29F966">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力争全乡魔芋种植面积稳定在6500亩以上，全力争创国家农业产业强镇，加力推进沐川县魔芋现代农业园区创建省级四星级现代农业园区工作。</w:t>
            </w:r>
          </w:p>
        </w:tc>
      </w:tr>
      <w:tr w14:paraId="0B3BFE2C">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E5918C">
            <w:pPr>
              <w:jc w:val="center"/>
              <w:rPr>
                <w:rFonts w:hint="eastAsia" w:ascii="宋体" w:hAnsi="宋体" w:eastAsia="宋体" w:cs="宋体"/>
                <w:i w:val="0"/>
                <w:color w:val="000000"/>
                <w:sz w:val="21"/>
                <w:szCs w:val="21"/>
                <w:u w:val="none"/>
              </w:rPr>
            </w:pP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3F61F">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坚定不移拼招商、优服务</w:t>
            </w:r>
          </w:p>
        </w:tc>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10D0E9">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优化“保姆式”服务机制，实行班子成员划片包干，业务骨干多点联系，进一步优化营商环境。</w:t>
            </w:r>
          </w:p>
        </w:tc>
      </w:tr>
      <w:tr w14:paraId="041D4998">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5F1441">
            <w:pPr>
              <w:jc w:val="center"/>
              <w:rPr>
                <w:rFonts w:hint="eastAsia" w:ascii="宋体" w:hAnsi="宋体" w:eastAsia="宋体" w:cs="宋体"/>
                <w:i w:val="0"/>
                <w:color w:val="000000"/>
                <w:sz w:val="21"/>
                <w:szCs w:val="21"/>
                <w:u w:val="none"/>
              </w:rPr>
            </w:pP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20FB1E">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坚定不移惠民生、增福祉</w:t>
            </w:r>
          </w:p>
        </w:tc>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65BC53">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大力推进多渠道灵活就业，推动城乡居民医疗保险、养老保险等扩面提质，严格落实最低生活保障、特困供养、孤儿、残疾人补贴等各类兜底政策。</w:t>
            </w:r>
          </w:p>
        </w:tc>
      </w:tr>
      <w:tr w14:paraId="1D3C69AA">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4B2E6">
            <w:pPr>
              <w:jc w:val="center"/>
              <w:rPr>
                <w:rFonts w:hint="eastAsia" w:ascii="宋体" w:hAnsi="宋体" w:eastAsia="宋体" w:cs="宋体"/>
                <w:i w:val="0"/>
                <w:color w:val="000000"/>
                <w:sz w:val="21"/>
                <w:szCs w:val="21"/>
                <w:u w:val="none"/>
              </w:rPr>
            </w:pPr>
          </w:p>
        </w:tc>
        <w:tc>
          <w:tcPr>
            <w:tcW w:w="268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B55E7">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坚定不移守底线、保平安</w:t>
            </w:r>
          </w:p>
        </w:tc>
        <w:tc>
          <w:tcPr>
            <w:tcW w:w="48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4B7A0">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守牢防返贫底线，守牢安全底线，守牢廉洁底线。</w:t>
            </w:r>
          </w:p>
        </w:tc>
      </w:tr>
      <w:tr w14:paraId="4607ECB1">
        <w:tblPrEx>
          <w:tblCellMar>
            <w:top w:w="0" w:type="dxa"/>
            <w:left w:w="0" w:type="dxa"/>
            <w:bottom w:w="0" w:type="dxa"/>
            <w:right w:w="0" w:type="dxa"/>
          </w:tblCellMar>
        </w:tblPrEx>
        <w:trPr>
          <w:trHeight w:val="569" w:hRule="atLeast"/>
          <w:jc w:val="center"/>
        </w:trPr>
        <w:tc>
          <w:tcPr>
            <w:tcW w:w="13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A8320">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年度绩效指标</w:t>
            </w:r>
          </w:p>
        </w:tc>
        <w:tc>
          <w:tcPr>
            <w:tcW w:w="134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AB725D">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一级指标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E67667">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二级指标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81494">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三级指标</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4C2A5C">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绩效指标值</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F366AE">
            <w:pPr>
              <w:keepNext w:val="0"/>
              <w:keepLines w:val="0"/>
              <w:widowControl/>
              <w:suppressLineNumbers w:val="0"/>
              <w:jc w:val="center"/>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绩效度量单位</w:t>
            </w:r>
          </w:p>
        </w:tc>
      </w:tr>
      <w:tr w14:paraId="4249654A">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74D925">
            <w:pPr>
              <w:jc w:val="center"/>
              <w:rPr>
                <w:rFonts w:hint="eastAsia" w:ascii="宋体" w:hAnsi="宋体" w:eastAsia="宋体" w:cs="宋体"/>
                <w:i w:val="0"/>
                <w:color w:val="000000"/>
                <w:sz w:val="21"/>
                <w:szCs w:val="21"/>
                <w:u w:val="none"/>
              </w:rPr>
            </w:pP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B3C0F2">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产出指标</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2ABE17">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数量指标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F4BAB0">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开展全乡农村环境整治村（社区）个数</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55FF4F">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8</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5DD261">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个</w:t>
            </w:r>
          </w:p>
        </w:tc>
      </w:tr>
      <w:tr w14:paraId="47008FEF">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7B2372">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F3191B">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0044DF">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27987">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魔芋种植家庭农场等市场主体</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E69D5">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30</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C1709">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家</w:t>
            </w:r>
          </w:p>
        </w:tc>
      </w:tr>
      <w:tr w14:paraId="67FCBCBC">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A8E85">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DA6A9D">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0B0922">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D4F98D">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全乡魔芋种植面积</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533AEC">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6500</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343FA3">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亩</w:t>
            </w:r>
          </w:p>
        </w:tc>
      </w:tr>
      <w:tr w14:paraId="47B29153">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528795">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9B2CE">
            <w:pPr>
              <w:jc w:val="left"/>
              <w:rPr>
                <w:rFonts w:hint="eastAsia" w:ascii="宋体" w:hAnsi="宋体" w:eastAsia="宋体" w:cs="宋体"/>
                <w:i w:val="0"/>
                <w:color w:val="000000"/>
                <w:sz w:val="21"/>
                <w:szCs w:val="21"/>
                <w:u w:val="none"/>
              </w:rPr>
            </w:pP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4721CC">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质量指标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D5E91B">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部门目标考核等级</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675520">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优</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97C2AC">
            <w:pPr>
              <w:jc w:val="left"/>
              <w:rPr>
                <w:rFonts w:hint="eastAsia" w:ascii="宋体" w:hAnsi="宋体" w:eastAsia="宋体" w:cs="宋体"/>
                <w:i w:val="0"/>
                <w:color w:val="000000"/>
                <w:sz w:val="21"/>
                <w:szCs w:val="21"/>
                <w:u w:val="none"/>
              </w:rPr>
            </w:pPr>
          </w:p>
        </w:tc>
      </w:tr>
      <w:tr w14:paraId="74510A51">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576476">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766DA">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DD208A">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F1207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建设类项目工程质量合格率</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7C1269">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100</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1D5D0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w:t>
            </w:r>
          </w:p>
        </w:tc>
      </w:tr>
      <w:tr w14:paraId="69FACD73">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F73EC3">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FB6D5">
            <w:pPr>
              <w:jc w:val="left"/>
              <w:rPr>
                <w:rFonts w:hint="eastAsia" w:ascii="宋体" w:hAnsi="宋体" w:eastAsia="宋体" w:cs="宋体"/>
                <w:i w:val="0"/>
                <w:color w:val="000000"/>
                <w:sz w:val="21"/>
                <w:szCs w:val="21"/>
                <w:u w:val="none"/>
              </w:rPr>
            </w:pP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395FB">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时效指标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EC3D2">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项目完成周期</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079334">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12.31</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66501">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日</w:t>
            </w:r>
          </w:p>
        </w:tc>
      </w:tr>
      <w:tr w14:paraId="738D3FF6">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BE4616">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DA00CE">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9E1669">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B203B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项目完成及时率</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0FDDF3">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100</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6762F9">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w:t>
            </w:r>
          </w:p>
        </w:tc>
      </w:tr>
      <w:tr w14:paraId="69F5BD1A">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BE237">
            <w:pPr>
              <w:jc w:val="center"/>
              <w:rPr>
                <w:rFonts w:hint="eastAsia" w:ascii="宋体" w:hAnsi="宋体" w:eastAsia="宋体" w:cs="宋体"/>
                <w:i w:val="0"/>
                <w:color w:val="000000"/>
                <w:sz w:val="21"/>
                <w:szCs w:val="21"/>
                <w:u w:val="none"/>
              </w:rPr>
            </w:pP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8E8569">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效益指标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537215">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经济效益指标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C2C83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保障脱贫人口稳定增收</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7D7B5">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稳定增收</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03AB14">
            <w:pPr>
              <w:jc w:val="left"/>
              <w:rPr>
                <w:rFonts w:hint="eastAsia" w:ascii="宋体" w:hAnsi="宋体" w:eastAsia="宋体" w:cs="宋体"/>
                <w:i w:val="0"/>
                <w:color w:val="000000"/>
                <w:sz w:val="21"/>
                <w:szCs w:val="21"/>
                <w:u w:val="none"/>
              </w:rPr>
            </w:pPr>
          </w:p>
        </w:tc>
      </w:tr>
      <w:tr w14:paraId="1FCDFF0D">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CBC3CA">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70D205">
            <w:pPr>
              <w:jc w:val="left"/>
              <w:rPr>
                <w:rFonts w:hint="eastAsia" w:ascii="宋体" w:hAnsi="宋体" w:eastAsia="宋体" w:cs="宋体"/>
                <w:i w:val="0"/>
                <w:color w:val="000000"/>
                <w:sz w:val="21"/>
                <w:szCs w:val="21"/>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99AFA4B">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社会效益指标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DEAEB6">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保障人民群众生命财产安全</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E5BEEC">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持续保障</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8B8A12">
            <w:pPr>
              <w:jc w:val="left"/>
              <w:rPr>
                <w:rFonts w:hint="eastAsia" w:ascii="宋体" w:hAnsi="宋体" w:eastAsia="宋体" w:cs="宋体"/>
                <w:i w:val="0"/>
                <w:color w:val="000000"/>
                <w:sz w:val="21"/>
                <w:szCs w:val="21"/>
                <w:u w:val="none"/>
              </w:rPr>
            </w:pPr>
          </w:p>
        </w:tc>
      </w:tr>
      <w:tr w14:paraId="4272E092">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85D1C7">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02AD76">
            <w:pPr>
              <w:jc w:val="left"/>
              <w:rPr>
                <w:rFonts w:hint="eastAsia" w:ascii="宋体" w:hAnsi="宋体" w:eastAsia="宋体" w:cs="宋体"/>
                <w:i w:val="0"/>
                <w:color w:val="000000"/>
                <w:sz w:val="21"/>
                <w:szCs w:val="21"/>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2F870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生态效益指标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0DA3FB">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建设宜居宜业和美新乡村</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DF64C7">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持续改善</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8BBE42">
            <w:pPr>
              <w:jc w:val="left"/>
              <w:rPr>
                <w:rFonts w:hint="eastAsia" w:ascii="宋体" w:hAnsi="宋体" w:eastAsia="宋体" w:cs="宋体"/>
                <w:i w:val="0"/>
                <w:color w:val="000000"/>
                <w:sz w:val="21"/>
                <w:szCs w:val="21"/>
                <w:u w:val="none"/>
              </w:rPr>
            </w:pPr>
          </w:p>
        </w:tc>
      </w:tr>
      <w:tr w14:paraId="60E2F96D">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BA388">
            <w:pPr>
              <w:jc w:val="center"/>
              <w:rPr>
                <w:rFonts w:hint="eastAsia" w:ascii="宋体" w:hAnsi="宋体" w:eastAsia="宋体" w:cs="宋体"/>
                <w:i w:val="0"/>
                <w:color w:val="000000"/>
                <w:sz w:val="21"/>
                <w:szCs w:val="21"/>
                <w:u w:val="none"/>
              </w:rPr>
            </w:pP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BC1A3">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满意度指标</w:t>
            </w: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BA633">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服务对象满意度指标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E783B0">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当地群众对乡政府整体满意度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624208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98</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6C683D">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w:t>
            </w:r>
          </w:p>
        </w:tc>
      </w:tr>
      <w:tr w14:paraId="7A28708A">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80C914">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98B673">
            <w:pPr>
              <w:jc w:val="left"/>
              <w:rPr>
                <w:rFonts w:hint="eastAsia" w:ascii="宋体" w:hAnsi="宋体" w:eastAsia="宋体" w:cs="宋体"/>
                <w:i w:val="0"/>
                <w:color w:val="000000"/>
                <w:sz w:val="21"/>
                <w:szCs w:val="21"/>
                <w:u w:val="none"/>
              </w:rPr>
            </w:pPr>
          </w:p>
        </w:tc>
        <w:tc>
          <w:tcPr>
            <w:tcW w:w="133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2C4982">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满意度指标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7073E">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上级部门对本乡工作的满意度</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678ECB">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96</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02411">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w:t>
            </w:r>
          </w:p>
        </w:tc>
      </w:tr>
      <w:tr w14:paraId="058E5782">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65DB04">
            <w:pPr>
              <w:jc w:val="center"/>
              <w:rPr>
                <w:rFonts w:hint="eastAsia" w:ascii="宋体" w:hAnsi="宋体" w:eastAsia="宋体" w:cs="宋体"/>
                <w:i w:val="0"/>
                <w:color w:val="000000"/>
                <w:sz w:val="21"/>
                <w:szCs w:val="21"/>
                <w:u w:val="none"/>
              </w:rPr>
            </w:pPr>
          </w:p>
        </w:tc>
        <w:tc>
          <w:tcPr>
            <w:tcW w:w="134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EF534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成本指标</w:t>
            </w:r>
          </w:p>
        </w:tc>
        <w:tc>
          <w:tcPr>
            <w:tcW w:w="133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E01792">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经济成本指标</w:t>
            </w: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714999">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社区、村组干部经费、驻村工作经费、政协事务经费</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6E9096">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297</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A8DCC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万元</w:t>
            </w:r>
          </w:p>
        </w:tc>
      </w:tr>
      <w:tr w14:paraId="1284923A">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4B80C">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3CA709">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A37A4B">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6411DF">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村级公共服务经费</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77E45">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131</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7E7126">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万元</w:t>
            </w:r>
          </w:p>
        </w:tc>
      </w:tr>
      <w:tr w14:paraId="6013D56E">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448250">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D33B3F">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4C6E1F">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7ACB61">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公用经费</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A1DDFC">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103</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FBBB8A">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万元</w:t>
            </w:r>
          </w:p>
        </w:tc>
      </w:tr>
      <w:tr w14:paraId="3CDB9613">
        <w:tblPrEx>
          <w:tblCellMar>
            <w:top w:w="0" w:type="dxa"/>
            <w:left w:w="0" w:type="dxa"/>
            <w:bottom w:w="0" w:type="dxa"/>
            <w:right w:w="0" w:type="dxa"/>
          </w:tblCellMar>
        </w:tblPrEx>
        <w:trPr>
          <w:trHeight w:val="678"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4A33DF">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3ED335">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7F534D">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E57921">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普法、民兵、人大费用、安全监管、老龄卫生健康事务、便民服务中心日常运维等经费</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E558A3">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21</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DFAFB0">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万元</w:t>
            </w:r>
          </w:p>
        </w:tc>
      </w:tr>
      <w:tr w14:paraId="5A44F8C6">
        <w:tblPrEx>
          <w:tblCellMar>
            <w:top w:w="0" w:type="dxa"/>
            <w:left w:w="0" w:type="dxa"/>
            <w:bottom w:w="0" w:type="dxa"/>
            <w:right w:w="0" w:type="dxa"/>
          </w:tblCellMar>
        </w:tblPrEx>
        <w:trPr>
          <w:trHeight w:val="569" w:hRule="atLeast"/>
          <w:jc w:val="center"/>
        </w:trPr>
        <w:tc>
          <w:tcPr>
            <w:tcW w:w="13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24CAF2">
            <w:pPr>
              <w:jc w:val="center"/>
              <w:rPr>
                <w:rFonts w:hint="eastAsia" w:ascii="宋体" w:hAnsi="宋体" w:eastAsia="宋体" w:cs="宋体"/>
                <w:i w:val="0"/>
                <w:color w:val="000000"/>
                <w:sz w:val="21"/>
                <w:szCs w:val="21"/>
                <w:u w:val="none"/>
              </w:rPr>
            </w:pPr>
          </w:p>
        </w:tc>
        <w:tc>
          <w:tcPr>
            <w:tcW w:w="134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17A482">
            <w:pPr>
              <w:jc w:val="left"/>
              <w:rPr>
                <w:rFonts w:hint="eastAsia" w:ascii="宋体" w:hAnsi="宋体" w:eastAsia="宋体" w:cs="宋体"/>
                <w:i w:val="0"/>
                <w:color w:val="000000"/>
                <w:sz w:val="21"/>
                <w:szCs w:val="21"/>
                <w:u w:val="none"/>
              </w:rPr>
            </w:pPr>
          </w:p>
        </w:tc>
        <w:tc>
          <w:tcPr>
            <w:tcW w:w="133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967BAB">
            <w:pPr>
              <w:jc w:val="left"/>
              <w:rPr>
                <w:rFonts w:hint="eastAsia" w:ascii="宋体" w:hAnsi="宋体" w:eastAsia="宋体" w:cs="宋体"/>
                <w:i w:val="0"/>
                <w:color w:val="000000"/>
                <w:sz w:val="21"/>
                <w:szCs w:val="21"/>
                <w:u w:val="none"/>
              </w:rPr>
            </w:pPr>
          </w:p>
        </w:tc>
        <w:tc>
          <w:tcPr>
            <w:tcW w:w="29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9935A7">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人员经费</w:t>
            </w:r>
          </w:p>
        </w:tc>
        <w:tc>
          <w:tcPr>
            <w:tcW w:w="11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0A9B6C">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581</w:t>
            </w:r>
          </w:p>
        </w:tc>
        <w:tc>
          <w:tcPr>
            <w:tcW w:w="7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E14911">
            <w:pPr>
              <w:keepNext w:val="0"/>
              <w:keepLines w:val="0"/>
              <w:widowControl/>
              <w:suppressLineNumbers w:val="0"/>
              <w:jc w:val="left"/>
              <w:textAlignment w:val="center"/>
              <w:rPr>
                <w:rFonts w:ascii="宋体" w:hAnsi="宋体" w:eastAsia="宋体" w:cs="宋体"/>
                <w:i w:val="0"/>
                <w:color w:val="000000"/>
                <w:sz w:val="21"/>
                <w:szCs w:val="21"/>
                <w:u w:val="none"/>
              </w:rPr>
            </w:pPr>
            <w:r>
              <w:rPr>
                <w:rFonts w:ascii="宋体" w:hAnsi="宋体" w:eastAsia="宋体" w:cs="宋体"/>
                <w:i w:val="0"/>
                <w:color w:val="000000"/>
                <w:kern w:val="0"/>
                <w:sz w:val="21"/>
                <w:szCs w:val="21"/>
                <w:u w:val="none"/>
                <w:lang w:val="en-US" w:eastAsia="zh-CN" w:bidi="ar"/>
              </w:rPr>
              <w:t>万元</w:t>
            </w:r>
          </w:p>
        </w:tc>
      </w:tr>
    </w:tbl>
    <w:p w14:paraId="011CC4DA">
      <w:pPr>
        <w:rPr>
          <w:rFonts w:hint="eastAsia" w:ascii="Times New Roman" w:hAnsi="Times New Roman" w:cs="Times New Roman"/>
          <w:sz w:val="32"/>
          <w:szCs w:val="32"/>
          <w:highlight w:val="yellow"/>
          <w:lang w:val="zh-CN" w:eastAsia="zh-CN"/>
        </w:rPr>
      </w:pPr>
      <w:r>
        <w:rPr>
          <w:rFonts w:hint="eastAsia" w:ascii="Times New Roman" w:eastAsia="仿宋_GB2312" w:cs="仿宋_GB2312"/>
          <w:b w:val="0"/>
          <w:bCs w:val="0"/>
          <w:kern w:val="0"/>
          <w:position w:val="0"/>
          <w:sz w:val="32"/>
          <w:szCs w:val="32"/>
          <w:highlight w:val="none"/>
          <w:lang w:val="en-US" w:eastAsia="zh-CN" w:bidi="ar-SA"/>
        </w:rPr>
        <w:br w:type="page"/>
      </w:r>
    </w:p>
    <w:p w14:paraId="2AF66024">
      <w:pPr>
        <w:pStyle w:val="3"/>
        <w:pageBreakBefore/>
        <w:bidi w:val="0"/>
        <w:spacing w:before="0" w:after="0" w:line="600" w:lineRule="exact"/>
        <w:jc w:val="left"/>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黑体" w:cs="黑体"/>
          <w:b w:val="0"/>
          <w:bCs w:val="0"/>
          <w:color w:val="auto"/>
          <w:kern w:val="0"/>
          <w:sz w:val="32"/>
          <w:szCs w:val="32"/>
          <w:highlight w:val="none"/>
          <w:shd w:val="clear" w:color="auto" w:fill="FFFFFF"/>
          <w:lang w:val="zh-CN"/>
        </w:rPr>
        <w:t>附件</w:t>
      </w:r>
      <w:r>
        <w:rPr>
          <w:rFonts w:hint="eastAsia" w:ascii="Times New Roman" w:hAnsi="Times New Roman" w:eastAsia="黑体" w:cs="黑体"/>
          <w:b w:val="0"/>
          <w:bCs w:val="0"/>
          <w:color w:val="auto"/>
          <w:kern w:val="0"/>
          <w:sz w:val="32"/>
          <w:szCs w:val="32"/>
          <w:highlight w:val="none"/>
          <w:shd w:val="clear" w:color="auto" w:fill="FFFFFF"/>
          <w:lang w:val="en-US" w:eastAsia="zh-CN"/>
        </w:rPr>
        <w:t>2</w:t>
      </w:r>
    </w:p>
    <w:p w14:paraId="1804CF4D">
      <w:pPr>
        <w:pStyle w:val="3"/>
        <w:keepNext/>
        <w:keepLines/>
        <w:pageBreakBefore w:val="0"/>
        <w:widowControl w:val="0"/>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color w:val="auto"/>
          <w:highlight w:val="none"/>
          <w:lang w:val="en-US" w:eastAsia="zh-CN"/>
        </w:rPr>
      </w:pPr>
      <w:bookmarkStart w:id="83" w:name="_Toc1291_WPSOffice_Level2"/>
      <w:r>
        <w:rPr>
          <w:rFonts w:hint="eastAsia" w:ascii="Times New Roman" w:hAnsi="Times New Roman" w:eastAsia="方正小标宋简体" w:cs="方正小标宋简体"/>
          <w:b w:val="0"/>
          <w:color w:val="auto"/>
          <w:highlight w:val="none"/>
          <w:lang w:val="en-US" w:eastAsia="zh-CN"/>
        </w:rPr>
        <w:t>专项预算项目绩效评价报告范本</w:t>
      </w:r>
      <w:bookmarkEnd w:id="83"/>
    </w:p>
    <w:p w14:paraId="304E6C79">
      <w:pPr>
        <w:pStyle w:val="4"/>
        <w:bidi w:val="0"/>
        <w:spacing w:line="600" w:lineRule="exact"/>
        <w:ind w:left="0" w:right="0" w:firstLine="640" w:firstLineChars="200"/>
        <w:rPr>
          <w:rFonts w:hint="eastAsia" w:eastAsia="黑体" w:asciiTheme="majorAscii" w:hAnsiTheme="majorAscii"/>
          <w:b w:val="0"/>
          <w:lang w:val="zh-CN"/>
        </w:rPr>
      </w:pPr>
      <w:bookmarkStart w:id="84" w:name="_Toc3460_WPSOffice_Level2"/>
      <w:r>
        <w:rPr>
          <w:rFonts w:hint="eastAsia" w:eastAsia="黑体" w:asciiTheme="majorAscii" w:hAnsiTheme="majorAscii"/>
          <w:b w:val="0"/>
        </w:rPr>
        <w:t>一、</w:t>
      </w:r>
      <w:r>
        <w:rPr>
          <w:rFonts w:hint="eastAsia" w:eastAsia="黑体" w:asciiTheme="majorAscii" w:hAnsiTheme="majorAscii"/>
          <w:b w:val="0"/>
          <w:lang w:val="zh-CN"/>
        </w:rPr>
        <w:t>项目概况</w:t>
      </w:r>
      <w:bookmarkEnd w:id="84"/>
    </w:p>
    <w:p w14:paraId="3138D645">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（一）设立背景及基本情况。</w:t>
      </w:r>
    </w:p>
    <w:p w14:paraId="42C89068">
      <w:pPr>
        <w:keepNext w:val="0"/>
        <w:keepLines w:val="0"/>
        <w:pageBreakBefore w:val="0"/>
        <w:kinsoku/>
        <w:wordWrap/>
        <w:overflowPunct/>
        <w:topLinePunct w:val="0"/>
        <w:autoSpaceDE/>
        <w:autoSpaceDN/>
        <w:bidi w:val="0"/>
        <w:adjustRightInd w:val="0"/>
        <w:snapToGrid w:val="0"/>
        <w:spacing w:line="578" w:lineRule="exact"/>
        <w:ind w:left="0" w:leftChars="0" w:firstLine="640" w:firstLineChars="200"/>
        <w:textAlignment w:val="auto"/>
        <w:rPr>
          <w:rFonts w:hint="eastAsia" w:ascii="仿宋_GB2312" w:hAnsi="仿宋_GB2312" w:eastAsia="仿宋_GB2312" w:cs="仿宋_GB2312"/>
          <w:b w:val="0"/>
          <w:bCs/>
          <w:color w:val="auto"/>
          <w:sz w:val="32"/>
          <w:szCs w:val="32"/>
          <w:highlight w:val="none"/>
          <w:u w:val="none"/>
          <w:lang w:val="zh-CN"/>
        </w:rPr>
      </w:pPr>
      <w:r>
        <w:rPr>
          <w:rFonts w:hint="eastAsia" w:ascii="仿宋_GB2312" w:hAnsi="仿宋_GB2312" w:eastAsia="仿宋_GB2312" w:cs="仿宋_GB2312"/>
          <w:b w:val="0"/>
          <w:bCs/>
          <w:color w:val="auto"/>
          <w:sz w:val="32"/>
          <w:szCs w:val="32"/>
          <w:highlight w:val="none"/>
          <w:u w:val="none"/>
          <w:lang w:val="zh-CN"/>
        </w:rPr>
        <w:t>底堡乡2025年项目为：乡镇便民服务中心（站）日常运维费、村(社区)代办点日常运维费、乡镇民兵业务经费、乡镇普法依法治理经费、乡镇老协活动经费、农村生活垃圾治理资金、乡镇环境综合治理长效管理经费、第一书记和工作队工作经费、2025年免开中央、省级、县级资金、乡镇安全监管工作经费、困难群众临时救助资金等36个专项项目。</w:t>
      </w:r>
    </w:p>
    <w:p w14:paraId="42E034F3">
      <w:pPr>
        <w:pStyle w:val="5"/>
        <w:bidi w:val="0"/>
        <w:spacing w:before="0" w:after="0" w:line="600" w:lineRule="exact"/>
        <w:ind w:firstLine="643" w:firstLineChars="200"/>
        <w:rPr>
          <w:rFonts w:hint="eastAsia" w:eastAsia="楷体_GB2312"/>
          <w:lang w:val="en-US" w:eastAsia="zh-CN"/>
        </w:rPr>
      </w:pPr>
      <w:r>
        <w:rPr>
          <w:rFonts w:hint="eastAsia" w:eastAsia="楷体_GB2312"/>
          <w:lang w:val="en-US" w:eastAsia="zh-CN"/>
        </w:rPr>
        <w:t>（二）</w:t>
      </w:r>
      <w:r>
        <w:rPr>
          <w:rFonts w:hint="default" w:eastAsia="楷体_GB2312"/>
          <w:lang w:val="en-US" w:eastAsia="zh-CN"/>
        </w:rPr>
        <w:t>实施目的及支持方向</w:t>
      </w:r>
      <w:r>
        <w:rPr>
          <w:rFonts w:hint="eastAsia" w:eastAsia="楷体_GB2312"/>
          <w:lang w:val="en-US" w:eastAsia="zh-CN"/>
        </w:rPr>
        <w:t>。</w:t>
      </w:r>
    </w:p>
    <w:p w14:paraId="2261F40F">
      <w:pPr>
        <w:pStyle w:val="2"/>
        <w:numPr>
          <w:ilvl w:val="0"/>
          <w:numId w:val="0"/>
        </w:numPr>
        <w:ind w:firstLine="640" w:firstLineChars="200"/>
        <w:rPr>
          <w:rFonts w:hint="default" w:ascii="仿宋_GB2312" w:hAnsi="宋体" w:eastAsia="仿宋_GB2312" w:cs="Times New Roman"/>
          <w:kern w:val="2"/>
          <w:sz w:val="32"/>
          <w:szCs w:val="32"/>
          <w:lang w:val="en-US" w:eastAsia="zh-CN" w:bidi="ar-SA"/>
        </w:rPr>
      </w:pPr>
      <w:r>
        <w:rPr>
          <w:rFonts w:hint="eastAsia" w:ascii="仿宋_GB2312" w:hAnsi="宋体" w:eastAsia="仿宋_GB2312" w:cs="Times New Roman"/>
          <w:kern w:val="2"/>
          <w:sz w:val="32"/>
          <w:szCs w:val="32"/>
          <w:lang w:val="en-US" w:eastAsia="zh-CN" w:bidi="ar-SA"/>
        </w:rPr>
        <w:t>专项项目旨在解决群众急难愁盼的民生问题，保障基层组织履职尽责，提升公共服务水平，促进社会和谐稳定。支持社会保障，提高养老保险、医疗保险，帮助困难群众；村级运维费用支持村集体组织发挥职能，保障村基础设施建设完善；人大、政协工作项目，支持基层政权建设。</w:t>
      </w:r>
    </w:p>
    <w:p w14:paraId="5694D611">
      <w:pPr>
        <w:pStyle w:val="5"/>
        <w:bidi w:val="0"/>
        <w:spacing w:before="0" w:after="0" w:line="600" w:lineRule="exact"/>
        <w:ind w:firstLine="643" w:firstLineChars="200"/>
        <w:rPr>
          <w:rFonts w:hint="default" w:eastAsia="楷体_GB2312"/>
          <w:lang w:val="en-US" w:eastAsia="zh-CN"/>
        </w:rPr>
      </w:pPr>
      <w:r>
        <w:rPr>
          <w:rFonts w:hint="eastAsia" w:eastAsia="楷体_GB2312"/>
          <w:lang w:val="en-US" w:eastAsia="zh-CN"/>
        </w:rPr>
        <w:t>（三）</w:t>
      </w:r>
      <w:r>
        <w:rPr>
          <w:rFonts w:hint="default" w:eastAsia="楷体_GB2312"/>
          <w:lang w:val="en-US" w:eastAsia="zh-CN"/>
        </w:rPr>
        <w:t>预算安排及分配管理</w:t>
      </w:r>
      <w:r>
        <w:rPr>
          <w:rFonts w:hint="eastAsia" w:eastAsia="楷体_GB2312"/>
          <w:lang w:val="zh-CN" w:eastAsia="zh-CN"/>
        </w:rPr>
        <w:t>。</w:t>
      </w:r>
    </w:p>
    <w:p w14:paraId="6F8E95E7">
      <w:pPr>
        <w:pStyle w:val="2"/>
        <w:numPr>
          <w:ilvl w:val="0"/>
          <w:numId w:val="0"/>
        </w:numPr>
        <w:ind w:firstLine="640" w:firstLineChars="200"/>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仿宋_GB2312" w:hAnsi="宋体" w:eastAsia="仿宋_GB2312" w:cs="Times New Roman"/>
          <w:kern w:val="2"/>
          <w:sz w:val="32"/>
          <w:szCs w:val="32"/>
          <w:lang w:val="en-US" w:eastAsia="zh-CN" w:bidi="ar-SA"/>
        </w:rPr>
        <w:t>项目预算安排以及财政拨款为主，资金分配按照各项目年初预算金额、实际需求，考虑各项目工作量、实施时间、服务对象数量等因素进行资金分配与管理。</w:t>
      </w:r>
    </w:p>
    <w:p w14:paraId="6BF6F853">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w:t>
      </w:r>
      <w:r>
        <w:rPr>
          <w:rFonts w:hint="eastAsia" w:eastAsia="楷体_GB2312"/>
          <w:lang w:val="en-US" w:eastAsia="zh-CN"/>
        </w:rPr>
        <w:t>四</w:t>
      </w:r>
      <w:r>
        <w:rPr>
          <w:rFonts w:hint="eastAsia" w:eastAsia="楷体_GB2312"/>
          <w:lang w:val="zh-CN" w:eastAsia="zh-CN"/>
        </w:rPr>
        <w:t>）项目绩效目标设置。</w:t>
      </w:r>
    </w:p>
    <w:p w14:paraId="18BAFD8C">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leftChars="0" w:firstLine="640" w:firstLineChars="200"/>
        <w:jc w:val="left"/>
        <w:textAlignment w:val="auto"/>
        <w:rPr>
          <w:rFonts w:hint="eastAsia" w:ascii="仿宋_GB2312" w:hAnsi="宋体" w:eastAsia="仿宋_GB2312" w:cs="Times New Roman"/>
          <w:kern w:val="2"/>
          <w:sz w:val="32"/>
          <w:szCs w:val="32"/>
          <w:lang w:val="zh-CN" w:eastAsia="zh-CN" w:bidi="ar-SA"/>
        </w:rPr>
      </w:pPr>
      <w:r>
        <w:rPr>
          <w:rFonts w:hint="eastAsia" w:ascii="仿宋_GB2312" w:hAnsi="宋体" w:eastAsia="仿宋_GB2312" w:cs="Times New Roman"/>
          <w:kern w:val="2"/>
          <w:sz w:val="32"/>
          <w:szCs w:val="32"/>
          <w:lang w:val="zh-CN" w:eastAsia="zh-CN" w:bidi="ar-SA"/>
        </w:rPr>
        <w:t>各项目按照实际设定明确绩效目标，民生项目（困难群众救助等）目标为解决群众急难愁盼的民生问题，保障群众生活水平，促进社会稳定；主席团经费目标以保障组织履职尽责开展活动，自评工作将设定绩效目标与实际实施成效进行比较，确保资金使用效率。</w:t>
      </w:r>
    </w:p>
    <w:p w14:paraId="38F46194">
      <w:pPr>
        <w:pStyle w:val="4"/>
        <w:bidi w:val="0"/>
        <w:spacing w:line="600" w:lineRule="exact"/>
        <w:ind w:left="0" w:right="0" w:firstLine="640" w:firstLineChars="200"/>
        <w:rPr>
          <w:rFonts w:hint="eastAsia" w:eastAsia="黑体" w:asciiTheme="majorAscii" w:hAnsiTheme="majorAscii"/>
          <w:b w:val="0"/>
          <w:lang w:eastAsia="zh-CN"/>
        </w:rPr>
      </w:pPr>
      <w:bookmarkStart w:id="85" w:name="_Toc31057_WPSOffice_Level2"/>
      <w:r>
        <w:rPr>
          <w:rFonts w:hint="eastAsia" w:eastAsia="黑体" w:asciiTheme="majorAscii" w:hAnsiTheme="majorAscii"/>
          <w:b w:val="0"/>
          <w:lang w:eastAsia="zh-CN"/>
        </w:rPr>
        <w:t>二、评价实施</w:t>
      </w:r>
      <w:bookmarkEnd w:id="85"/>
    </w:p>
    <w:p w14:paraId="38A84F5D">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（一）评价目的。</w:t>
      </w:r>
    </w:p>
    <w:p w14:paraId="50AD18D8">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zh-CN" w:eastAsia="zh-CN"/>
        </w:rPr>
        <w:t>通过绩效自评，检验项目资金使用效果，评估目标完成情况，发现问题并优化管理，提高财政资金使用效率。</w:t>
      </w:r>
    </w:p>
    <w:p w14:paraId="1531A74B">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w:t>
      </w:r>
      <w:r>
        <w:rPr>
          <w:rFonts w:hint="eastAsia" w:eastAsia="楷体_GB2312"/>
          <w:lang w:val="en-US" w:eastAsia="zh-CN"/>
        </w:rPr>
        <w:t>二</w:t>
      </w:r>
      <w:r>
        <w:rPr>
          <w:rFonts w:hint="eastAsia" w:eastAsia="楷体_GB2312"/>
          <w:lang w:val="zh-CN" w:eastAsia="zh-CN"/>
        </w:rPr>
        <w:t>）预设问题及评价重点。</w:t>
      </w:r>
    </w:p>
    <w:p w14:paraId="06CFC6FD">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zh-CN" w:eastAsia="zh-CN"/>
        </w:rPr>
        <w:t>预设问题包括资金使用合规性、目标完成度、社会效益等。评价重点为资金文出过程、绩效目标实现情况及群众满意度。</w:t>
      </w:r>
    </w:p>
    <w:p w14:paraId="63724DDD">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w:t>
      </w:r>
      <w:r>
        <w:rPr>
          <w:rFonts w:hint="eastAsia" w:eastAsia="楷体_GB2312"/>
          <w:lang w:val="en-US" w:eastAsia="zh-CN"/>
        </w:rPr>
        <w:t>三</w:t>
      </w:r>
      <w:r>
        <w:rPr>
          <w:rFonts w:hint="eastAsia" w:eastAsia="楷体_GB2312"/>
          <w:lang w:val="zh-CN" w:eastAsia="zh-CN"/>
        </w:rPr>
        <w:t>）评价选点。</w:t>
      </w:r>
    </w:p>
    <w:p w14:paraId="5209EB4F">
      <w:pPr>
        <w:keepNext w:val="0"/>
        <w:keepLines w:val="0"/>
        <w:pageBreakBefore w:val="0"/>
        <w:widowControl w:val="0"/>
        <w:numPr>
          <w:ilvl w:val="0"/>
          <w:numId w:val="0"/>
        </w:numPr>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仿宋_GB2312" w:hAnsi="仿宋_GB2312" w:eastAsia="仿宋_GB2312" w:cs="Times New Roman"/>
          <w:kern w:val="0"/>
          <w:sz w:val="32"/>
          <w:szCs w:val="24"/>
          <w:lang w:val="zh-CN" w:eastAsia="zh-CN" w:bidi="ar-SA"/>
        </w:rPr>
        <w:t>覆盖所有3</w:t>
      </w:r>
      <w:r>
        <w:rPr>
          <w:rFonts w:hint="eastAsia" w:ascii="仿宋_GB2312" w:hAnsi="仿宋_GB2312" w:eastAsia="仿宋_GB2312" w:cs="Times New Roman"/>
          <w:kern w:val="0"/>
          <w:sz w:val="32"/>
          <w:szCs w:val="24"/>
          <w:lang w:val="en-US" w:eastAsia="zh-CN" w:bidi="ar-SA"/>
        </w:rPr>
        <w:t>6</w:t>
      </w:r>
      <w:r>
        <w:rPr>
          <w:rFonts w:hint="eastAsia" w:ascii="仿宋_GB2312" w:hAnsi="仿宋_GB2312" w:eastAsia="仿宋_GB2312" w:cs="Times New Roman"/>
          <w:kern w:val="0"/>
          <w:sz w:val="32"/>
          <w:szCs w:val="24"/>
          <w:lang w:val="zh-CN" w:eastAsia="zh-CN" w:bidi="ar-SA"/>
        </w:rPr>
        <w:t>个项目点位，涉及人大、政协、文化、民生、基建等不同领域，具有全面性和代表性。</w:t>
      </w:r>
    </w:p>
    <w:p w14:paraId="5B6BFE52">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w:t>
      </w:r>
      <w:r>
        <w:rPr>
          <w:rFonts w:hint="eastAsia" w:eastAsia="楷体_GB2312"/>
          <w:lang w:val="en-US" w:eastAsia="zh-CN"/>
        </w:rPr>
        <w:t>四</w:t>
      </w:r>
      <w:r>
        <w:rPr>
          <w:rFonts w:hint="eastAsia" w:eastAsia="楷体_GB2312"/>
          <w:lang w:val="zh-CN" w:eastAsia="zh-CN"/>
        </w:rPr>
        <w:t>）评价方法。</w:t>
      </w:r>
    </w:p>
    <w:p w14:paraId="43C5E982">
      <w:pPr>
        <w:pStyle w:val="6"/>
        <w:bidi w:val="0"/>
        <w:spacing w:beforeLines="-2147483648" w:line="600" w:lineRule="exact"/>
        <w:ind w:firstLine="640" w:firstLineChars="200"/>
        <w:rPr>
          <w:rFonts w:hint="eastAsia" w:hAnsi="仿宋_GB2312"/>
          <w:sz w:val="32"/>
          <w:lang w:val="zh-CN" w:eastAsia="zh-CN"/>
        </w:rPr>
      </w:pPr>
      <w:r>
        <w:rPr>
          <w:rFonts w:hint="eastAsia" w:hAnsi="仿宋_GB2312"/>
          <w:sz w:val="32"/>
          <w:lang w:val="en-US" w:eastAsia="zh-CN"/>
        </w:rPr>
        <w:t>采用单位自评法，通过查阅项目资料、对比绩效指标完成情况进行评价，部分项目参考群众满意度数据。</w:t>
      </w:r>
    </w:p>
    <w:p w14:paraId="2CDF2808">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w:t>
      </w:r>
      <w:r>
        <w:rPr>
          <w:rFonts w:hint="eastAsia" w:eastAsia="楷体_GB2312"/>
          <w:lang w:val="en-US" w:eastAsia="zh-CN"/>
        </w:rPr>
        <w:t>五</w:t>
      </w:r>
      <w:r>
        <w:rPr>
          <w:rFonts w:hint="eastAsia" w:eastAsia="楷体_GB2312"/>
          <w:lang w:val="zh-CN" w:eastAsia="zh-CN"/>
        </w:rPr>
        <w:t>）评价组织。</w:t>
      </w:r>
    </w:p>
    <w:p w14:paraId="05CB3A2A">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评价组织由乡财政、各项目主管部门人员组成，负责资料收集、指标分析及评分工作，确保评价客观公正。</w:t>
      </w:r>
    </w:p>
    <w:p w14:paraId="13050478">
      <w:pPr>
        <w:pStyle w:val="4"/>
        <w:bidi w:val="0"/>
        <w:rPr>
          <w:lang w:val="zh-CN"/>
        </w:rPr>
      </w:pPr>
      <w:bookmarkStart w:id="86" w:name="_Toc11633_WPSOffice_Level2"/>
      <w:r>
        <w:rPr>
          <w:rFonts w:hint="eastAsia"/>
          <w:lang w:val="en-US" w:eastAsia="zh-CN"/>
        </w:rPr>
        <w:t>三、绩效分析</w:t>
      </w:r>
      <w:bookmarkEnd w:id="86"/>
      <w:r>
        <w:rPr>
          <w:rFonts w:hint="eastAsia"/>
          <w:lang w:val="zh-CN"/>
        </w:rPr>
        <w:tab/>
      </w:r>
    </w:p>
    <w:p w14:paraId="30626AF4">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default" w:ascii="仿宋_GB2312" w:hAnsi="仿宋_GB2312" w:eastAsia="仿宋_GB2312" w:cs="Times New Roman"/>
          <w:kern w:val="0"/>
          <w:sz w:val="32"/>
          <w:szCs w:val="24"/>
          <w:lang w:val="zh-CN" w:eastAsia="zh-CN" w:bidi="ar-SA"/>
        </w:rPr>
      </w:pPr>
      <w:r>
        <w:rPr>
          <w:rFonts w:hint="default" w:ascii="仿宋_GB2312" w:hAnsi="仿宋_GB2312" w:eastAsia="仿宋_GB2312" w:cs="Times New Roman"/>
          <w:kern w:val="0"/>
          <w:sz w:val="32"/>
          <w:szCs w:val="24"/>
          <w:lang w:val="zh-CN" w:eastAsia="zh-CN" w:bidi="ar-SA"/>
        </w:rPr>
        <w:t>根据项目预算绩效评价指标体系“通用指标”“专用指标”“个性指标”涉及二、三级指标进行逐项绩效分析并评分。</w:t>
      </w:r>
    </w:p>
    <w:p w14:paraId="0171D4C3">
      <w:pPr>
        <w:pStyle w:val="5"/>
        <w:bidi w:val="0"/>
        <w:spacing w:before="0" w:after="0" w:line="600" w:lineRule="exact"/>
        <w:ind w:firstLine="643" w:firstLineChars="200"/>
        <w:rPr>
          <w:rFonts w:hint="eastAsia" w:eastAsia="楷体_GB2312"/>
          <w:lang w:val="en-US" w:eastAsia="zh-CN"/>
        </w:rPr>
      </w:pPr>
      <w:r>
        <w:rPr>
          <w:rFonts w:hint="default" w:eastAsia="楷体_GB2312"/>
          <w:lang w:val="zh-CN" w:eastAsia="zh-CN"/>
        </w:rPr>
        <w:t>（一）</w:t>
      </w:r>
      <w:r>
        <w:rPr>
          <w:rFonts w:hint="default" w:eastAsia="楷体_GB2312"/>
          <w:lang w:val="en-US" w:eastAsia="zh-CN"/>
        </w:rPr>
        <w:t>通用指标</w:t>
      </w:r>
      <w:r>
        <w:rPr>
          <w:rFonts w:hint="default" w:eastAsia="楷体_GB2312"/>
          <w:lang w:val="zh-CN" w:eastAsia="zh-CN"/>
        </w:rPr>
        <w:t>绩效分析。</w:t>
      </w:r>
    </w:p>
    <w:p w14:paraId="679673F2">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1.项目决策。</w:t>
      </w:r>
    </w:p>
    <w:p w14:paraId="5684C8CE">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项目立项依据充分，符合基层治理需求；规划论证结合本乡实际，资金投向精准聚焦重点领域。</w:t>
      </w:r>
    </w:p>
    <w:p w14:paraId="3DE3345C">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2.项目管理。</w:t>
      </w:r>
    </w:p>
    <w:p w14:paraId="3EFA8CD3">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资金分配遵循规定程序，按预算和工作进度拨付；绩效监管通过自评机制实现，确保资金使用规范</w:t>
      </w:r>
    </w:p>
    <w:p w14:paraId="61F9DBAB">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3.项目实施。</w:t>
      </w:r>
    </w:p>
    <w:p w14:paraId="35B1D899">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多数项目预算执行率高，如村运维费、村社区保洁员经费等全额使用；资金使用符合用途，无违规情况。</w:t>
      </w:r>
    </w:p>
    <w:p w14:paraId="17890315">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4.项目结果。</w:t>
      </w:r>
    </w:p>
    <w:p w14:paraId="36FBF67E">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大部分项目目标完成良好，民生项目满意度达95%以上。</w:t>
      </w:r>
    </w:p>
    <w:p w14:paraId="3CAB318F">
      <w:pPr>
        <w:pStyle w:val="5"/>
        <w:bidi w:val="0"/>
        <w:spacing w:before="0" w:after="0" w:line="600" w:lineRule="exact"/>
        <w:ind w:firstLine="643" w:firstLineChars="200"/>
        <w:rPr>
          <w:rFonts w:hint="eastAsia" w:eastAsia="楷体_GB2312"/>
          <w:lang w:val="zh-CN" w:eastAsia="zh-CN"/>
        </w:rPr>
      </w:pPr>
      <w:r>
        <w:rPr>
          <w:rFonts w:hint="eastAsia" w:eastAsia="楷体_GB2312"/>
          <w:lang w:val="zh-CN" w:eastAsia="zh-CN"/>
        </w:rPr>
        <w:t>（二）</w:t>
      </w:r>
      <w:r>
        <w:rPr>
          <w:rFonts w:hint="eastAsia" w:eastAsia="楷体_GB2312"/>
          <w:lang w:val="en-US" w:eastAsia="zh-CN"/>
        </w:rPr>
        <w:t>专用指标</w:t>
      </w:r>
      <w:r>
        <w:rPr>
          <w:rFonts w:hint="default" w:eastAsia="楷体_GB2312"/>
          <w:lang w:val="zh-CN" w:eastAsia="zh-CN"/>
        </w:rPr>
        <w:t>绩效分析。</w:t>
      </w:r>
    </w:p>
    <w:p w14:paraId="79D0B184">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1.产业发展。</w:t>
      </w:r>
    </w:p>
    <w:p w14:paraId="494E5361">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涉及项目预算执行较高，符合年初预算设定绩效目标，保障单位项目正常开展，为本乡产业发展奠定坚实资金基础。</w:t>
      </w:r>
    </w:p>
    <w:p w14:paraId="07EC31A3">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2.</w:t>
      </w:r>
      <w:r>
        <w:rPr>
          <w:rFonts w:hint="eastAsia" w:ascii="仿宋_GB2312" w:hAnsi="仿宋_GB2312" w:eastAsia="仿宋_GB2312" w:cs="Times New Roman"/>
          <w:kern w:val="0"/>
          <w:sz w:val="32"/>
          <w:szCs w:val="24"/>
          <w:lang w:val="zh-CN" w:eastAsia="zh-CN" w:bidi="ar-SA"/>
        </w:rPr>
        <w:t>民生保障。</w:t>
      </w:r>
    </w:p>
    <w:p w14:paraId="43106F12">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困难群众救助、村社区养老保险、医疗保险、小额保险等项目实施效果较好，预算执行率100%，对象精准，标准合理，群众满意度达95%，有效保障了民生权益。</w:t>
      </w:r>
    </w:p>
    <w:p w14:paraId="3299664C">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3.基础设施。</w:t>
      </w:r>
    </w:p>
    <w:p w14:paraId="1C788BC4">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村级运维费用涉及村基础设施建设与维护，保障群众交通安全、日常文化生活质量，提升群众生活水平，促进社会稳定与发展。</w:t>
      </w:r>
    </w:p>
    <w:p w14:paraId="6876D80E">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en-US" w:eastAsia="zh-CN" w:bidi="ar-SA"/>
        </w:rPr>
        <w:t>4.</w:t>
      </w:r>
      <w:r>
        <w:rPr>
          <w:rFonts w:hint="eastAsia" w:ascii="仿宋_GB2312" w:hAnsi="仿宋_GB2312" w:eastAsia="仿宋_GB2312" w:cs="Times New Roman"/>
          <w:kern w:val="0"/>
          <w:sz w:val="32"/>
          <w:szCs w:val="24"/>
          <w:lang w:val="zh-CN" w:eastAsia="zh-CN" w:bidi="ar-SA"/>
        </w:rPr>
        <w:t>行政运转。</w:t>
      </w:r>
    </w:p>
    <w:p w14:paraId="6B77959E">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default"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主要用于保障乡政府日常办公、差旅、水电等基本履职需求，2025年度整体支出管控规范，重点保证政务运转，工作正常开展。</w:t>
      </w:r>
    </w:p>
    <w:p w14:paraId="3307F30E">
      <w:pPr>
        <w:pStyle w:val="5"/>
        <w:bidi w:val="0"/>
        <w:spacing w:before="0" w:after="0" w:line="600" w:lineRule="exact"/>
        <w:ind w:firstLine="643" w:firstLineChars="200"/>
        <w:rPr>
          <w:rFonts w:hint="default" w:eastAsia="楷体_GB2312"/>
          <w:lang w:val="zh-CN" w:eastAsia="zh-CN"/>
        </w:rPr>
      </w:pPr>
      <w:r>
        <w:rPr>
          <w:rFonts w:hint="eastAsia" w:eastAsia="楷体_GB2312"/>
          <w:lang w:val="en-US" w:eastAsia="zh-CN"/>
        </w:rPr>
        <w:t>（三）个性指标</w:t>
      </w:r>
      <w:r>
        <w:rPr>
          <w:rFonts w:hint="default" w:eastAsia="楷体_GB2312"/>
          <w:lang w:val="zh-CN" w:eastAsia="zh-CN"/>
        </w:rPr>
        <w:t>绩效分析。</w:t>
      </w:r>
    </w:p>
    <w:p w14:paraId="7C69697E">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zh-CN" w:eastAsia="zh-CN" w:bidi="ar-SA"/>
        </w:rPr>
      </w:pPr>
      <w:r>
        <w:rPr>
          <w:rFonts w:hint="eastAsia" w:ascii="仿宋_GB2312" w:hAnsi="仿宋_GB2312" w:eastAsia="仿宋_GB2312" w:cs="Times New Roman"/>
          <w:kern w:val="0"/>
          <w:sz w:val="32"/>
          <w:szCs w:val="24"/>
          <w:lang w:val="zh-CN" w:eastAsia="zh-CN" w:bidi="ar-SA"/>
        </w:rPr>
        <w:t>部分项目设定个性指标，如耕地恢复补充资金设置社会效益指标，为集体经济添活力。</w:t>
      </w:r>
    </w:p>
    <w:p w14:paraId="63B83C20">
      <w:pPr>
        <w:pStyle w:val="4"/>
        <w:bidi w:val="0"/>
        <w:spacing w:line="600" w:lineRule="exact"/>
        <w:ind w:left="0" w:right="0" w:firstLine="640" w:firstLineChars="200"/>
        <w:rPr>
          <w:rFonts w:hint="eastAsia" w:eastAsia="黑体" w:asciiTheme="majorAscii" w:hAnsiTheme="majorAscii"/>
          <w:b w:val="0"/>
          <w:lang w:val="en-US" w:eastAsia="zh-CN"/>
        </w:rPr>
      </w:pPr>
      <w:bookmarkStart w:id="87" w:name="_Toc21736_WPSOffice_Level2"/>
      <w:r>
        <w:rPr>
          <w:rFonts w:hint="eastAsia" w:eastAsia="黑体" w:asciiTheme="majorAscii" w:hAnsiTheme="majorAscii"/>
          <w:b w:val="0"/>
          <w:lang w:val="en-US" w:eastAsia="zh-CN"/>
        </w:rPr>
        <w:t>四、评价结论</w:t>
      </w:r>
      <w:bookmarkEnd w:id="87"/>
    </w:p>
    <w:p w14:paraId="5539EE1D">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36个项目点位自评得分为100分，整体绩效表现较为优异。</w:t>
      </w:r>
    </w:p>
    <w:p w14:paraId="1ADB0694">
      <w:pPr>
        <w:pStyle w:val="4"/>
        <w:bidi w:val="0"/>
        <w:spacing w:line="600" w:lineRule="exact"/>
        <w:ind w:left="0" w:right="0" w:firstLine="640" w:firstLineChars="200"/>
        <w:rPr>
          <w:rFonts w:hint="eastAsia" w:eastAsia="黑体" w:asciiTheme="majorAscii" w:hAnsiTheme="majorAscii"/>
          <w:b w:val="0"/>
          <w:lang w:val="en-US" w:eastAsia="zh-CN"/>
        </w:rPr>
      </w:pPr>
      <w:bookmarkStart w:id="88" w:name="_Toc21417_WPSOffice_Level2"/>
      <w:r>
        <w:rPr>
          <w:rFonts w:hint="eastAsia" w:eastAsia="黑体" w:asciiTheme="majorAscii" w:hAnsiTheme="majorAscii"/>
          <w:b w:val="0"/>
          <w:lang w:val="en-US" w:eastAsia="zh-CN"/>
        </w:rPr>
        <w:t>五、存在主要问题</w:t>
      </w:r>
      <w:bookmarkEnd w:id="88"/>
    </w:p>
    <w:p w14:paraId="1D626A7C">
      <w:pPr>
        <w:pStyle w:val="5"/>
        <w:bidi w:val="0"/>
        <w:spacing w:before="0" w:after="0" w:line="600" w:lineRule="exact"/>
        <w:ind w:firstLine="643" w:firstLineChars="200"/>
        <w:rPr>
          <w:rFonts w:hint="eastAsia" w:eastAsia="楷体_GB2312"/>
          <w:lang w:val="en-US" w:eastAsia="zh-CN"/>
        </w:rPr>
      </w:pPr>
      <w:r>
        <w:rPr>
          <w:rFonts w:hint="eastAsia" w:eastAsia="楷体_GB2312"/>
          <w:lang w:val="en-US" w:eastAsia="zh-CN"/>
        </w:rPr>
        <w:t>（一）项目预算与实际支出存在较大差异</w:t>
      </w:r>
    </w:p>
    <w:p w14:paraId="6DFBA5FF">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部分项目实际支出与年初预算差异较大，如底堡乡魔芋产业园区产业项目植被恢复费用支付0万元，该笔资金实际并未进行使用，影响了整体预算执行效率和政策目标的及时实现。</w:t>
      </w:r>
    </w:p>
    <w:p w14:paraId="238F6002">
      <w:pPr>
        <w:pStyle w:val="5"/>
        <w:bidi w:val="0"/>
        <w:spacing w:before="0" w:after="0" w:line="600" w:lineRule="exact"/>
        <w:ind w:firstLine="643" w:firstLineChars="200"/>
        <w:rPr>
          <w:rFonts w:hint="eastAsia" w:eastAsia="楷体_GB2312"/>
          <w:lang w:val="en-US" w:eastAsia="zh-CN"/>
        </w:rPr>
      </w:pPr>
      <w:r>
        <w:rPr>
          <w:rFonts w:hint="eastAsia" w:eastAsia="楷体_GB2312"/>
          <w:lang w:val="en-US" w:eastAsia="zh-CN"/>
        </w:rPr>
        <w:t>（二）绩效目标细化程度不足</w:t>
      </w:r>
    </w:p>
    <w:p w14:paraId="1AE378EC">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部分绩效目标设置不够具体量化，影响后续绩效评估的准确性和可操作性。</w:t>
      </w:r>
    </w:p>
    <w:p w14:paraId="05F5830B">
      <w:pPr>
        <w:pStyle w:val="4"/>
        <w:bidi w:val="0"/>
        <w:spacing w:line="600" w:lineRule="exact"/>
        <w:ind w:left="0" w:right="0" w:firstLine="640" w:firstLineChars="200"/>
        <w:rPr>
          <w:rFonts w:hint="eastAsia" w:eastAsia="黑体" w:asciiTheme="majorAscii" w:hAnsiTheme="majorAscii"/>
          <w:b w:val="0"/>
          <w:lang w:val="zh-CN" w:eastAsia="zh-CN"/>
        </w:rPr>
      </w:pPr>
      <w:bookmarkStart w:id="89" w:name="_Toc30178_WPSOffice_Level2"/>
      <w:r>
        <w:rPr>
          <w:rFonts w:hint="eastAsia" w:eastAsia="黑体" w:asciiTheme="majorAscii" w:hAnsiTheme="majorAscii"/>
          <w:b w:val="0"/>
          <w:lang w:val="zh-CN" w:eastAsia="zh-CN"/>
        </w:rPr>
        <w:t>六、改进建议</w:t>
      </w:r>
      <w:bookmarkEnd w:id="89"/>
    </w:p>
    <w:p w14:paraId="4995D4B0">
      <w:pPr>
        <w:pStyle w:val="5"/>
        <w:bidi w:val="0"/>
        <w:spacing w:before="0" w:after="0" w:line="600" w:lineRule="exact"/>
        <w:ind w:firstLine="643" w:firstLineChars="200"/>
        <w:rPr>
          <w:rFonts w:hint="eastAsia" w:eastAsia="楷体_GB2312"/>
          <w:lang w:val="en-US" w:eastAsia="zh-CN"/>
        </w:rPr>
      </w:pPr>
      <w:r>
        <w:rPr>
          <w:rFonts w:hint="eastAsia" w:eastAsia="楷体_GB2312"/>
          <w:lang w:val="en-US" w:eastAsia="zh-CN"/>
        </w:rPr>
        <w:t>（一）提升预算精准度</w:t>
      </w:r>
    </w:p>
    <w:p w14:paraId="42BFD58F">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结合上年实际支出与负责各项目负责人进行沟通，在年初预算时进行精准测算，尽量减少年初预算与实际支出差异较大问题出现频率，提升整体预算执行效率和目标实现率。</w:t>
      </w:r>
    </w:p>
    <w:p w14:paraId="03123314">
      <w:pPr>
        <w:pStyle w:val="5"/>
        <w:bidi w:val="0"/>
        <w:spacing w:before="0" w:after="0" w:line="600" w:lineRule="exact"/>
        <w:ind w:firstLine="643" w:firstLineChars="200"/>
        <w:rPr>
          <w:rFonts w:hint="eastAsia" w:eastAsia="楷体_GB2312"/>
          <w:lang w:val="en-US" w:eastAsia="zh-CN"/>
        </w:rPr>
      </w:pPr>
      <w:r>
        <w:rPr>
          <w:rFonts w:hint="eastAsia" w:eastAsia="楷体_GB2312"/>
          <w:lang w:val="en-US" w:eastAsia="zh-CN"/>
        </w:rPr>
        <w:t>（二）细化绩效目标，提升评价科学性</w:t>
      </w:r>
    </w:p>
    <w:p w14:paraId="16D870E7">
      <w:pPr>
        <w:keepNext w:val="0"/>
        <w:keepLines w:val="0"/>
        <w:pageBreakBefore w:val="0"/>
        <w:widowControl w:val="0"/>
        <w:numPr>
          <w:ilvl w:val="0"/>
          <w:numId w:val="0"/>
        </w:numPr>
        <w:kinsoku/>
        <w:wordWrap/>
        <w:overflowPunct/>
        <w:topLinePunct w:val="0"/>
        <w:autoSpaceDE/>
        <w:autoSpaceDN/>
        <w:bidi w:val="0"/>
        <w:spacing w:line="578" w:lineRule="exact"/>
        <w:ind w:firstLine="640" w:firstLineChars="200"/>
        <w:textAlignment w:val="auto"/>
        <w:outlineLvl w:val="9"/>
        <w:rPr>
          <w:rFonts w:hint="eastAsia" w:ascii="仿宋_GB2312" w:hAnsi="仿宋_GB2312" w:eastAsia="仿宋_GB2312" w:cs="Times New Roman"/>
          <w:kern w:val="0"/>
          <w:sz w:val="32"/>
          <w:szCs w:val="24"/>
          <w:lang w:val="en-US" w:eastAsia="zh-CN" w:bidi="ar-SA"/>
        </w:rPr>
      </w:pPr>
      <w:r>
        <w:rPr>
          <w:rFonts w:hint="eastAsia" w:ascii="仿宋_GB2312" w:hAnsi="仿宋_GB2312" w:eastAsia="仿宋_GB2312" w:cs="Times New Roman"/>
          <w:kern w:val="0"/>
          <w:sz w:val="32"/>
          <w:szCs w:val="24"/>
          <w:lang w:val="en-US" w:eastAsia="zh-CN" w:bidi="ar-SA"/>
        </w:rPr>
        <w:t>结合项目特点，将绩效目标进一步细化，设置课衡量、可考核的具体指标。</w:t>
      </w:r>
    </w:p>
    <w:p w14:paraId="74E90C1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F6287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90"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348257E1">
      <w:pPr>
        <w:pStyle w:val="3"/>
        <w:keepNext/>
        <w:keepLines/>
        <w:pageBreakBefore/>
        <w:widowControl w:val="0"/>
        <w:numPr>
          <w:ilvl w:val="0"/>
          <w:numId w:val="0"/>
        </w:numPr>
        <w:kinsoku/>
        <w:wordWrap/>
        <w:overflowPunct/>
        <w:topLinePunct w:val="0"/>
        <w:autoSpaceDE/>
        <w:autoSpaceDN/>
        <w:bidi w:val="0"/>
        <w:adjustRightInd/>
        <w:snapToGrid/>
        <w:spacing w:before="0" w:after="0" w:line="600" w:lineRule="exact"/>
        <w:jc w:val="center"/>
        <w:textAlignment w:val="auto"/>
        <w:rPr>
          <w:rFonts w:hint="eastAsia" w:ascii="Times New Roman" w:hAnsi="Times New Roman" w:eastAsia="方正小标宋简体" w:cs="方正小标宋简体"/>
          <w:b w:val="0"/>
          <w:color w:val="auto"/>
          <w:highlight w:val="none"/>
        </w:rPr>
      </w:pPr>
      <w:bookmarkStart w:id="91" w:name="_Toc20864_WPSOffice_Level1"/>
      <w:bookmarkStart w:id="92" w:name="_Toc20265_WPSOffice_Level1"/>
      <w:r>
        <w:rPr>
          <w:rFonts w:hint="eastAsia" w:ascii="Times New Roman" w:hAnsi="Times New Roman" w:eastAsia="方正小标宋简体" w:cs="方正小标宋简体"/>
          <w:b w:val="0"/>
          <w:color w:val="auto"/>
          <w:highlight w:val="none"/>
        </w:rPr>
        <w:t>第五部分 附表</w:t>
      </w:r>
      <w:bookmarkEnd w:id="73"/>
      <w:bookmarkEnd w:id="90"/>
      <w:bookmarkEnd w:id="91"/>
      <w:bookmarkEnd w:id="92"/>
      <w:bookmarkStart w:id="93" w:name="_Toc15396619"/>
    </w:p>
    <w:p w14:paraId="3E647226">
      <w:pPr>
        <w:pStyle w:val="6"/>
        <w:bidi w:val="0"/>
        <w:spacing w:beforeLines="-2147483648" w:line="600" w:lineRule="exact"/>
        <w:ind w:firstLine="640" w:firstLineChars="200"/>
        <w:rPr>
          <w:rFonts w:hint="eastAsia" w:hAnsi="仿宋_GB2312"/>
          <w:sz w:val="32"/>
        </w:rPr>
      </w:pPr>
      <w:bookmarkStart w:id="94" w:name="_Toc31220_WPSOffice_Level2"/>
      <w:r>
        <w:rPr>
          <w:rFonts w:hint="eastAsia" w:hAnsi="仿宋_GB2312"/>
          <w:sz w:val="32"/>
        </w:rPr>
        <w:t>一、收入支出决算总表</w:t>
      </w:r>
      <w:bookmarkEnd w:id="93"/>
      <w:bookmarkEnd w:id="94"/>
    </w:p>
    <w:p w14:paraId="13AA6C1E">
      <w:pPr>
        <w:pStyle w:val="6"/>
        <w:bidi w:val="0"/>
        <w:spacing w:beforeLines="-2147483648" w:line="600" w:lineRule="exact"/>
        <w:ind w:firstLine="640" w:firstLineChars="200"/>
        <w:rPr>
          <w:rFonts w:hint="eastAsia" w:hAnsi="仿宋_GB2312"/>
          <w:sz w:val="32"/>
        </w:rPr>
      </w:pPr>
      <w:bookmarkStart w:id="95" w:name="_Toc15396620"/>
      <w:bookmarkStart w:id="96" w:name="_Toc6905_WPSOffice_Level2"/>
      <w:r>
        <w:rPr>
          <w:rFonts w:hint="eastAsia" w:hAnsi="仿宋_GB2312"/>
          <w:sz w:val="32"/>
        </w:rPr>
        <w:t>二、收入决算表</w:t>
      </w:r>
      <w:bookmarkEnd w:id="95"/>
      <w:bookmarkEnd w:id="96"/>
    </w:p>
    <w:p w14:paraId="2BF936BE">
      <w:pPr>
        <w:pStyle w:val="6"/>
        <w:bidi w:val="0"/>
        <w:spacing w:beforeLines="-2147483648" w:line="600" w:lineRule="exact"/>
        <w:ind w:firstLine="640" w:firstLineChars="200"/>
        <w:rPr>
          <w:rFonts w:hint="eastAsia" w:hAnsi="仿宋_GB2312"/>
          <w:sz w:val="32"/>
        </w:rPr>
      </w:pPr>
      <w:bookmarkStart w:id="97" w:name="_Toc10220_WPSOffice_Level2"/>
      <w:bookmarkStart w:id="98" w:name="_Toc15396621"/>
      <w:r>
        <w:rPr>
          <w:rFonts w:hint="eastAsia" w:hAnsi="仿宋_GB2312"/>
          <w:sz w:val="32"/>
        </w:rPr>
        <w:t>三、支出决算表</w:t>
      </w:r>
      <w:bookmarkEnd w:id="97"/>
      <w:bookmarkEnd w:id="98"/>
    </w:p>
    <w:p w14:paraId="1806D533">
      <w:pPr>
        <w:pStyle w:val="6"/>
        <w:bidi w:val="0"/>
        <w:spacing w:beforeLines="-2147483648" w:line="600" w:lineRule="exact"/>
        <w:ind w:firstLine="640" w:firstLineChars="200"/>
        <w:rPr>
          <w:rFonts w:hint="eastAsia" w:hAnsi="仿宋_GB2312"/>
          <w:sz w:val="32"/>
        </w:rPr>
      </w:pPr>
      <w:bookmarkStart w:id="99" w:name="_Toc15396622"/>
      <w:bookmarkStart w:id="100" w:name="_Toc2558_WPSOffice_Level2"/>
      <w:r>
        <w:rPr>
          <w:rFonts w:hint="eastAsia" w:hAnsi="仿宋_GB2312"/>
          <w:sz w:val="32"/>
        </w:rPr>
        <w:t>四、财政拨款收入支出决算总表</w:t>
      </w:r>
      <w:bookmarkEnd w:id="99"/>
      <w:bookmarkEnd w:id="100"/>
    </w:p>
    <w:p w14:paraId="7E9075AD">
      <w:pPr>
        <w:pStyle w:val="6"/>
        <w:bidi w:val="0"/>
        <w:spacing w:beforeLines="-2147483648" w:line="600" w:lineRule="exact"/>
        <w:ind w:firstLine="640" w:firstLineChars="200"/>
        <w:rPr>
          <w:rFonts w:hint="eastAsia" w:hAnsi="仿宋_GB2312"/>
          <w:sz w:val="32"/>
        </w:rPr>
      </w:pPr>
      <w:bookmarkStart w:id="101" w:name="_Toc32310_WPSOffice_Level2"/>
      <w:bookmarkStart w:id="102" w:name="_Toc15396623"/>
      <w:r>
        <w:rPr>
          <w:rFonts w:hint="eastAsia" w:hAnsi="仿宋_GB2312"/>
          <w:sz w:val="32"/>
        </w:rPr>
        <w:t>五、财政拨款支出决算明细表</w:t>
      </w:r>
      <w:bookmarkEnd w:id="101"/>
      <w:bookmarkEnd w:id="102"/>
      <w:bookmarkStart w:id="103" w:name="_Toc15396624"/>
    </w:p>
    <w:p w14:paraId="3E4F3E3B">
      <w:pPr>
        <w:pStyle w:val="6"/>
        <w:bidi w:val="0"/>
        <w:spacing w:beforeLines="-2147483648" w:line="600" w:lineRule="exact"/>
        <w:ind w:firstLine="640" w:firstLineChars="200"/>
        <w:rPr>
          <w:rFonts w:hint="eastAsia" w:hAnsi="仿宋_GB2312"/>
          <w:sz w:val="32"/>
        </w:rPr>
      </w:pPr>
      <w:bookmarkStart w:id="104" w:name="_Toc29365_WPSOffice_Level2"/>
      <w:r>
        <w:rPr>
          <w:rFonts w:hint="eastAsia" w:hAnsi="仿宋_GB2312"/>
          <w:sz w:val="32"/>
        </w:rPr>
        <w:t>六、一般公共预算财政拨款支出决算表</w:t>
      </w:r>
      <w:bookmarkEnd w:id="103"/>
      <w:bookmarkEnd w:id="104"/>
    </w:p>
    <w:p w14:paraId="283BAD05">
      <w:pPr>
        <w:pStyle w:val="6"/>
        <w:bidi w:val="0"/>
        <w:spacing w:beforeLines="-2147483648" w:line="600" w:lineRule="exact"/>
        <w:ind w:firstLine="640" w:firstLineChars="200"/>
        <w:rPr>
          <w:rFonts w:hint="eastAsia" w:hAnsi="仿宋_GB2312"/>
          <w:sz w:val="32"/>
        </w:rPr>
      </w:pPr>
      <w:bookmarkStart w:id="105" w:name="_Toc15396625"/>
      <w:bookmarkStart w:id="106" w:name="_Toc113_WPSOffice_Level2"/>
      <w:r>
        <w:rPr>
          <w:rFonts w:hint="eastAsia" w:hAnsi="仿宋_GB2312"/>
          <w:sz w:val="32"/>
        </w:rPr>
        <w:t>七、一般公共预算财政拨款支出决算明细表</w:t>
      </w:r>
      <w:bookmarkEnd w:id="105"/>
      <w:bookmarkEnd w:id="106"/>
    </w:p>
    <w:p w14:paraId="16E1761B">
      <w:pPr>
        <w:pStyle w:val="6"/>
        <w:bidi w:val="0"/>
        <w:spacing w:beforeLines="-2147483648" w:line="600" w:lineRule="exact"/>
        <w:ind w:firstLine="640" w:firstLineChars="200"/>
        <w:rPr>
          <w:rFonts w:hint="eastAsia" w:hAnsi="仿宋_GB2312"/>
          <w:sz w:val="32"/>
        </w:rPr>
      </w:pPr>
      <w:bookmarkStart w:id="107" w:name="_Toc14723_WPSOffice_Level2"/>
      <w:bookmarkStart w:id="108" w:name="_Toc15396626"/>
      <w:r>
        <w:rPr>
          <w:rFonts w:hint="eastAsia" w:hAnsi="仿宋_GB2312"/>
          <w:sz w:val="32"/>
        </w:rPr>
        <w:t>八、一般公共预算财政拨款基本支出决算表</w:t>
      </w:r>
      <w:bookmarkEnd w:id="107"/>
      <w:bookmarkEnd w:id="108"/>
    </w:p>
    <w:p w14:paraId="66B1B5AE">
      <w:pPr>
        <w:pStyle w:val="6"/>
        <w:bidi w:val="0"/>
        <w:spacing w:beforeLines="-2147483648" w:line="600" w:lineRule="exact"/>
        <w:ind w:firstLine="640" w:firstLineChars="200"/>
        <w:rPr>
          <w:rFonts w:hint="eastAsia" w:hAnsi="仿宋_GB2312"/>
          <w:sz w:val="32"/>
        </w:rPr>
      </w:pPr>
      <w:bookmarkStart w:id="109" w:name="_Toc15272_WPSOffice_Level2"/>
      <w:bookmarkStart w:id="110" w:name="_Toc15396627"/>
      <w:r>
        <w:rPr>
          <w:rFonts w:hint="eastAsia" w:hAnsi="仿宋_GB2312"/>
          <w:sz w:val="32"/>
        </w:rPr>
        <w:t>九、一般公共预算财政拨款项目支出决算表</w:t>
      </w:r>
      <w:bookmarkEnd w:id="109"/>
      <w:bookmarkEnd w:id="110"/>
    </w:p>
    <w:p w14:paraId="2B5C7073">
      <w:pPr>
        <w:pStyle w:val="6"/>
        <w:bidi w:val="0"/>
        <w:spacing w:beforeLines="-2147483648" w:line="600" w:lineRule="exact"/>
        <w:ind w:firstLine="640" w:firstLineChars="200"/>
        <w:rPr>
          <w:rFonts w:hint="eastAsia" w:hAnsi="仿宋_GB2312"/>
          <w:sz w:val="32"/>
        </w:rPr>
      </w:pPr>
      <w:bookmarkStart w:id="111" w:name="_Toc15396628"/>
      <w:bookmarkStart w:id="112" w:name="_Toc28829_WPSOffice_Level2"/>
      <w:r>
        <w:rPr>
          <w:rFonts w:hint="eastAsia" w:hAnsi="仿宋_GB2312"/>
          <w:sz w:val="32"/>
        </w:rPr>
        <w:t>十、</w:t>
      </w:r>
      <w:bookmarkEnd w:id="111"/>
      <w:r>
        <w:rPr>
          <w:rFonts w:hint="eastAsia" w:hAnsi="仿宋_GB2312"/>
          <w:sz w:val="32"/>
        </w:rPr>
        <w:t>政府性基金预算财政拨款收入支出决算表</w:t>
      </w:r>
      <w:bookmarkEnd w:id="112"/>
    </w:p>
    <w:p w14:paraId="1ACE4D25">
      <w:pPr>
        <w:pStyle w:val="6"/>
        <w:bidi w:val="0"/>
        <w:spacing w:beforeLines="-2147483648" w:line="600" w:lineRule="exact"/>
        <w:ind w:firstLine="640" w:firstLineChars="200"/>
        <w:rPr>
          <w:rFonts w:hint="eastAsia" w:hAnsi="仿宋_GB2312"/>
          <w:sz w:val="32"/>
        </w:rPr>
      </w:pPr>
      <w:bookmarkStart w:id="113" w:name="_Toc15396629"/>
      <w:bookmarkStart w:id="114" w:name="_Toc5448_WPSOffice_Level2"/>
      <w:r>
        <w:rPr>
          <w:rFonts w:hint="eastAsia" w:hAnsi="仿宋_GB2312"/>
          <w:sz w:val="32"/>
        </w:rPr>
        <w:t>十一、</w:t>
      </w:r>
      <w:bookmarkEnd w:id="113"/>
      <w:r>
        <w:rPr>
          <w:rFonts w:hint="eastAsia" w:hAnsi="仿宋_GB2312"/>
          <w:sz w:val="32"/>
        </w:rPr>
        <w:t>国有资本经营预算</w:t>
      </w:r>
      <w:r>
        <w:rPr>
          <w:rFonts w:hint="eastAsia" w:hAnsi="仿宋_GB2312"/>
          <w:sz w:val="32"/>
          <w:lang w:eastAsia="zh-CN"/>
        </w:rPr>
        <w:t>财政拨款收入</w:t>
      </w:r>
      <w:r>
        <w:rPr>
          <w:rFonts w:hint="eastAsia" w:hAnsi="仿宋_GB2312"/>
          <w:sz w:val="32"/>
        </w:rPr>
        <w:t>支出决算表</w:t>
      </w:r>
      <w:bookmarkEnd w:id="114"/>
    </w:p>
    <w:p w14:paraId="5171869A">
      <w:pPr>
        <w:pStyle w:val="6"/>
        <w:bidi w:val="0"/>
        <w:spacing w:beforeLines="-2147483648" w:line="600" w:lineRule="exact"/>
        <w:ind w:firstLine="640" w:firstLineChars="200"/>
        <w:rPr>
          <w:rFonts w:hint="eastAsia" w:hAnsi="仿宋_GB2312"/>
          <w:sz w:val="32"/>
        </w:rPr>
      </w:pPr>
      <w:bookmarkStart w:id="115" w:name="_Toc15396630"/>
      <w:bookmarkStart w:id="116" w:name="_Toc15252_WPSOffice_Level2"/>
      <w:r>
        <w:rPr>
          <w:rFonts w:hint="eastAsia" w:hAnsi="仿宋_GB2312"/>
          <w:sz w:val="32"/>
        </w:rPr>
        <w:t>十二、</w:t>
      </w:r>
      <w:bookmarkEnd w:id="115"/>
      <w:r>
        <w:rPr>
          <w:rFonts w:hint="eastAsia" w:hAnsi="仿宋_GB2312"/>
          <w:sz w:val="32"/>
          <w:lang w:eastAsia="zh-CN"/>
        </w:rPr>
        <w:t>国有资本经营预算财政拨款支出决算表</w:t>
      </w:r>
      <w:bookmarkEnd w:id="116"/>
    </w:p>
    <w:p w14:paraId="728D99CA">
      <w:pPr>
        <w:pStyle w:val="6"/>
        <w:bidi w:val="0"/>
        <w:spacing w:beforeLines="-2147483648" w:line="600" w:lineRule="exact"/>
        <w:ind w:firstLine="640" w:firstLineChars="200"/>
        <w:rPr>
          <w:rFonts w:hint="eastAsia" w:hAnsi="仿宋_GB2312"/>
          <w:sz w:val="32"/>
          <w:lang w:eastAsia="zh-CN"/>
        </w:rPr>
      </w:pPr>
      <w:bookmarkStart w:id="117" w:name="_Toc15396631"/>
      <w:bookmarkStart w:id="118" w:name="_Toc12020_WPSOffice_Level2"/>
      <w:r>
        <w:rPr>
          <w:rFonts w:hint="eastAsia" w:hAnsi="仿宋_GB2312"/>
          <w:sz w:val="32"/>
        </w:rPr>
        <w:t>十三、</w:t>
      </w:r>
      <w:bookmarkEnd w:id="117"/>
      <w:r>
        <w:rPr>
          <w:rFonts w:hint="eastAsia" w:hAnsi="仿宋_GB2312"/>
          <w:sz w:val="32"/>
          <w:lang w:eastAsia="zh-CN"/>
        </w:rPr>
        <w:t>财政拨款“三公”经费支出决算表</w:t>
      </w:r>
      <w:bookmarkEnd w:id="118"/>
    </w:p>
    <w:p w14:paraId="22B0B4D5">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16D7CF">
    <w:pPr>
      <w:pStyle w:val="11"/>
      <w:jc w:val="center"/>
    </w:pPr>
  </w:p>
  <w:p w14:paraId="64D245A9">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9738F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A5B5E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2A5B5E5">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CAB9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A28634"/>
    <w:multiLevelType w:val="singleLevel"/>
    <w:tmpl w:val="DDA28634"/>
    <w:lvl w:ilvl="0" w:tentative="0">
      <w:start w:val="1"/>
      <w:numFmt w:val="decimal"/>
      <w:suff w:val="nothing"/>
      <w:lvlText w:val="%1、"/>
      <w:lvlJc w:val="left"/>
    </w:lvl>
  </w:abstractNum>
  <w:abstractNum w:abstractNumId="1">
    <w:nsid w:val="EE9D13CB"/>
    <w:multiLevelType w:val="singleLevel"/>
    <w:tmpl w:val="EE9D13CB"/>
    <w:lvl w:ilvl="0" w:tentative="0">
      <w:start w:val="1"/>
      <w:numFmt w:val="chineseCounting"/>
      <w:suff w:val="nothing"/>
      <w:lvlText w:val="%1、"/>
      <w:lvlJc w:val="left"/>
      <w:pPr>
        <w:ind w:left="0" w:firstLine="420"/>
      </w:pPr>
      <w:rPr>
        <w:rFonts w:hint="eastAsia"/>
      </w:rPr>
    </w:lvl>
  </w:abstractNum>
  <w:abstractNum w:abstractNumId="2">
    <w:nsid w:val="F429C2D9"/>
    <w:multiLevelType w:val="singleLevel"/>
    <w:tmpl w:val="F429C2D9"/>
    <w:lvl w:ilvl="0" w:tentative="0">
      <w:start w:val="1"/>
      <w:numFmt w:val="chineseCounting"/>
      <w:suff w:val="nothing"/>
      <w:lvlText w:val="（%1）"/>
      <w:lvlJc w:val="left"/>
      <w:pPr>
        <w:ind w:left="0" w:firstLine="420"/>
      </w:pPr>
      <w:rPr>
        <w:rFonts w:hint="eastAsia"/>
      </w:rPr>
    </w:lvl>
  </w:abstractNum>
  <w:abstractNum w:abstractNumId="3">
    <w:nsid w:val="FC5EFF9B"/>
    <w:multiLevelType w:val="singleLevel"/>
    <w:tmpl w:val="FC5EFF9B"/>
    <w:lvl w:ilvl="0" w:tentative="0">
      <w:start w:val="1"/>
      <w:numFmt w:val="chineseCounting"/>
      <w:suff w:val="nothing"/>
      <w:lvlText w:val="%1、"/>
      <w:lvlJc w:val="left"/>
      <w:rPr>
        <w:rFonts w:hint="eastAsia"/>
      </w:rPr>
    </w:lvl>
  </w:abstractNum>
  <w:abstractNum w:abstractNumId="4">
    <w:nsid w:val="00A5EC66"/>
    <w:multiLevelType w:val="singleLevel"/>
    <w:tmpl w:val="00A5EC66"/>
    <w:lvl w:ilvl="0" w:tentative="0">
      <w:start w:val="1"/>
      <w:numFmt w:val="chineseCounting"/>
      <w:suff w:val="nothing"/>
      <w:lvlText w:val="（%1）"/>
      <w:lvlJc w:val="left"/>
      <w:pPr>
        <w:ind w:left="0" w:firstLine="420"/>
      </w:pPr>
      <w:rPr>
        <w:rFonts w:hint="eastAsia"/>
      </w:rPr>
    </w:lvl>
  </w:abstractNum>
  <w:abstractNum w:abstractNumId="5">
    <w:nsid w:val="010FFAA0"/>
    <w:multiLevelType w:val="singleLevel"/>
    <w:tmpl w:val="010FFAA0"/>
    <w:lvl w:ilvl="0" w:tentative="0">
      <w:start w:val="17"/>
      <w:numFmt w:val="decimal"/>
      <w:suff w:val="space"/>
      <w:lvlText w:val="%1."/>
      <w:lvlJc w:val="left"/>
    </w:lvl>
  </w:abstractNum>
  <w:abstractNum w:abstractNumId="6">
    <w:nsid w:val="0417302A"/>
    <w:multiLevelType w:val="singleLevel"/>
    <w:tmpl w:val="0417302A"/>
    <w:lvl w:ilvl="0" w:tentative="0">
      <w:start w:val="1"/>
      <w:numFmt w:val="chineseCounting"/>
      <w:suff w:val="nothing"/>
      <w:lvlText w:val="（%1）"/>
      <w:lvlJc w:val="left"/>
      <w:pPr>
        <w:ind w:left="0" w:firstLine="420"/>
      </w:pPr>
      <w:rPr>
        <w:rFonts w:hint="eastAsia"/>
      </w:rPr>
    </w:lvl>
  </w:abstractNum>
  <w:abstractNum w:abstractNumId="7">
    <w:nsid w:val="065A3286"/>
    <w:multiLevelType w:val="singleLevel"/>
    <w:tmpl w:val="065A3286"/>
    <w:lvl w:ilvl="0" w:tentative="0">
      <w:start w:val="1"/>
      <w:numFmt w:val="chineseCounting"/>
      <w:suff w:val="nothing"/>
      <w:lvlText w:val="（%1）"/>
      <w:lvlJc w:val="left"/>
      <w:pPr>
        <w:ind w:left="0" w:firstLine="420"/>
      </w:pPr>
      <w:rPr>
        <w:rFonts w:hint="eastAsia"/>
      </w:rPr>
    </w:lvl>
  </w:abstractNum>
  <w:num w:numId="1">
    <w:abstractNumId w:val="3"/>
  </w:num>
  <w:num w:numId="2">
    <w:abstractNumId w:val="4"/>
  </w:num>
  <w:num w:numId="3">
    <w:abstractNumId w:val="1"/>
  </w:num>
  <w:num w:numId="4">
    <w:abstractNumId w:val="2"/>
  </w:num>
  <w:num w:numId="5">
    <w:abstractNumId w:val="6"/>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367982"/>
    <w:rsid w:val="015975B8"/>
    <w:rsid w:val="02317B1B"/>
    <w:rsid w:val="02FEBE30"/>
    <w:rsid w:val="061E35DE"/>
    <w:rsid w:val="066E0107"/>
    <w:rsid w:val="07996F6E"/>
    <w:rsid w:val="07DFD8BA"/>
    <w:rsid w:val="07E57DCA"/>
    <w:rsid w:val="08DB07E4"/>
    <w:rsid w:val="09867E8F"/>
    <w:rsid w:val="0A2032A3"/>
    <w:rsid w:val="0AC876C2"/>
    <w:rsid w:val="0B073FE1"/>
    <w:rsid w:val="0C6C4794"/>
    <w:rsid w:val="0CA8290A"/>
    <w:rsid w:val="0D35B1ED"/>
    <w:rsid w:val="0DE07E2B"/>
    <w:rsid w:val="0EA62E87"/>
    <w:rsid w:val="0F98263C"/>
    <w:rsid w:val="101860EC"/>
    <w:rsid w:val="10C055FF"/>
    <w:rsid w:val="11772AA4"/>
    <w:rsid w:val="118107EC"/>
    <w:rsid w:val="12E82105"/>
    <w:rsid w:val="133C45FC"/>
    <w:rsid w:val="13AD5B90"/>
    <w:rsid w:val="13D50BC4"/>
    <w:rsid w:val="14022904"/>
    <w:rsid w:val="14155895"/>
    <w:rsid w:val="14CA73B9"/>
    <w:rsid w:val="152F2A07"/>
    <w:rsid w:val="165E0673"/>
    <w:rsid w:val="16BB723D"/>
    <w:rsid w:val="172A5F24"/>
    <w:rsid w:val="186504BB"/>
    <w:rsid w:val="1938089F"/>
    <w:rsid w:val="19641C2D"/>
    <w:rsid w:val="19981787"/>
    <w:rsid w:val="19A445FC"/>
    <w:rsid w:val="1A3A647F"/>
    <w:rsid w:val="1B7D550C"/>
    <w:rsid w:val="1BE8440E"/>
    <w:rsid w:val="1D155CEE"/>
    <w:rsid w:val="1E740ACF"/>
    <w:rsid w:val="1FF35744"/>
    <w:rsid w:val="1FF6BC77"/>
    <w:rsid w:val="21962A9E"/>
    <w:rsid w:val="21AE7C77"/>
    <w:rsid w:val="22BC3C41"/>
    <w:rsid w:val="23860B96"/>
    <w:rsid w:val="240371BF"/>
    <w:rsid w:val="25151063"/>
    <w:rsid w:val="260F557C"/>
    <w:rsid w:val="281408E2"/>
    <w:rsid w:val="29866F0E"/>
    <w:rsid w:val="29FD04D3"/>
    <w:rsid w:val="2BFF7BC6"/>
    <w:rsid w:val="2C8A61B5"/>
    <w:rsid w:val="2D2E01CF"/>
    <w:rsid w:val="2DF04E50"/>
    <w:rsid w:val="2E9545B0"/>
    <w:rsid w:val="2EF56D2F"/>
    <w:rsid w:val="2F040D46"/>
    <w:rsid w:val="2F8F4C9C"/>
    <w:rsid w:val="2FAE5751"/>
    <w:rsid w:val="2FB1A395"/>
    <w:rsid w:val="2FD9A7D8"/>
    <w:rsid w:val="319F7F4E"/>
    <w:rsid w:val="321B2544"/>
    <w:rsid w:val="32535755"/>
    <w:rsid w:val="3304709D"/>
    <w:rsid w:val="33581082"/>
    <w:rsid w:val="34281836"/>
    <w:rsid w:val="349D6851"/>
    <w:rsid w:val="350C019D"/>
    <w:rsid w:val="35112F71"/>
    <w:rsid w:val="35BA6CAF"/>
    <w:rsid w:val="364D14C1"/>
    <w:rsid w:val="36AA5135"/>
    <w:rsid w:val="36BE0DA7"/>
    <w:rsid w:val="376B6AA6"/>
    <w:rsid w:val="376D39B2"/>
    <w:rsid w:val="37E16F03"/>
    <w:rsid w:val="37F53A3B"/>
    <w:rsid w:val="389B6C89"/>
    <w:rsid w:val="38D469F0"/>
    <w:rsid w:val="39627CCD"/>
    <w:rsid w:val="397BAF1F"/>
    <w:rsid w:val="3AB79AF3"/>
    <w:rsid w:val="3B272BE7"/>
    <w:rsid w:val="3B7EF35A"/>
    <w:rsid w:val="3B9FDB6C"/>
    <w:rsid w:val="3BF5BC2F"/>
    <w:rsid w:val="3CEBA265"/>
    <w:rsid w:val="3D98207C"/>
    <w:rsid w:val="3D9B0D99"/>
    <w:rsid w:val="3DEE7CF3"/>
    <w:rsid w:val="3DF02244"/>
    <w:rsid w:val="3E78745D"/>
    <w:rsid w:val="3EDA7B66"/>
    <w:rsid w:val="3FF4CAE0"/>
    <w:rsid w:val="3FF7B227"/>
    <w:rsid w:val="40311998"/>
    <w:rsid w:val="404D19C2"/>
    <w:rsid w:val="40E54C45"/>
    <w:rsid w:val="42C741BA"/>
    <w:rsid w:val="436E7643"/>
    <w:rsid w:val="43A407DF"/>
    <w:rsid w:val="44515BEA"/>
    <w:rsid w:val="44E268DA"/>
    <w:rsid w:val="453F7E5B"/>
    <w:rsid w:val="486A6C7A"/>
    <w:rsid w:val="49176D9B"/>
    <w:rsid w:val="499A4328"/>
    <w:rsid w:val="4A627F82"/>
    <w:rsid w:val="4AC728CD"/>
    <w:rsid w:val="4B0E749A"/>
    <w:rsid w:val="4B4F25DA"/>
    <w:rsid w:val="4BB66D5A"/>
    <w:rsid w:val="4BDA0CFB"/>
    <w:rsid w:val="4BE068DB"/>
    <w:rsid w:val="4C164E57"/>
    <w:rsid w:val="4CDB4EAF"/>
    <w:rsid w:val="4CE9664E"/>
    <w:rsid w:val="4D3C0CCC"/>
    <w:rsid w:val="4D577224"/>
    <w:rsid w:val="4DBF1CEB"/>
    <w:rsid w:val="4EAB630A"/>
    <w:rsid w:val="4ECE2238"/>
    <w:rsid w:val="4F833267"/>
    <w:rsid w:val="4FE9BD67"/>
    <w:rsid w:val="4FFB052F"/>
    <w:rsid w:val="520B4CA8"/>
    <w:rsid w:val="53083A92"/>
    <w:rsid w:val="537E6D0A"/>
    <w:rsid w:val="53AF27A2"/>
    <w:rsid w:val="53E5707D"/>
    <w:rsid w:val="53F74C96"/>
    <w:rsid w:val="54362F32"/>
    <w:rsid w:val="56A95C72"/>
    <w:rsid w:val="56E47B74"/>
    <w:rsid w:val="57984DF3"/>
    <w:rsid w:val="57BD3DD4"/>
    <w:rsid w:val="5AF61E72"/>
    <w:rsid w:val="5AF92295"/>
    <w:rsid w:val="5BDD79E6"/>
    <w:rsid w:val="5BF561CA"/>
    <w:rsid w:val="5BFF5DFC"/>
    <w:rsid w:val="5C852C7E"/>
    <w:rsid w:val="5CD71FC4"/>
    <w:rsid w:val="5CD7589B"/>
    <w:rsid w:val="5CE22776"/>
    <w:rsid w:val="5D1F11B5"/>
    <w:rsid w:val="5DAE1B18"/>
    <w:rsid w:val="5DE7D9E5"/>
    <w:rsid w:val="5DFD37F6"/>
    <w:rsid w:val="5ECEC941"/>
    <w:rsid w:val="5F493CB7"/>
    <w:rsid w:val="5FBF9FF3"/>
    <w:rsid w:val="5FCD4E2C"/>
    <w:rsid w:val="5FD15F49"/>
    <w:rsid w:val="5FEF394A"/>
    <w:rsid w:val="5FF67715"/>
    <w:rsid w:val="62BF3928"/>
    <w:rsid w:val="647F5392"/>
    <w:rsid w:val="664B1D71"/>
    <w:rsid w:val="67AA3209"/>
    <w:rsid w:val="68067958"/>
    <w:rsid w:val="681C4F0D"/>
    <w:rsid w:val="687006EB"/>
    <w:rsid w:val="68BD3057"/>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AD0EAE"/>
    <w:rsid w:val="6FCE6052"/>
    <w:rsid w:val="6FD57C00"/>
    <w:rsid w:val="6FEFFFD8"/>
    <w:rsid w:val="6FF5CC65"/>
    <w:rsid w:val="6FFB47EC"/>
    <w:rsid w:val="6FFF034A"/>
    <w:rsid w:val="70496804"/>
    <w:rsid w:val="712A28F1"/>
    <w:rsid w:val="715C0E4B"/>
    <w:rsid w:val="71757343"/>
    <w:rsid w:val="72233669"/>
    <w:rsid w:val="722A37C6"/>
    <w:rsid w:val="72693A6D"/>
    <w:rsid w:val="72734D90"/>
    <w:rsid w:val="72F2570E"/>
    <w:rsid w:val="7332FE48"/>
    <w:rsid w:val="73AB61DA"/>
    <w:rsid w:val="73AD73D5"/>
    <w:rsid w:val="73B6EB34"/>
    <w:rsid w:val="73FA497D"/>
    <w:rsid w:val="744731E5"/>
    <w:rsid w:val="744F7BC4"/>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A1A2B"/>
    <w:rsid w:val="7AFF7572"/>
    <w:rsid w:val="7B37143E"/>
    <w:rsid w:val="7B6C7DFB"/>
    <w:rsid w:val="7B8D3DC6"/>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line="600" w:lineRule="exact"/>
      <w:jc w:val="center"/>
      <w:outlineLvl w:val="0"/>
    </w:pPr>
    <w:rPr>
      <w:rFonts w:ascii="Times New Roman" w:hAnsi="Times New Roman" w:eastAsia="宋体"/>
      <w:b/>
      <w:bCs/>
      <w:kern w:val="44"/>
      <w:sz w:val="44"/>
      <w:szCs w:val="44"/>
    </w:rPr>
  </w:style>
  <w:style w:type="paragraph" w:styleId="4">
    <w:name w:val="heading 2"/>
    <w:basedOn w:val="1"/>
    <w:next w:val="1"/>
    <w:link w:val="30"/>
    <w:unhideWhenUsed/>
    <w:qFormat/>
    <w:uiPriority w:val="9"/>
    <w:pPr>
      <w:keepNext/>
      <w:keepLines/>
      <w:spacing w:before="260" w:after="260" w:line="600" w:lineRule="exact"/>
      <w:ind w:firstLine="420" w:firstLineChars="200"/>
      <w:outlineLvl w:val="1"/>
    </w:pPr>
    <w:rPr>
      <w:rFonts w:eastAsia="黑体" w:asciiTheme="majorAscii" w:hAnsiTheme="majorAscii" w:cstheme="majorBidi"/>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sz w:val="24"/>
      <w:szCs w:val="24"/>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7"/>
    <w:link w:val="3"/>
    <w:qFormat/>
    <w:uiPriority w:val="9"/>
    <w:rPr>
      <w:rFonts w:ascii="Times New Roman" w:hAnsi="Times New Roman" w:eastAsia="宋体"/>
      <w:b/>
      <w:bCs/>
      <w:kern w:val="44"/>
      <w:sz w:val="44"/>
      <w:szCs w:val="44"/>
    </w:rPr>
  </w:style>
  <w:style w:type="character" w:customStyle="1" w:styleId="30">
    <w:name w:val="标题 2 Char"/>
    <w:basedOn w:val="17"/>
    <w:link w:val="4"/>
    <w:qFormat/>
    <w:uiPriority w:val="9"/>
    <w:rPr>
      <w:rFonts w:eastAsia="黑体" w:asciiTheme="majorAscii" w:hAnsiTheme="majorAscii" w:cstheme="majorBidi"/>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7"/>
    <w:link w:val="10"/>
    <w:semiHidden/>
    <w:qFormat/>
    <w:uiPriority w:val="99"/>
    <w:rPr>
      <w:rFonts w:ascii="Times New Roman" w:hAnsi="Times New Roman"/>
      <w:kern w:val="2"/>
      <w:sz w:val="18"/>
      <w:szCs w:val="18"/>
    </w:rPr>
  </w:style>
  <w:style w:type="character" w:customStyle="1" w:styleId="33">
    <w:name w:val="标题 3 Char"/>
    <w:basedOn w:val="17"/>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6">
    <w:name w:val="WPSOffice手动目录 1"/>
    <w:qFormat/>
    <w:uiPriority w:val="0"/>
    <w:pPr>
      <w:ind w:leftChars="0"/>
    </w:pPr>
    <w:rPr>
      <w:rFonts w:ascii="Times New Roman" w:hAnsi="Times New Roman" w:eastAsia="宋体" w:cs="Times New Roman"/>
      <w:sz w:val="20"/>
      <w:szCs w:val="20"/>
    </w:rPr>
  </w:style>
  <w:style w:type="paragraph" w:customStyle="1" w:styleId="37">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glossaryDocument" Target="glossary/document.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c78e8935-1451-4ceb-a2bc-92db4f3c290b}"/>
        <w:style w:val=""/>
        <w:category>
          <w:name w:val="常规"/>
          <w:gallery w:val="placeholder"/>
        </w:category>
        <w:types>
          <w:type w:val="bbPlcHdr"/>
        </w:types>
        <w:behaviors>
          <w:behavior w:val="content"/>
        </w:behaviors>
        <w:description w:val=""/>
        <w:guid w:val="{c78e8935-1451-4ceb-a2bc-92db4f3c290b}"/>
      </w:docPartPr>
      <w:docPartBody>
        <w:p w14:paraId="18BF2D3E">
          <w:r>
            <w:rPr>
              <w:color w:val="808080"/>
            </w:rPr>
            <w:t>单击此处输入文字。</w:t>
          </w:r>
        </w:p>
      </w:docPartBody>
    </w:docPart>
    <w:docPart>
      <w:docPartPr>
        <w:name w:val="{c69de6a3-a9f3-4a29-89ba-b61e5c22cec4}"/>
        <w:style w:val=""/>
        <w:category>
          <w:name w:val="常规"/>
          <w:gallery w:val="placeholder"/>
        </w:category>
        <w:types>
          <w:type w:val="bbPlcHdr"/>
        </w:types>
        <w:behaviors>
          <w:behavior w:val="content"/>
        </w:behaviors>
        <w:description w:val=""/>
        <w:guid w:val="{c69de6a3-a9f3-4a29-89ba-b61e5c22cec4}"/>
      </w:docPartPr>
      <w:docPartBody>
        <w:p w14:paraId="1D636626">
          <w:r>
            <w:rPr>
              <w:color w:val="808080"/>
            </w:rPr>
            <w:t>单击此处输入文字。</w:t>
          </w:r>
        </w:p>
      </w:docPartBody>
    </w:docPart>
    <w:docPart>
      <w:docPartPr>
        <w:name w:val="{f8e99e2e-5be9-4f31-a790-0256400a32ca}"/>
        <w:style w:val=""/>
        <w:category>
          <w:name w:val="常规"/>
          <w:gallery w:val="placeholder"/>
        </w:category>
        <w:types>
          <w:type w:val="bbPlcHdr"/>
        </w:types>
        <w:behaviors>
          <w:behavior w:val="content"/>
        </w:behaviors>
        <w:description w:val=""/>
        <w:guid w:val="{f8e99e2e-5be9-4f31-a790-0256400a32ca}"/>
      </w:docPartPr>
      <w:docPartBody>
        <w:p w14:paraId="08CA8373">
          <w:r>
            <w:rPr>
              <w:color w:val="808080"/>
            </w:rPr>
            <w:t>单击此处输入文字。</w:t>
          </w:r>
        </w:p>
      </w:docPartBody>
    </w:docPart>
    <w:docPart>
      <w:docPartPr>
        <w:name w:val="{25c5a498-478d-48a5-8cf8-2c9915d8bfc7}"/>
        <w:style w:val=""/>
        <w:category>
          <w:name w:val="常规"/>
          <w:gallery w:val="placeholder"/>
        </w:category>
        <w:types>
          <w:type w:val="bbPlcHdr"/>
        </w:types>
        <w:behaviors>
          <w:behavior w:val="content"/>
        </w:behaviors>
        <w:description w:val=""/>
        <w:guid w:val="{25c5a498-478d-48a5-8cf8-2c9915d8bfc7}"/>
      </w:docPartPr>
      <w:docPartBody>
        <w:p w14:paraId="188FD5F5">
          <w:r>
            <w:rPr>
              <w:color w:val="808080"/>
            </w:rPr>
            <w:t>单击此处输入文字。</w:t>
          </w:r>
        </w:p>
      </w:docPartBody>
    </w:docPart>
    <w:docPart>
      <w:docPartPr>
        <w:name w:val="{5222d798-80ef-4363-b0be-9a95e72d9e2e}"/>
        <w:style w:val=""/>
        <w:category>
          <w:name w:val="常规"/>
          <w:gallery w:val="placeholder"/>
        </w:category>
        <w:types>
          <w:type w:val="bbPlcHdr"/>
        </w:types>
        <w:behaviors>
          <w:behavior w:val="content"/>
        </w:behaviors>
        <w:description w:val=""/>
        <w:guid w:val="{5222d798-80ef-4363-b0be-9a95e72d9e2e}"/>
      </w:docPartPr>
      <w:docPartBody>
        <w:p w14:paraId="5F93B276">
          <w:r>
            <w:rPr>
              <w:color w:val="808080"/>
            </w:rPr>
            <w:t>单击此处输入文字。</w:t>
          </w:r>
        </w:p>
      </w:docPartBody>
    </w:docPart>
    <w:docPart>
      <w:docPartPr>
        <w:name w:val="{59ee2ec6-47ef-4233-bc9e-72c61bcb4293}"/>
        <w:style w:val=""/>
        <w:category>
          <w:name w:val="常规"/>
          <w:gallery w:val="placeholder"/>
        </w:category>
        <w:types>
          <w:type w:val="bbPlcHdr"/>
        </w:types>
        <w:behaviors>
          <w:behavior w:val="content"/>
        </w:behaviors>
        <w:description w:val=""/>
        <w:guid w:val="{59ee2ec6-47ef-4233-bc9e-72c61bcb4293}"/>
      </w:docPartPr>
      <w:docPartBody>
        <w:p w14:paraId="672C0008">
          <w:r>
            <w:rPr>
              <w:color w:val="808080"/>
            </w:rPr>
            <w:t>单击此处输入文字。</w:t>
          </w:r>
        </w:p>
      </w:docPartBody>
    </w:docPart>
    <w:docPart>
      <w:docPartPr>
        <w:name w:val="{0a9cdf62-73a3-4954-9846-3eacaa9c9a5d}"/>
        <w:style w:val=""/>
        <w:category>
          <w:name w:val="常规"/>
          <w:gallery w:val="placeholder"/>
        </w:category>
        <w:types>
          <w:type w:val="bbPlcHdr"/>
        </w:types>
        <w:behaviors>
          <w:behavior w:val="content"/>
        </w:behaviors>
        <w:description w:val=""/>
        <w:guid w:val="{0a9cdf62-73a3-4954-9846-3eacaa9c9a5d}"/>
      </w:docPartPr>
      <w:docPartBody>
        <w:p w14:paraId="38687D79">
          <w:r>
            <w:rPr>
              <w:color w:val="808080"/>
            </w:rPr>
            <w:t>单击此处输入文字。</w:t>
          </w:r>
        </w:p>
      </w:docPartBody>
    </w:docPart>
    <w:docPart>
      <w:docPartPr>
        <w:name w:val="{874e5884-f2da-4921-b14b-017f0c246625}"/>
        <w:style w:val=""/>
        <w:category>
          <w:name w:val="常规"/>
          <w:gallery w:val="placeholder"/>
        </w:category>
        <w:types>
          <w:type w:val="bbPlcHdr"/>
        </w:types>
        <w:behaviors>
          <w:behavior w:val="content"/>
        </w:behaviors>
        <w:description w:val=""/>
        <w:guid w:val="{874e5884-f2da-4921-b14b-017f0c246625}"/>
      </w:docPartPr>
      <w:docPartBody>
        <w:p w14:paraId="6D97B99B">
          <w:r>
            <w:rPr>
              <w:color w:val="808080"/>
            </w:rPr>
            <w:t>单击此处输入文字。</w:t>
          </w:r>
        </w:p>
      </w:docPartBody>
    </w:docPart>
    <w:docPart>
      <w:docPartPr>
        <w:name w:val="{e4c926f8-f530-4457-b655-954ad5791da8}"/>
        <w:style w:val=""/>
        <w:category>
          <w:name w:val="常规"/>
          <w:gallery w:val="placeholder"/>
        </w:category>
        <w:types>
          <w:type w:val="bbPlcHdr"/>
        </w:types>
        <w:behaviors>
          <w:behavior w:val="content"/>
        </w:behaviors>
        <w:description w:val=""/>
        <w:guid w:val="{e4c926f8-f530-4457-b655-954ad5791da8}"/>
      </w:docPartPr>
      <w:docPartBody>
        <w:p w14:paraId="5886A073">
          <w:r>
            <w:rPr>
              <w:color w:val="808080"/>
            </w:rPr>
            <w:t>单击此处输入文字。</w:t>
          </w:r>
        </w:p>
      </w:docPartBody>
    </w:docPart>
    <w:docPart>
      <w:docPartPr>
        <w:name w:val="{870b16dd-21de-48e9-9631-fcc07d518479}"/>
        <w:style w:val=""/>
        <w:category>
          <w:name w:val="常规"/>
          <w:gallery w:val="placeholder"/>
        </w:category>
        <w:types>
          <w:type w:val="bbPlcHdr"/>
        </w:types>
        <w:behaviors>
          <w:behavior w:val="content"/>
        </w:behaviors>
        <w:description w:val=""/>
        <w:guid w:val="{870b16dd-21de-48e9-9631-fcc07d518479}"/>
      </w:docPartPr>
      <w:docPartBody>
        <w:p w14:paraId="7A00EF5C">
          <w:r>
            <w:rPr>
              <w:color w:val="808080"/>
            </w:rPr>
            <w:t>单击此处输入文字。</w:t>
          </w:r>
        </w:p>
      </w:docPartBody>
    </w:docPart>
    <w:docPart>
      <w:docPartPr>
        <w:name w:val="{8d244b10-409e-407b-8cff-0bfe3260188d}"/>
        <w:style w:val=""/>
        <w:category>
          <w:name w:val="常规"/>
          <w:gallery w:val="placeholder"/>
        </w:category>
        <w:types>
          <w:type w:val="bbPlcHdr"/>
        </w:types>
        <w:behaviors>
          <w:behavior w:val="content"/>
        </w:behaviors>
        <w:description w:val=""/>
        <w:guid w:val="{8d244b10-409e-407b-8cff-0bfe3260188d}"/>
      </w:docPartPr>
      <w:docPartBody>
        <w:p w14:paraId="0C33921B">
          <w:r>
            <w:rPr>
              <w:color w:val="808080"/>
            </w:rPr>
            <w:t>单击此处输入文字。</w:t>
          </w:r>
        </w:p>
      </w:docPartBody>
    </w:docPart>
    <w:docPart>
      <w:docPartPr>
        <w:name w:val="{5a6a4bb1-ee96-4452-9608-781840b8cf4f}"/>
        <w:style w:val=""/>
        <w:category>
          <w:name w:val="常规"/>
          <w:gallery w:val="placeholder"/>
        </w:category>
        <w:types>
          <w:type w:val="bbPlcHdr"/>
        </w:types>
        <w:behaviors>
          <w:behavior w:val="content"/>
        </w:behaviors>
        <w:description w:val=""/>
        <w:guid w:val="{5a6a4bb1-ee96-4452-9608-781840b8cf4f}"/>
      </w:docPartPr>
      <w:docPartBody>
        <w:p w14:paraId="03B915F7">
          <w:r>
            <w:rPr>
              <w:color w:val="808080"/>
            </w:rPr>
            <w:t>单击此处输入文字。</w:t>
          </w:r>
        </w:p>
      </w:docPartBody>
    </w:docPart>
    <w:docPart>
      <w:docPartPr>
        <w:name w:val="{9f39555d-7e34-4007-8187-0d7b131d6dae}"/>
        <w:style w:val=""/>
        <w:category>
          <w:name w:val="常规"/>
          <w:gallery w:val="placeholder"/>
        </w:category>
        <w:types>
          <w:type w:val="bbPlcHdr"/>
        </w:types>
        <w:behaviors>
          <w:behavior w:val="content"/>
        </w:behaviors>
        <w:description w:val=""/>
        <w:guid w:val="{9f39555d-7e34-4007-8187-0d7b131d6dae}"/>
      </w:docPartPr>
      <w:docPartBody>
        <w:p w14:paraId="6184A8CF">
          <w:r>
            <w:rPr>
              <w:color w:val="808080"/>
            </w:rPr>
            <w:t>单击此处输入文字。</w:t>
          </w:r>
        </w:p>
      </w:docPartBody>
    </w:docPart>
    <w:docPart>
      <w:docPartPr>
        <w:name w:val="{3761cd58-9aaf-47bd-8624-eb418766efa4}"/>
        <w:style w:val=""/>
        <w:category>
          <w:name w:val="常规"/>
          <w:gallery w:val="placeholder"/>
        </w:category>
        <w:types>
          <w:type w:val="bbPlcHdr"/>
        </w:types>
        <w:behaviors>
          <w:behavior w:val="content"/>
        </w:behaviors>
        <w:description w:val=""/>
        <w:guid w:val="{3761cd58-9aaf-47bd-8624-eb418766efa4}"/>
      </w:docPartPr>
      <w:docPartBody>
        <w:p w14:paraId="7353B84E">
          <w:r>
            <w:rPr>
              <w:color w:val="808080"/>
            </w:rPr>
            <w:t>单击此处输入文字。</w:t>
          </w:r>
        </w:p>
      </w:docPartBody>
    </w:docPart>
    <w:docPart>
      <w:docPartPr>
        <w:name w:val="{331f9978-afa3-4132-986d-c221e4e7c0ff}"/>
        <w:style w:val=""/>
        <w:category>
          <w:name w:val="常规"/>
          <w:gallery w:val="placeholder"/>
        </w:category>
        <w:types>
          <w:type w:val="bbPlcHdr"/>
        </w:types>
        <w:behaviors>
          <w:behavior w:val="content"/>
        </w:behaviors>
        <w:description w:val=""/>
        <w:guid w:val="{331f9978-afa3-4132-986d-c221e4e7c0ff}"/>
      </w:docPartPr>
      <w:docPartBody>
        <w:p w14:paraId="6F35E5B8">
          <w:r>
            <w:rPr>
              <w:color w:val="808080"/>
            </w:rPr>
            <w:t>单击此处输入文字。</w:t>
          </w:r>
        </w:p>
      </w:docPartBody>
    </w:docPart>
    <w:docPart>
      <w:docPartPr>
        <w:name w:val="{933345c6-9d86-4715-b761-f78d2440e96c}"/>
        <w:style w:val=""/>
        <w:category>
          <w:name w:val="常规"/>
          <w:gallery w:val="placeholder"/>
        </w:category>
        <w:types>
          <w:type w:val="bbPlcHdr"/>
        </w:types>
        <w:behaviors>
          <w:behavior w:val="content"/>
        </w:behaviors>
        <w:description w:val=""/>
        <w:guid w:val="{933345c6-9d86-4715-b761-f78d2440e96c}"/>
      </w:docPartPr>
      <w:docPartBody>
        <w:p w14:paraId="3B22B5ED">
          <w:r>
            <w:rPr>
              <w:color w:val="808080"/>
            </w:rPr>
            <w:t>单击此处输入文字。</w:t>
          </w:r>
        </w:p>
      </w:docPartBody>
    </w:docPart>
    <w:docPart>
      <w:docPartPr>
        <w:name w:val="{315cfab6-9101-4f78-afea-aa8a589b2dd7}"/>
        <w:style w:val=""/>
        <w:category>
          <w:name w:val="常规"/>
          <w:gallery w:val="placeholder"/>
        </w:category>
        <w:types>
          <w:type w:val="bbPlcHdr"/>
        </w:types>
        <w:behaviors>
          <w:behavior w:val="content"/>
        </w:behaviors>
        <w:description w:val=""/>
        <w:guid w:val="{315cfab6-9101-4f78-afea-aa8a589b2dd7}"/>
      </w:docPartPr>
      <w:docPartBody>
        <w:p w14:paraId="0C53D481">
          <w:r>
            <w:rPr>
              <w:color w:val="808080"/>
            </w:rPr>
            <w:t>单击此处输入文字。</w:t>
          </w:r>
        </w:p>
      </w:docPartBody>
    </w:docPart>
    <w:docPart>
      <w:docPartPr>
        <w:name w:val="{e2d41912-03cb-4849-9852-9f067f1fc96f}"/>
        <w:style w:val=""/>
        <w:category>
          <w:name w:val="常规"/>
          <w:gallery w:val="placeholder"/>
        </w:category>
        <w:types>
          <w:type w:val="bbPlcHdr"/>
        </w:types>
        <w:behaviors>
          <w:behavior w:val="content"/>
        </w:behaviors>
        <w:description w:val=""/>
        <w:guid w:val="{e2d41912-03cb-4849-9852-9f067f1fc96f}"/>
      </w:docPartPr>
      <w:docPartBody>
        <w:p w14:paraId="64B6DCD7">
          <w:r>
            <w:rPr>
              <w:color w:val="808080"/>
            </w:rPr>
            <w:t>单击此处输入文字。</w:t>
          </w:r>
        </w:p>
      </w:docPartBody>
    </w:docPart>
    <w:docPart>
      <w:docPartPr>
        <w:name w:val="{f178669f-6984-4502-94f4-55fcc772c148}"/>
        <w:style w:val=""/>
        <w:category>
          <w:name w:val="常规"/>
          <w:gallery w:val="placeholder"/>
        </w:category>
        <w:types>
          <w:type w:val="bbPlcHdr"/>
        </w:types>
        <w:behaviors>
          <w:behavior w:val="content"/>
        </w:behaviors>
        <w:description w:val=""/>
        <w:guid w:val="{f178669f-6984-4502-94f4-55fcc772c148}"/>
      </w:docPartPr>
      <w:docPartBody>
        <w:p w14:paraId="237E149F">
          <w:r>
            <w:rPr>
              <w:color w:val="808080"/>
            </w:rPr>
            <w:t>单击此处输入文字。</w:t>
          </w:r>
        </w:p>
      </w:docPartBody>
    </w:docPart>
    <w:docPart>
      <w:docPartPr>
        <w:name w:val="{7ca4576c-f61b-4989-8ee1-aed2644f807a}"/>
        <w:style w:val=""/>
        <w:category>
          <w:name w:val="常规"/>
          <w:gallery w:val="placeholder"/>
        </w:category>
        <w:types>
          <w:type w:val="bbPlcHdr"/>
        </w:types>
        <w:behaviors>
          <w:behavior w:val="content"/>
        </w:behaviors>
        <w:description w:val=""/>
        <w:guid w:val="{7ca4576c-f61b-4989-8ee1-aed2644f807a}"/>
      </w:docPartPr>
      <w:docPartBody>
        <w:p w14:paraId="5181ADB8">
          <w:r>
            <w:rPr>
              <w:color w:val="808080"/>
            </w:rPr>
            <w:t>单击此处输入文字。</w:t>
          </w:r>
        </w:p>
      </w:docPartBody>
    </w:docPart>
    <w:docPart>
      <w:docPartPr>
        <w:name w:val="{ae305f88-2423-485d-ae11-75f93ddae0f4}"/>
        <w:style w:val=""/>
        <w:category>
          <w:name w:val="常规"/>
          <w:gallery w:val="placeholder"/>
        </w:category>
        <w:types>
          <w:type w:val="bbPlcHdr"/>
        </w:types>
        <w:behaviors>
          <w:behavior w:val="content"/>
        </w:behaviors>
        <w:description w:val=""/>
        <w:guid w:val="{ae305f88-2423-485d-ae11-75f93ddae0f4}"/>
      </w:docPartPr>
      <w:docPartBody>
        <w:p w14:paraId="5A0C9914">
          <w:r>
            <w:rPr>
              <w:color w:val="808080"/>
            </w:rPr>
            <w:t>单击此处输入文字。</w:t>
          </w:r>
        </w:p>
      </w:docPartBody>
    </w:docPart>
    <w:docPart>
      <w:docPartPr>
        <w:name w:val="{e9bdd178-67f9-482e-9ec2-653d54aa2497}"/>
        <w:style w:val=""/>
        <w:category>
          <w:name w:val="常规"/>
          <w:gallery w:val="placeholder"/>
        </w:category>
        <w:types>
          <w:type w:val="bbPlcHdr"/>
        </w:types>
        <w:behaviors>
          <w:behavior w:val="content"/>
        </w:behaviors>
        <w:description w:val=""/>
        <w:guid w:val="{e9bdd178-67f9-482e-9ec2-653d54aa2497}"/>
      </w:docPartPr>
      <w:docPartBody>
        <w:p w14:paraId="39243008">
          <w:r>
            <w:rPr>
              <w:color w:val="808080"/>
            </w:rPr>
            <w:t>单击此处输入文字。</w:t>
          </w:r>
        </w:p>
      </w:docPartBody>
    </w:docPart>
    <w:docPart>
      <w:docPartPr>
        <w:name w:val="{8a858028-3ebe-4400-94fe-7da22738cb08}"/>
        <w:style w:val=""/>
        <w:category>
          <w:name w:val="常规"/>
          <w:gallery w:val="placeholder"/>
        </w:category>
        <w:types>
          <w:type w:val="bbPlcHdr"/>
        </w:types>
        <w:behaviors>
          <w:behavior w:val="content"/>
        </w:behaviors>
        <w:description w:val=""/>
        <w:guid w:val="{8a858028-3ebe-4400-94fe-7da22738cb08}"/>
      </w:docPartPr>
      <w:docPartBody>
        <w:p w14:paraId="68E256FA">
          <w:r>
            <w:rPr>
              <w:color w:val="808080"/>
            </w:rPr>
            <w:t>单击此处输入文字。</w:t>
          </w:r>
        </w:p>
      </w:docPartBody>
    </w:docPart>
    <w:docPart>
      <w:docPartPr>
        <w:name w:val="{b508c286-4181-432d-be84-74d1878f11c4}"/>
        <w:style w:val=""/>
        <w:category>
          <w:name w:val="常规"/>
          <w:gallery w:val="placeholder"/>
        </w:category>
        <w:types>
          <w:type w:val="bbPlcHdr"/>
        </w:types>
        <w:behaviors>
          <w:behavior w:val="content"/>
        </w:behaviors>
        <w:description w:val=""/>
        <w:guid w:val="{b508c286-4181-432d-be84-74d1878f11c4}"/>
      </w:docPartPr>
      <w:docPartBody>
        <w:p w14:paraId="7953F897">
          <w:r>
            <w:rPr>
              <w:color w:val="808080"/>
            </w:rPr>
            <w:t>单击此处输入文字。</w:t>
          </w:r>
        </w:p>
      </w:docPartBody>
    </w:docPart>
    <w:docPart>
      <w:docPartPr>
        <w:name w:val="{99821659-ee6e-49e1-b6d8-16fea59dd2f9}"/>
        <w:style w:val=""/>
        <w:category>
          <w:name w:val="常规"/>
          <w:gallery w:val="placeholder"/>
        </w:category>
        <w:types>
          <w:type w:val="bbPlcHdr"/>
        </w:types>
        <w:behaviors>
          <w:behavior w:val="content"/>
        </w:behaviors>
        <w:description w:val=""/>
        <w:guid w:val="{99821659-ee6e-49e1-b6d8-16fea59dd2f9}"/>
      </w:docPartPr>
      <w:docPartBody>
        <w:p w14:paraId="52D068A7">
          <w:r>
            <w:rPr>
              <w:color w:val="808080"/>
            </w:rPr>
            <w:t>单击此处输入文字。</w:t>
          </w:r>
        </w:p>
      </w:docPartBody>
    </w:docPart>
    <w:docPart>
      <w:docPartPr>
        <w:name w:val="{97016a4a-209e-42b1-be64-362dbafa90c4}"/>
        <w:style w:val=""/>
        <w:category>
          <w:name w:val="常规"/>
          <w:gallery w:val="placeholder"/>
        </w:category>
        <w:types>
          <w:type w:val="bbPlcHdr"/>
        </w:types>
        <w:behaviors>
          <w:behavior w:val="content"/>
        </w:behaviors>
        <w:description w:val=""/>
        <w:guid w:val="{97016a4a-209e-42b1-be64-362dbafa90c4}"/>
      </w:docPartPr>
      <w:docPartBody>
        <w:p w14:paraId="5744EAA9">
          <w:r>
            <w:rPr>
              <w:color w:val="808080"/>
            </w:rPr>
            <w:t>单击此处输入文字。</w:t>
          </w:r>
        </w:p>
      </w:docPartBody>
    </w:docPart>
    <w:docPart>
      <w:docPartPr>
        <w:name w:val="{abcc4a4c-3273-4f65-aaba-6bd15b03a345}"/>
        <w:style w:val=""/>
        <w:category>
          <w:name w:val="常规"/>
          <w:gallery w:val="placeholder"/>
        </w:category>
        <w:types>
          <w:type w:val="bbPlcHdr"/>
        </w:types>
        <w:behaviors>
          <w:behavior w:val="content"/>
        </w:behaviors>
        <w:description w:val=""/>
        <w:guid w:val="{abcc4a4c-3273-4f65-aaba-6bd15b03a345}"/>
      </w:docPartPr>
      <w:docPartBody>
        <w:p w14:paraId="549E7571">
          <w:r>
            <w:rPr>
              <w:color w:val="808080"/>
            </w:rPr>
            <w:t>单击此处输入文字。</w:t>
          </w:r>
        </w:p>
      </w:docPartBody>
    </w:docPart>
    <w:docPart>
      <w:docPartPr>
        <w:name w:val="{8f37575c-fc78-4628-8239-275faf034e12}"/>
        <w:style w:val=""/>
        <w:category>
          <w:name w:val="常规"/>
          <w:gallery w:val="placeholder"/>
        </w:category>
        <w:types>
          <w:type w:val="bbPlcHdr"/>
        </w:types>
        <w:behaviors>
          <w:behavior w:val="content"/>
        </w:behaviors>
        <w:description w:val=""/>
        <w:guid w:val="{8f37575c-fc78-4628-8239-275faf034e12}"/>
      </w:docPartPr>
      <w:docPartBody>
        <w:p w14:paraId="4CD39A59">
          <w:r>
            <w:rPr>
              <w:color w:val="808080"/>
            </w:rPr>
            <w:t>单击此处输入文字。</w:t>
          </w:r>
        </w:p>
      </w:docPartBody>
    </w:docPart>
    <w:docPart>
      <w:docPartPr>
        <w:name w:val="{1e1eca27-73f5-45ef-8eb0-3d515e4f080d}"/>
        <w:style w:val=""/>
        <w:category>
          <w:name w:val="常规"/>
          <w:gallery w:val="placeholder"/>
        </w:category>
        <w:types>
          <w:type w:val="bbPlcHdr"/>
        </w:types>
        <w:behaviors>
          <w:behavior w:val="content"/>
        </w:behaviors>
        <w:description w:val=""/>
        <w:guid w:val="{1e1eca27-73f5-45ef-8eb0-3d515e4f080d}"/>
      </w:docPartPr>
      <w:docPartBody>
        <w:p w14:paraId="020D7A0C">
          <w:r>
            <w:rPr>
              <w:color w:val="808080"/>
            </w:rPr>
            <w:t>单击此处输入文字。</w:t>
          </w:r>
        </w:p>
      </w:docPartBody>
    </w:docPart>
    <w:docPart>
      <w:docPartPr>
        <w:name w:val="{d9fef407-d14e-4938-a626-4dd2f3e8c999}"/>
        <w:style w:val=""/>
        <w:category>
          <w:name w:val="常规"/>
          <w:gallery w:val="placeholder"/>
        </w:category>
        <w:types>
          <w:type w:val="bbPlcHdr"/>
        </w:types>
        <w:behaviors>
          <w:behavior w:val="content"/>
        </w:behaviors>
        <w:description w:val=""/>
        <w:guid w:val="{d9fef407-d14e-4938-a626-4dd2f3e8c999}"/>
      </w:docPartPr>
      <w:docPartBody>
        <w:p w14:paraId="5737D313">
          <w:r>
            <w:rPr>
              <w:color w:val="808080"/>
            </w:rPr>
            <w:t>单击此处输入文字。</w:t>
          </w:r>
        </w:p>
      </w:docPartBody>
    </w:docPart>
    <w:docPart>
      <w:docPartPr>
        <w:name w:val="{e318152f-7d1c-4f4d-872c-82036fb0061d}"/>
        <w:style w:val=""/>
        <w:category>
          <w:name w:val="常规"/>
          <w:gallery w:val="placeholder"/>
        </w:category>
        <w:types>
          <w:type w:val="bbPlcHdr"/>
        </w:types>
        <w:behaviors>
          <w:behavior w:val="content"/>
        </w:behaviors>
        <w:description w:val=""/>
        <w:guid w:val="{e318152f-7d1c-4f4d-872c-82036fb0061d}"/>
      </w:docPartPr>
      <w:docPartBody>
        <w:p w14:paraId="7658840D">
          <w:r>
            <w:rPr>
              <w:color w:val="808080"/>
            </w:rPr>
            <w:t>单击此处输入文字。</w:t>
          </w:r>
        </w:p>
      </w:docPartBody>
    </w:docPart>
    <w:docPart>
      <w:docPartPr>
        <w:name w:val="{65524171-a5fa-42a2-b23f-eb9d9f3aa4cc}"/>
        <w:style w:val=""/>
        <w:category>
          <w:name w:val="常规"/>
          <w:gallery w:val="placeholder"/>
        </w:category>
        <w:types>
          <w:type w:val="bbPlcHdr"/>
        </w:types>
        <w:behaviors>
          <w:behavior w:val="content"/>
        </w:behaviors>
        <w:description w:val=""/>
        <w:guid w:val="{65524171-a5fa-42a2-b23f-eb9d9f3aa4cc}"/>
      </w:docPartPr>
      <w:docPartBody>
        <w:p w14:paraId="0096A23E">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39</Pages>
  <Words>2233</Words>
  <Characters>2400</Characters>
  <Lines>61</Lines>
  <Paragraphs>17</Paragraphs>
  <TotalTime>9</TotalTime>
  <ScaleCrop>false</ScaleCrop>
  <LinksUpToDate>false</LinksUpToDate>
  <CharactersWithSpaces>2470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墨云</cp:lastModifiedBy>
  <cp:lastPrinted>2026-08-03T09:27:00Z</cp:lastPrinted>
  <dcterms:modified xsi:type="dcterms:W3CDTF">2026-09-22T07:03:32Z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F7DC2EC064FB4757926D7F288131CD29_13</vt:lpwstr>
  </property>
  <property fmtid="{D5CDD505-2E9C-101B-9397-08002B2CF9AE}" pid="4" name="KSOTemplateDocerSaveRecord">
    <vt:lpwstr>eyJoZGlkIjoiMzgxODdiYWUxNDVkYzBjODNkMmRhYWY4YzcyY2ZjMjIiLCJ1c2VySWQiOiIyMDY2MjQ3MzcifQ==</vt:lpwstr>
  </property>
</Properties>
</file>